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C314D0">
              <w:rPr>
                <w:noProof/>
                <w:webHidden/>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Pr>
                <w:noProof/>
                <w:webHidden/>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Pr>
                <w:noProof/>
                <w:webHidden/>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Pr>
                <w:noProof/>
                <w:webHidden/>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Pr>
                <w:noProof/>
                <w:webHidden/>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Pr>
                <w:noProof/>
                <w:webHidden/>
              </w:rPr>
              <w:t>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Pr>
                <w:noProof/>
                <w:webHidden/>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Pr>
                <w:noProof/>
                <w:webHidden/>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Pr>
                <w:noProof/>
                <w:webHidden/>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Pr>
                <w:noProof/>
                <w:webHidden/>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Pr>
                <w:noProof/>
                <w:webHidden/>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Pr>
                <w:noProof/>
                <w:webHidden/>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Pr>
                <w:noProof/>
                <w:webHidden/>
              </w:rPr>
              <w:t>13</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Pr>
                <w:noProof/>
                <w:webHidden/>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Pr>
                <w:noProof/>
                <w:webHidden/>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Pr>
                <w:noProof/>
                <w:webHidden/>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Pr>
                <w:noProof/>
                <w:webHidden/>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Pr>
                <w:noProof/>
                <w:webHidden/>
              </w:rPr>
              <w:t>17</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Pr>
                <w:noProof/>
                <w:webHidden/>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Pr>
                <w:noProof/>
                <w:webHidden/>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Pr>
                <w:noProof/>
                <w:webHidden/>
              </w:rPr>
              <w:t>19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Pr>
                <w:noProof/>
                <w:webHidden/>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Pr>
                <w:noProof/>
                <w:webHidden/>
              </w:rPr>
              <w:t>21</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FE12E2" w:rsidRPr="00FE12E2" w:rsidRDefault="006D2174" w:rsidP="006E590D">
      <w:pPr>
        <w:pStyle w:val="Heading2"/>
        <w:bidi/>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Bjarne Stroustrup</w:t>
      </w:r>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rFonts w:hint="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r w:rsidR="00080C47">
        <w:br/>
      </w:r>
      <w:r w:rsidR="00080C47">
        <w:rPr>
          <w:rFonts w:hint="cs"/>
          <w:rtl/>
        </w:rPr>
        <w:t>שפות אלו מתאפיינות בקרבה לחומרה מבחינת הטיפוסים הנפוצים בהן, מבחינת היכולת לתרגם קוד ישירות משפות מקבוצה זו אל שפת מכונה ובגישה שהן מספקות אל מנגנוני חומרה כגון גישה ישירה לזיכרון הו</w:t>
      </w:r>
      <w:r w:rsidR="001D1796">
        <w:rPr>
          <w:rFonts w:hint="cs"/>
          <w:rtl/>
        </w:rPr>
        <w:t>ו</w:t>
      </w:r>
      <w:r w:rsidR="00080C47">
        <w:rPr>
          <w:rFonts w:hint="cs"/>
          <w:rtl/>
        </w:rPr>
        <w:t>ירטואלי.</w:t>
      </w:r>
    </w:p>
    <w:p w:rsidR="00080C47" w:rsidRDefault="001D1796" w:rsidP="00080C47">
      <w:pPr>
        <w:bidi/>
        <w:rPr>
          <w:rFonts w:hint="cs"/>
          <w:rtl/>
        </w:rPr>
      </w:pPr>
      <w:r>
        <w:rPr>
          <w:rFonts w:hint="cs"/>
          <w:rtl/>
        </w:rPr>
        <w:t xml:space="preserve">עם זאת, ראוי לציין כי ניתן לשייך את </w:t>
      </w:r>
      <w:r>
        <w:t>C++</w:t>
      </w:r>
      <w:r>
        <w:rPr>
          <w:rFonts w:hint="cs"/>
          <w:rtl/>
        </w:rPr>
        <w:t xml:space="preserve"> לקבוצת </w:t>
      </w:r>
      <w:r w:rsidRPr="001D1796">
        <w:rPr>
          <w:rFonts w:hint="cs"/>
          <w:i/>
          <w:iCs/>
          <w:rtl/>
        </w:rPr>
        <w:t>שפות התכנות העליות</w:t>
      </w:r>
      <w:r>
        <w:rPr>
          <w:rFonts w:hint="cs"/>
          <w:rtl/>
        </w:rPr>
        <w:t>, וזאת מכיוון שניתן לבצע בשפה אבסטרקציות שונות אשר אינן מוכרות ע"י המכונה</w:t>
      </w:r>
      <w:r w:rsidR="00C810B3">
        <w:rPr>
          <w:rFonts w:hint="cs"/>
          <w:rtl/>
        </w:rPr>
        <w:t xml:space="preserve"> (אשר יוזכרו בהמשך הפרק)</w:t>
      </w:r>
      <w:r w:rsidR="00494069">
        <w:rPr>
          <w:rFonts w:hint="cs"/>
          <w:rtl/>
        </w:rPr>
        <w:t xml:space="preserve"> ובכך השפה "מורחקת" מהמכונה ומיתר שפות הסף</w:t>
      </w:r>
      <w:r>
        <w:rPr>
          <w:rFonts w:hint="cs"/>
          <w:rtl/>
        </w:rPr>
        <w:t>.</w:t>
      </w:r>
    </w:p>
    <w:p w:rsidR="001D1796" w:rsidRPr="001D1796" w:rsidRDefault="001D1796" w:rsidP="001D1796">
      <w:pPr>
        <w:bidi/>
        <w:rPr>
          <w:rFonts w:hint="cs"/>
          <w:rtl/>
        </w:rPr>
      </w:pPr>
      <w:r>
        <w:rPr>
          <w:rFonts w:hint="cs"/>
          <w:rtl/>
        </w:rPr>
        <w:t xml:space="preserve">לכן </w:t>
      </w:r>
      <w:r>
        <w:t>C++</w:t>
      </w:r>
      <w:r>
        <w:rPr>
          <w:rFonts w:hint="cs"/>
          <w:rtl/>
        </w:rPr>
        <w:t xml:space="preserve"> הינה </w:t>
      </w:r>
      <w:r w:rsidRPr="003F5BAB">
        <w:rPr>
          <w:rFonts w:hint="cs"/>
          <w:u w:val="single"/>
          <w:rtl/>
        </w:rPr>
        <w:t>שפה היברידית</w:t>
      </w:r>
      <w:r>
        <w:rPr>
          <w:rFonts w:hint="cs"/>
          <w:rtl/>
        </w:rPr>
        <w:t xml:space="preserve"> מבחינת השיוך שלה למחלקות </w:t>
      </w:r>
      <w:r>
        <w:t>Low/High Level Programming Languages</w:t>
      </w:r>
      <w:r w:rsidR="00C810B3">
        <w:rPr>
          <w:rFonts w:hint="cs"/>
          <w:rtl/>
        </w:rPr>
        <w:t xml:space="preserve">, והמסקנה המתבקשת היא שלא מדובר בשיוך לקבוצה אלא במיקום על ציר המרחק </w:t>
      </w:r>
      <w:r w:rsidR="003C03D5">
        <w:rPr>
          <w:rFonts w:hint="cs"/>
          <w:rtl/>
        </w:rPr>
        <w:t>מ</w:t>
      </w:r>
      <w:bookmarkStart w:id="4" w:name="_GoBack"/>
      <w:bookmarkEnd w:id="4"/>
      <w:r w:rsidR="00C810B3">
        <w:rPr>
          <w:rFonts w:hint="cs"/>
          <w:rtl/>
        </w:rPr>
        <w:t>המכונה</w:t>
      </w:r>
      <w:r w:rsidR="003C03D5">
        <w:rPr>
          <w:rFonts w:hint="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lastRenderedPageBreak/>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5" w:name="_Toc528442915"/>
      <w:r w:rsidRPr="004721C6">
        <w:rPr>
          <w:sz w:val="26"/>
          <w:szCs w:val="26"/>
        </w:rPr>
        <w:t>User-Defined Types</w:t>
      </w:r>
      <w:bookmarkEnd w:id="5"/>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6" w:name="_Toc528442916"/>
      <w:r w:rsidRPr="004721C6">
        <w:rPr>
          <w:rFonts w:hint="cs"/>
          <w:sz w:val="26"/>
          <w:szCs w:val="26"/>
          <w:rtl/>
        </w:rPr>
        <w:t>תכנות מונחה עצמים</w:t>
      </w:r>
      <w:bookmarkEnd w:id="6"/>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7" w:name="_Toc528442917"/>
      <w:r w:rsidRPr="004721C6">
        <w:rPr>
          <w:rFonts w:hint="cs"/>
          <w:sz w:val="26"/>
          <w:szCs w:val="26"/>
        </w:rPr>
        <w:t>G</w:t>
      </w:r>
      <w:r w:rsidRPr="004721C6">
        <w:rPr>
          <w:sz w:val="26"/>
          <w:szCs w:val="26"/>
        </w:rPr>
        <w:t>eneric Programming</w:t>
      </w:r>
      <w:bookmarkEnd w:id="7"/>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lastRenderedPageBreak/>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8" w:name="_Toc528442918"/>
      <w:r>
        <w:rPr>
          <w:rFonts w:hint="cs"/>
          <w:rtl/>
        </w:rPr>
        <w:lastRenderedPageBreak/>
        <w:t xml:space="preserve">איומי אבטחה במנגנוני זיכרון בשפת </w:t>
      </w:r>
      <w:r>
        <w:t>C++</w:t>
      </w:r>
      <w:bookmarkEnd w:id="8"/>
    </w:p>
    <w:p w:rsidR="00B325ED" w:rsidRPr="004721C6" w:rsidRDefault="00B325ED" w:rsidP="00B325ED">
      <w:pPr>
        <w:pStyle w:val="Heading3"/>
        <w:bidi/>
        <w:rPr>
          <w:sz w:val="26"/>
          <w:szCs w:val="26"/>
        </w:rPr>
      </w:pPr>
      <w:bookmarkStart w:id="9"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9"/>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10" w:name="_Toc528442920"/>
      <w:r w:rsidRPr="004721C6">
        <w:rPr>
          <w:rFonts w:hint="cs"/>
          <w:sz w:val="26"/>
          <w:szCs w:val="26"/>
          <w:rtl/>
        </w:rPr>
        <w:t xml:space="preserve">התמודדות עם </w:t>
      </w:r>
      <w:r w:rsidR="006F4809" w:rsidRPr="004721C6">
        <w:rPr>
          <w:rFonts w:hint="cs"/>
          <w:sz w:val="26"/>
          <w:szCs w:val="26"/>
          <w:rtl/>
        </w:rPr>
        <w:t>דריסת חוצץ</w:t>
      </w:r>
      <w:bookmarkEnd w:id="10"/>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1" w:name="_Toc528442921"/>
      <w:r w:rsidRPr="004721C6">
        <w:rPr>
          <w:rFonts w:hint="cs"/>
          <w:sz w:val="26"/>
          <w:szCs w:val="26"/>
        </w:rPr>
        <w:lastRenderedPageBreak/>
        <w:t>D</w:t>
      </w:r>
      <w:r w:rsidRPr="004721C6">
        <w:rPr>
          <w:sz w:val="26"/>
          <w:szCs w:val="26"/>
        </w:rPr>
        <w:t>angling Pointer attacks</w:t>
      </w:r>
      <w:bookmarkEnd w:id="11"/>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2" w:name="_Toc528442922"/>
      <w:r w:rsidRPr="004721C6">
        <w:rPr>
          <w:rFonts w:hint="cs"/>
          <w:sz w:val="26"/>
          <w:szCs w:val="26"/>
          <w:rtl/>
        </w:rPr>
        <w:t xml:space="preserve">התמודדות עם </w:t>
      </w:r>
      <w:r w:rsidRPr="004721C6">
        <w:rPr>
          <w:sz w:val="26"/>
          <w:szCs w:val="26"/>
        </w:rPr>
        <w:t>Dangling Pointers</w:t>
      </w:r>
      <w:bookmarkEnd w:id="12"/>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3" w:name="_Toc528442923"/>
      <w:r>
        <w:rPr>
          <w:rFonts w:hint="cs"/>
          <w:rtl/>
        </w:rPr>
        <w:lastRenderedPageBreak/>
        <w:t xml:space="preserve">חלק שני </w:t>
      </w:r>
      <w:r>
        <w:rPr>
          <w:rtl/>
        </w:rPr>
        <w:t>–</w:t>
      </w:r>
      <w:r>
        <w:rPr>
          <w:rFonts w:hint="cs"/>
          <w:rtl/>
        </w:rPr>
        <w:t xml:space="preserve"> תוכנת שרת בשפת פייתון</w:t>
      </w:r>
      <w:bookmarkEnd w:id="13"/>
    </w:p>
    <w:p w:rsidR="0023241C" w:rsidRDefault="0023241C" w:rsidP="0023241C">
      <w:pPr>
        <w:pStyle w:val="Heading2"/>
        <w:bidi/>
        <w:rPr>
          <w:rtl/>
        </w:rPr>
      </w:pPr>
      <w:bookmarkStart w:id="14" w:name="_Toc528442924"/>
      <w:r>
        <w:rPr>
          <w:rFonts w:hint="cs"/>
          <w:rtl/>
        </w:rPr>
        <w:t>שפת פייתון תכונות ומרכיבים</w:t>
      </w:r>
      <w:bookmarkEnd w:id="14"/>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B784D" w:rsidRPr="00BB3852" w:rsidRDefault="00817D2D" w:rsidP="00BB3852">
      <w:pPr>
        <w:pStyle w:val="Heading2"/>
        <w:bidi/>
        <w:rPr>
          <w:sz w:val="28"/>
          <w:szCs w:val="28"/>
        </w:rPr>
      </w:pPr>
      <w:bookmarkStart w:id="15"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Pr="004721C6" w:rsidRDefault="004721C6" w:rsidP="006B784D">
      <w:pPr>
        <w:pStyle w:val="Heading3"/>
        <w:bidi/>
        <w:rPr>
          <w:sz w:val="26"/>
          <w:szCs w:val="26"/>
          <w:rtl/>
        </w:rPr>
      </w:pPr>
      <w:bookmarkStart w:id="16" w:name="_Toc52844292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9" w:name="_Toc52844292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93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931"/>
      <w:r w:rsidRPr="00AF7420">
        <w:rPr>
          <w:rFonts w:hint="cs"/>
          <w:sz w:val="28"/>
          <w:szCs w:val="28"/>
          <w:rtl/>
        </w:rPr>
        <w:t>תקשורת רשתית בסיסית</w:t>
      </w:r>
      <w:bookmarkEnd w:id="21"/>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2" w:name="_Toc528442932"/>
      <w:r w:rsidRPr="00AF7420">
        <w:rPr>
          <w:rFonts w:hint="cs"/>
          <w:sz w:val="28"/>
          <w:szCs w:val="28"/>
          <w:rtl/>
        </w:rPr>
        <w:lastRenderedPageBreak/>
        <w:t>איומים בתקשורת רשתית</w:t>
      </w:r>
      <w:bookmarkEnd w:id="22"/>
    </w:p>
    <w:p w:rsidR="00460072" w:rsidRDefault="00AF7420" w:rsidP="00AF7420">
      <w:pPr>
        <w:pStyle w:val="Heading3"/>
        <w:bidi/>
        <w:rPr>
          <w:sz w:val="26"/>
          <w:szCs w:val="26"/>
        </w:rPr>
      </w:pPr>
      <w:bookmarkStart w:id="23" w:name="_Toc52844293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93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93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6" w:name="_Toc52844293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8"/>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A5B" w:rsidRDefault="00557A5B" w:rsidP="00B02B53">
      <w:pPr>
        <w:spacing w:after="0" w:line="240" w:lineRule="auto"/>
      </w:pPr>
      <w:r>
        <w:separator/>
      </w:r>
    </w:p>
  </w:endnote>
  <w:endnote w:type="continuationSeparator" w:id="0">
    <w:p w:rsidR="00557A5B" w:rsidRDefault="00557A5B"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A5B" w:rsidRDefault="00557A5B" w:rsidP="00B02B53">
      <w:pPr>
        <w:spacing w:after="0" w:line="240" w:lineRule="auto"/>
      </w:pPr>
      <w:r>
        <w:separator/>
      </w:r>
    </w:p>
  </w:footnote>
  <w:footnote w:type="continuationSeparator" w:id="0">
    <w:p w:rsidR="00557A5B" w:rsidRDefault="00557A5B"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54AE1"/>
    <w:rsid w:val="000714B0"/>
    <w:rsid w:val="00080C47"/>
    <w:rsid w:val="0008251F"/>
    <w:rsid w:val="000830BA"/>
    <w:rsid w:val="000938D4"/>
    <w:rsid w:val="000A66DA"/>
    <w:rsid w:val="000B3191"/>
    <w:rsid w:val="000B3331"/>
    <w:rsid w:val="000F6E71"/>
    <w:rsid w:val="001122E4"/>
    <w:rsid w:val="00113B7C"/>
    <w:rsid w:val="00132E01"/>
    <w:rsid w:val="00140A12"/>
    <w:rsid w:val="00143A7A"/>
    <w:rsid w:val="0014612E"/>
    <w:rsid w:val="001514D9"/>
    <w:rsid w:val="00180A03"/>
    <w:rsid w:val="001C0EE1"/>
    <w:rsid w:val="001C462D"/>
    <w:rsid w:val="001C6054"/>
    <w:rsid w:val="001D1796"/>
    <w:rsid w:val="001D556D"/>
    <w:rsid w:val="001E27F2"/>
    <w:rsid w:val="00210DAE"/>
    <w:rsid w:val="002167B5"/>
    <w:rsid w:val="0022752D"/>
    <w:rsid w:val="0023241C"/>
    <w:rsid w:val="00247EAE"/>
    <w:rsid w:val="00262261"/>
    <w:rsid w:val="002877C4"/>
    <w:rsid w:val="00297793"/>
    <w:rsid w:val="002A6A84"/>
    <w:rsid w:val="002B3995"/>
    <w:rsid w:val="002F28D7"/>
    <w:rsid w:val="00311A5A"/>
    <w:rsid w:val="00320E87"/>
    <w:rsid w:val="00326CF6"/>
    <w:rsid w:val="003413C3"/>
    <w:rsid w:val="003448B9"/>
    <w:rsid w:val="00346B6F"/>
    <w:rsid w:val="00352E2F"/>
    <w:rsid w:val="00354C0C"/>
    <w:rsid w:val="0035518D"/>
    <w:rsid w:val="003556B3"/>
    <w:rsid w:val="0036721F"/>
    <w:rsid w:val="0038531F"/>
    <w:rsid w:val="003973DD"/>
    <w:rsid w:val="003A42AC"/>
    <w:rsid w:val="003B5721"/>
    <w:rsid w:val="003B657A"/>
    <w:rsid w:val="003C03D5"/>
    <w:rsid w:val="003C580C"/>
    <w:rsid w:val="003F1772"/>
    <w:rsid w:val="003F4181"/>
    <w:rsid w:val="003F4B84"/>
    <w:rsid w:val="003F5BAB"/>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94069"/>
    <w:rsid w:val="004A55BA"/>
    <w:rsid w:val="004B5503"/>
    <w:rsid w:val="004B5DC4"/>
    <w:rsid w:val="004C260D"/>
    <w:rsid w:val="004E4703"/>
    <w:rsid w:val="004F3018"/>
    <w:rsid w:val="004F65DB"/>
    <w:rsid w:val="005051FE"/>
    <w:rsid w:val="00506628"/>
    <w:rsid w:val="00510B6A"/>
    <w:rsid w:val="00520AF3"/>
    <w:rsid w:val="00526431"/>
    <w:rsid w:val="00531F8F"/>
    <w:rsid w:val="005330B7"/>
    <w:rsid w:val="00537A3B"/>
    <w:rsid w:val="00540161"/>
    <w:rsid w:val="0054560D"/>
    <w:rsid w:val="00555D86"/>
    <w:rsid w:val="00557A5B"/>
    <w:rsid w:val="0058106C"/>
    <w:rsid w:val="005974CE"/>
    <w:rsid w:val="005A50A4"/>
    <w:rsid w:val="005A7AEE"/>
    <w:rsid w:val="005B75D9"/>
    <w:rsid w:val="005D1D38"/>
    <w:rsid w:val="005D33A0"/>
    <w:rsid w:val="005E0354"/>
    <w:rsid w:val="005E6046"/>
    <w:rsid w:val="00603490"/>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70BFE"/>
    <w:rsid w:val="0098469A"/>
    <w:rsid w:val="009A0FEE"/>
    <w:rsid w:val="009A3241"/>
    <w:rsid w:val="009C68A4"/>
    <w:rsid w:val="009C78A0"/>
    <w:rsid w:val="009D30C8"/>
    <w:rsid w:val="009E15D5"/>
    <w:rsid w:val="00A11575"/>
    <w:rsid w:val="00A15B3E"/>
    <w:rsid w:val="00A34876"/>
    <w:rsid w:val="00A40FD8"/>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80FD0"/>
    <w:rsid w:val="00C810B3"/>
    <w:rsid w:val="00C853A4"/>
    <w:rsid w:val="00C870DB"/>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57B9C"/>
    <w:rsid w:val="00F61A03"/>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CFA02CBA-1914-364A-A5D6-6BF81A62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22</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193</cp:revision>
  <dcterms:created xsi:type="dcterms:W3CDTF">2018-10-06T11:06:00Z</dcterms:created>
  <dcterms:modified xsi:type="dcterms:W3CDTF">2018-11-02T09:04:00Z</dcterms:modified>
</cp:coreProperties>
</file>