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b/>
          <w:bCs/>
          <w:sz w:val="40"/>
          <w:szCs w:val="40"/>
        </w:rPr>
      </w:pPr>
    </w:p>
    <w:p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FUTURE SCOPE</w:t>
      </w:r>
    </w:p>
    <w:p>
      <w:pPr>
        <w:rPr>
          <w:b/>
          <w:bCs/>
          <w:sz w:val="40"/>
          <w:szCs w:val="40"/>
          <w:lang w:val="en-US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/>
          <w:bCs/>
          <w:sz w:val="40"/>
          <w:szCs w:val="40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</w:rPr>
        <w:t>The multiple regression model was effective for forecasting retail sales under</w:t>
      </w:r>
      <w:r>
        <w:rPr>
          <w:rFonts w:hint="eastAsia" w:asciiTheme="minorEastAsia" w:hAnsiTheme="minorEastAsia" w:eastAsiaTheme="minorEastAsia" w:cstheme="minorEastAsia"/>
          <w:sz w:val="24"/>
          <w:lang w:val="en-U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</w:rPr>
        <w:t>influence of expected consumer’s income and advertising costs. It can be applied for forecasting</w:t>
      </w:r>
      <w:r>
        <w:rPr>
          <w:rFonts w:hint="eastAsia" w:asciiTheme="minorEastAsia" w:hAnsiTheme="minorEastAsia" w:eastAsiaTheme="minorEastAsia" w:cstheme="minorEastAsia"/>
          <w:sz w:val="24"/>
          <w:lang w:val="en-U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</w:rPr>
        <w:t>other business data. Using such models for forecasting retail sales can assist company managers in</w:t>
      </w:r>
      <w:r>
        <w:rPr>
          <w:rFonts w:hint="default" w:asciiTheme="minorEastAsia" w:hAnsiTheme="minorEastAsia" w:cstheme="minorEastAsia"/>
          <w:sz w:val="24"/>
          <w:lang w:val="en-U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</w:rPr>
        <w:t>planning and making decisions more effectively</w:t>
      </w:r>
      <w:r>
        <w:rPr>
          <w:rFonts w:hint="default" w:asciiTheme="minorEastAsia" w:hAnsiTheme="minorEastAsia" w:cstheme="minorEastAsia"/>
          <w:sz w:val="24"/>
          <w:lang w:val="en-US"/>
        </w:rPr>
        <w:t>.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NewRoman">
    <w:altName w:val="Segoe Print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CC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A9B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2019-03-14T11:54:26Z</dcterms:created>
  <dc:creator>DELL</dc:creator>
  <cp:lastModifiedBy>DELL</cp:lastModifiedBy>
  <dcterms:modified xsi:type="dcterms:W3CDTF">2019-03-14T11:55:08Z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