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5AD4B8">
      <w:pPr>
        <w:jc w:val="center"/>
        <w:rPr>
          <w:rFonts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实验六、集成运算放大器仿真实验</w:t>
      </w:r>
    </w:p>
    <w:p w14:paraId="75F0C522">
      <w:pPr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1</w:t>
      </w:r>
      <w:r>
        <w:rPr>
          <w:rFonts w:ascii="宋体" w:hAnsi="宋体" w:eastAsia="宋体"/>
          <w:sz w:val="24"/>
          <w:szCs w:val="24"/>
        </w:rPr>
        <w:t>.</w:t>
      </w:r>
      <w:r>
        <w:rPr>
          <w:rFonts w:hint="eastAsia" w:ascii="宋体" w:hAnsi="宋体" w:eastAsia="宋体"/>
          <w:sz w:val="24"/>
          <w:szCs w:val="24"/>
        </w:rPr>
        <w:t>电压跟随器原理图</w:t>
      </w:r>
    </w:p>
    <w:p w14:paraId="7660032E">
      <w:pPr>
        <w:rPr>
          <w:rFonts w:ascii="宋体" w:hAnsi="宋体" w:eastAsia="宋体"/>
          <w:sz w:val="24"/>
          <w:szCs w:val="24"/>
        </w:rPr>
      </w:pPr>
      <w:r>
        <w:drawing>
          <wp:inline distT="0" distB="0" distL="0" distR="0">
            <wp:extent cx="5274310" cy="313817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97CBC">
      <w:pPr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2、反相输入放大电路原理图</w:t>
      </w:r>
    </w:p>
    <w:p w14:paraId="43C16715">
      <w:pPr>
        <w:rPr>
          <w:rFonts w:ascii="宋体" w:hAnsi="宋体" w:eastAsia="宋体"/>
          <w:sz w:val="24"/>
          <w:szCs w:val="24"/>
        </w:rPr>
      </w:pPr>
      <w:r>
        <w:drawing>
          <wp:inline distT="0" distB="0" distL="0" distR="0">
            <wp:extent cx="3905250" cy="1924050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"/>
        <w:gridCol w:w="709"/>
        <w:gridCol w:w="1276"/>
        <w:gridCol w:w="1276"/>
        <w:gridCol w:w="1275"/>
        <w:gridCol w:w="1276"/>
        <w:gridCol w:w="1276"/>
      </w:tblGrid>
      <w:tr w14:paraId="1A6A2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9" w:hRule="atLeast"/>
        </w:trPr>
        <w:tc>
          <w:tcPr>
            <w:tcW w:w="1271" w:type="dxa"/>
            <w:gridSpan w:val="2"/>
            <w:shd w:val="clear" w:color="auto" w:fill="auto"/>
          </w:tcPr>
          <w:p w14:paraId="03701EDD">
            <w:pPr>
              <w:rPr>
                <w:b/>
                <w:vertAlign w:val="subscript"/>
              </w:rPr>
            </w:pPr>
            <w:r>
              <w:rPr>
                <w:rFonts w:hint="eastAsia"/>
                <w:b/>
              </w:rPr>
              <w:t>输入电压V</w:t>
            </w:r>
            <w:r>
              <w:rPr>
                <w:b/>
                <w:vertAlign w:val="subscript"/>
              </w:rPr>
              <w:t>i</w:t>
            </w:r>
          </w:p>
        </w:tc>
        <w:tc>
          <w:tcPr>
            <w:tcW w:w="1276" w:type="dxa"/>
            <w:shd w:val="clear" w:color="auto" w:fill="auto"/>
          </w:tcPr>
          <w:p w14:paraId="7F5CB356">
            <w:pPr>
              <w:rPr>
                <w:b/>
              </w:rPr>
            </w:pPr>
            <w:r>
              <w:rPr>
                <w:rFonts w:hint="eastAsia"/>
                <w:b/>
              </w:rPr>
              <w:t>0.1V</w:t>
            </w:r>
          </w:p>
        </w:tc>
        <w:tc>
          <w:tcPr>
            <w:tcW w:w="1276" w:type="dxa"/>
            <w:shd w:val="clear" w:color="auto" w:fill="auto"/>
          </w:tcPr>
          <w:p w14:paraId="2258ED25">
            <w:pPr>
              <w:rPr>
                <w:b/>
              </w:rPr>
            </w:pPr>
            <w:r>
              <w:rPr>
                <w:rFonts w:hint="eastAsia"/>
                <w:b/>
              </w:rPr>
              <w:t>0.2V</w:t>
            </w:r>
          </w:p>
        </w:tc>
        <w:tc>
          <w:tcPr>
            <w:tcW w:w="1275" w:type="dxa"/>
            <w:shd w:val="clear" w:color="auto" w:fill="auto"/>
          </w:tcPr>
          <w:p w14:paraId="488E6481">
            <w:pPr>
              <w:rPr>
                <w:b/>
              </w:rPr>
            </w:pPr>
            <w:r>
              <w:rPr>
                <w:rFonts w:hint="eastAsia"/>
                <w:b/>
              </w:rPr>
              <w:t>0.3V</w:t>
            </w:r>
          </w:p>
        </w:tc>
        <w:tc>
          <w:tcPr>
            <w:tcW w:w="1276" w:type="dxa"/>
            <w:shd w:val="clear" w:color="auto" w:fill="auto"/>
          </w:tcPr>
          <w:p w14:paraId="19B28E52">
            <w:pPr>
              <w:rPr>
                <w:b/>
              </w:rPr>
            </w:pPr>
            <w:r>
              <w:rPr>
                <w:rFonts w:hint="eastAsia"/>
                <w:b/>
              </w:rPr>
              <w:t>0.4</w:t>
            </w:r>
          </w:p>
        </w:tc>
        <w:tc>
          <w:tcPr>
            <w:tcW w:w="1276" w:type="dxa"/>
            <w:shd w:val="clear" w:color="auto" w:fill="auto"/>
          </w:tcPr>
          <w:p w14:paraId="720A9104">
            <w:pPr>
              <w:rPr>
                <w:b/>
              </w:rPr>
            </w:pPr>
            <w:r>
              <w:rPr>
                <w:rFonts w:hint="eastAsia"/>
                <w:b/>
              </w:rPr>
              <w:t>0.5</w:t>
            </w:r>
          </w:p>
        </w:tc>
      </w:tr>
      <w:tr w14:paraId="26F14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562" w:type="dxa"/>
            <w:vMerge w:val="restart"/>
            <w:shd w:val="clear" w:color="auto" w:fill="auto"/>
          </w:tcPr>
          <w:p w14:paraId="7656F88B">
            <w:pPr>
              <w:rPr>
                <w:b/>
              </w:rPr>
            </w:pPr>
            <w:r>
              <w:rPr>
                <w:rFonts w:hint="eastAsia"/>
                <w:b/>
              </w:rPr>
              <w:t>输出电压</w:t>
            </w:r>
          </w:p>
        </w:tc>
        <w:tc>
          <w:tcPr>
            <w:tcW w:w="709" w:type="dxa"/>
            <w:shd w:val="clear" w:color="auto" w:fill="auto"/>
          </w:tcPr>
          <w:p w14:paraId="0189D5D9">
            <w:pPr>
              <w:rPr>
                <w:b/>
                <w:vertAlign w:val="subscript"/>
              </w:rPr>
            </w:pPr>
            <w:r>
              <w:rPr>
                <w:rFonts w:hint="eastAsia"/>
                <w:b/>
              </w:rPr>
              <w:t>测得V</w:t>
            </w:r>
            <w:r>
              <w:rPr>
                <w:b/>
                <w:vertAlign w:val="subscript"/>
              </w:rPr>
              <w:t>o</w:t>
            </w:r>
          </w:p>
        </w:tc>
        <w:tc>
          <w:tcPr>
            <w:tcW w:w="1276" w:type="dxa"/>
            <w:shd w:val="clear" w:color="auto" w:fill="auto"/>
          </w:tcPr>
          <w:p w14:paraId="1FDDA84C">
            <w:pPr>
              <w:jc w:val="center"/>
              <w:rPr>
                <w:rFonts w:hint="default" w:eastAsiaTheme="minorEastAsia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-0.999945</w:t>
            </w:r>
          </w:p>
        </w:tc>
        <w:tc>
          <w:tcPr>
            <w:tcW w:w="1276" w:type="dxa"/>
            <w:shd w:val="clear" w:color="auto" w:fill="auto"/>
          </w:tcPr>
          <w:p w14:paraId="158E2383">
            <w:pPr>
              <w:rPr>
                <w:rFonts w:hint="default" w:eastAsiaTheme="minorEastAsia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-2</w:t>
            </w:r>
          </w:p>
        </w:tc>
        <w:tc>
          <w:tcPr>
            <w:tcW w:w="1275" w:type="dxa"/>
            <w:shd w:val="clear" w:color="auto" w:fill="auto"/>
          </w:tcPr>
          <w:p w14:paraId="08F5048A">
            <w:pPr>
              <w:rPr>
                <w:rFonts w:hint="default" w:eastAsiaTheme="minorEastAsia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-3</w:t>
            </w:r>
          </w:p>
        </w:tc>
        <w:tc>
          <w:tcPr>
            <w:tcW w:w="1276" w:type="dxa"/>
            <w:shd w:val="clear" w:color="auto" w:fill="auto"/>
          </w:tcPr>
          <w:p w14:paraId="3ABBD6D8">
            <w:pPr>
              <w:rPr>
                <w:rFonts w:hint="default" w:eastAsiaTheme="minorEastAsia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-4</w:t>
            </w:r>
          </w:p>
        </w:tc>
        <w:tc>
          <w:tcPr>
            <w:tcW w:w="1276" w:type="dxa"/>
            <w:shd w:val="clear" w:color="auto" w:fill="auto"/>
          </w:tcPr>
          <w:p w14:paraId="532E0136">
            <w:pPr>
              <w:rPr>
                <w:rFonts w:hint="default" w:eastAsiaTheme="minorEastAsia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-5</w:t>
            </w:r>
          </w:p>
        </w:tc>
      </w:tr>
      <w:tr w14:paraId="31AF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</w:trPr>
        <w:tc>
          <w:tcPr>
            <w:tcW w:w="562" w:type="dxa"/>
            <w:vMerge w:val="continue"/>
            <w:shd w:val="clear" w:color="auto" w:fill="auto"/>
          </w:tcPr>
          <w:p w14:paraId="10BAE2EE">
            <w:pPr>
              <w:rPr>
                <w:b/>
              </w:rPr>
            </w:pPr>
          </w:p>
        </w:tc>
        <w:tc>
          <w:tcPr>
            <w:tcW w:w="709" w:type="dxa"/>
            <w:shd w:val="clear" w:color="auto" w:fill="auto"/>
          </w:tcPr>
          <w:p w14:paraId="6CA08D97">
            <w:pPr>
              <w:rPr>
                <w:b/>
                <w:vertAlign w:val="subscript"/>
              </w:rPr>
            </w:pPr>
            <w:r>
              <w:rPr>
                <w:rFonts w:hint="eastAsia"/>
                <w:b/>
              </w:rPr>
              <w:t>算得V</w:t>
            </w:r>
            <w:r>
              <w:rPr>
                <w:b/>
                <w:vertAlign w:val="subscript"/>
              </w:rPr>
              <w:t>o</w:t>
            </w:r>
            <w:r>
              <w:rPr>
                <w:rFonts w:hint="eastAsia" w:ascii="宋体" w:hAnsi="宋体"/>
                <w:b/>
              </w:rPr>
              <w:t>′</w:t>
            </w:r>
          </w:p>
        </w:tc>
        <w:tc>
          <w:tcPr>
            <w:tcW w:w="1276" w:type="dxa"/>
            <w:shd w:val="clear" w:color="auto" w:fill="auto"/>
          </w:tcPr>
          <w:p w14:paraId="6664BE7B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41EC72CA">
            <w:pPr>
              <w:rPr>
                <w:b/>
              </w:rPr>
            </w:pPr>
          </w:p>
        </w:tc>
        <w:tc>
          <w:tcPr>
            <w:tcW w:w="1275" w:type="dxa"/>
            <w:shd w:val="clear" w:color="auto" w:fill="auto"/>
          </w:tcPr>
          <w:p w14:paraId="26FC7DC2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3F71552B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79DD165A">
            <w:pPr>
              <w:rPr>
                <w:b/>
              </w:rPr>
            </w:pPr>
          </w:p>
        </w:tc>
      </w:tr>
      <w:tr w14:paraId="75CFD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</w:trPr>
        <w:tc>
          <w:tcPr>
            <w:tcW w:w="562" w:type="dxa"/>
            <w:vMerge w:val="restart"/>
            <w:shd w:val="clear" w:color="auto" w:fill="auto"/>
          </w:tcPr>
          <w:p w14:paraId="35358DDA">
            <w:pPr>
              <w:rPr>
                <w:b/>
              </w:rPr>
            </w:pPr>
          </w:p>
          <w:p w14:paraId="628FBDF5">
            <w:pPr>
              <w:rPr>
                <w:b/>
                <w:vertAlign w:val="subscript"/>
              </w:rPr>
            </w:pPr>
            <w:r>
              <w:rPr>
                <w:rFonts w:hint="eastAsia"/>
                <w:b/>
              </w:rPr>
              <w:t>A</w:t>
            </w:r>
            <w:r>
              <w:rPr>
                <w:b/>
                <w:vertAlign w:val="subscript"/>
              </w:rPr>
              <w:t>V</w:t>
            </w:r>
          </w:p>
        </w:tc>
        <w:tc>
          <w:tcPr>
            <w:tcW w:w="709" w:type="dxa"/>
            <w:shd w:val="clear" w:color="auto" w:fill="auto"/>
          </w:tcPr>
          <w:p w14:paraId="3F775112">
            <w:pPr>
              <w:rPr>
                <w:b/>
                <w:vertAlign w:val="subscript"/>
              </w:rPr>
            </w:pPr>
            <w:r>
              <w:rPr>
                <w:rFonts w:hint="eastAsia"/>
                <w:b/>
              </w:rPr>
              <w:t>V</w:t>
            </w:r>
            <w:r>
              <w:rPr>
                <w:b/>
                <w:vertAlign w:val="subscript"/>
              </w:rPr>
              <w:t>o</w:t>
            </w:r>
            <w:r>
              <w:rPr>
                <w:b/>
              </w:rPr>
              <w:t>/V</w:t>
            </w:r>
            <w:r>
              <w:rPr>
                <w:b/>
                <w:vertAlign w:val="subscript"/>
              </w:rPr>
              <w:t>i</w:t>
            </w:r>
          </w:p>
        </w:tc>
        <w:tc>
          <w:tcPr>
            <w:tcW w:w="1276" w:type="dxa"/>
            <w:shd w:val="clear" w:color="auto" w:fill="auto"/>
          </w:tcPr>
          <w:p w14:paraId="5F6DFD0C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1991A993">
            <w:pPr>
              <w:rPr>
                <w:b/>
              </w:rPr>
            </w:pPr>
          </w:p>
        </w:tc>
        <w:tc>
          <w:tcPr>
            <w:tcW w:w="1275" w:type="dxa"/>
            <w:shd w:val="clear" w:color="auto" w:fill="auto"/>
          </w:tcPr>
          <w:p w14:paraId="04233BAE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56B53C6E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01DC26F9">
            <w:pPr>
              <w:rPr>
                <w:b/>
              </w:rPr>
            </w:pPr>
          </w:p>
        </w:tc>
      </w:tr>
      <w:tr w14:paraId="75973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</w:trPr>
        <w:tc>
          <w:tcPr>
            <w:tcW w:w="562" w:type="dxa"/>
            <w:vMerge w:val="continue"/>
            <w:shd w:val="clear" w:color="auto" w:fill="auto"/>
          </w:tcPr>
          <w:p w14:paraId="428CFA4A">
            <w:pPr>
              <w:rPr>
                <w:b/>
              </w:rPr>
            </w:pPr>
          </w:p>
        </w:tc>
        <w:tc>
          <w:tcPr>
            <w:tcW w:w="709" w:type="dxa"/>
            <w:shd w:val="clear" w:color="auto" w:fill="auto"/>
          </w:tcPr>
          <w:p w14:paraId="356AC1AC">
            <w:pPr>
              <w:rPr>
                <w:b/>
              </w:rPr>
            </w:pPr>
            <w:r>
              <w:rPr>
                <w:rFonts w:hint="eastAsia"/>
                <w:b/>
                <w:sz w:val="15"/>
              </w:rPr>
              <w:t>平均值</w:t>
            </w:r>
          </w:p>
        </w:tc>
        <w:tc>
          <w:tcPr>
            <w:tcW w:w="6379" w:type="dxa"/>
            <w:gridSpan w:val="5"/>
            <w:shd w:val="clear" w:color="auto" w:fill="auto"/>
          </w:tcPr>
          <w:p w14:paraId="5B94C6B0">
            <w:pPr>
              <w:jc w:val="center"/>
              <w:rPr>
                <w:b/>
              </w:rPr>
            </w:pPr>
          </w:p>
        </w:tc>
      </w:tr>
    </w:tbl>
    <w:p w14:paraId="5F5DC150">
      <w:pPr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>3、</w:t>
      </w:r>
      <w:r>
        <w:rPr>
          <w:rFonts w:hint="eastAsia" w:ascii="宋体" w:hAnsi="宋体" w:eastAsia="宋体"/>
          <w:sz w:val="24"/>
          <w:szCs w:val="24"/>
        </w:rPr>
        <w:t>非倒向</w:t>
      </w:r>
      <w:r>
        <w:rPr>
          <w:rFonts w:ascii="宋体" w:hAnsi="宋体" w:eastAsia="宋体"/>
          <w:sz w:val="24"/>
          <w:szCs w:val="24"/>
        </w:rPr>
        <w:t>输入放大电路原理图</w:t>
      </w:r>
    </w:p>
    <w:p w14:paraId="1C7530BD">
      <w:pPr>
        <w:rPr>
          <w:rFonts w:ascii="宋体" w:hAnsi="宋体" w:eastAsia="宋体"/>
          <w:sz w:val="24"/>
          <w:szCs w:val="24"/>
        </w:rPr>
      </w:pPr>
      <w:r>
        <w:drawing>
          <wp:inline distT="0" distB="0" distL="0" distR="0">
            <wp:extent cx="5274310" cy="2737485"/>
            <wp:effectExtent l="0" t="0" r="254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"/>
        <w:gridCol w:w="709"/>
        <w:gridCol w:w="1276"/>
        <w:gridCol w:w="1276"/>
        <w:gridCol w:w="1275"/>
        <w:gridCol w:w="1276"/>
        <w:gridCol w:w="1276"/>
      </w:tblGrid>
      <w:tr w14:paraId="0D424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9" w:hRule="atLeast"/>
        </w:trPr>
        <w:tc>
          <w:tcPr>
            <w:tcW w:w="1271" w:type="dxa"/>
            <w:gridSpan w:val="2"/>
            <w:shd w:val="clear" w:color="auto" w:fill="auto"/>
          </w:tcPr>
          <w:p w14:paraId="3B921C34">
            <w:pPr>
              <w:rPr>
                <w:b/>
                <w:vertAlign w:val="subscript"/>
              </w:rPr>
            </w:pPr>
            <w:r>
              <w:rPr>
                <w:rFonts w:hint="eastAsia"/>
                <w:b/>
              </w:rPr>
              <w:t>输入电压V</w:t>
            </w:r>
            <w:r>
              <w:rPr>
                <w:b/>
                <w:vertAlign w:val="subscript"/>
              </w:rPr>
              <w:t>i</w:t>
            </w:r>
          </w:p>
        </w:tc>
        <w:tc>
          <w:tcPr>
            <w:tcW w:w="1276" w:type="dxa"/>
            <w:shd w:val="clear" w:color="auto" w:fill="auto"/>
          </w:tcPr>
          <w:p w14:paraId="6F50C63D">
            <w:pPr>
              <w:rPr>
                <w:b/>
              </w:rPr>
            </w:pPr>
            <w:r>
              <w:rPr>
                <w:rFonts w:hint="eastAsia"/>
                <w:b/>
              </w:rPr>
              <w:t>0.1V</w:t>
            </w:r>
          </w:p>
        </w:tc>
        <w:tc>
          <w:tcPr>
            <w:tcW w:w="1276" w:type="dxa"/>
            <w:shd w:val="clear" w:color="auto" w:fill="auto"/>
          </w:tcPr>
          <w:p w14:paraId="08D1F9B7">
            <w:pPr>
              <w:rPr>
                <w:b/>
              </w:rPr>
            </w:pPr>
            <w:r>
              <w:rPr>
                <w:rFonts w:hint="eastAsia"/>
                <w:b/>
              </w:rPr>
              <w:t>0.2V</w:t>
            </w:r>
          </w:p>
        </w:tc>
        <w:tc>
          <w:tcPr>
            <w:tcW w:w="1275" w:type="dxa"/>
            <w:shd w:val="clear" w:color="auto" w:fill="auto"/>
          </w:tcPr>
          <w:p w14:paraId="7A659627">
            <w:pPr>
              <w:rPr>
                <w:b/>
              </w:rPr>
            </w:pPr>
            <w:r>
              <w:rPr>
                <w:rFonts w:hint="eastAsia"/>
                <w:b/>
              </w:rPr>
              <w:t>0.3V</w:t>
            </w:r>
          </w:p>
        </w:tc>
        <w:tc>
          <w:tcPr>
            <w:tcW w:w="1276" w:type="dxa"/>
            <w:shd w:val="clear" w:color="auto" w:fill="auto"/>
          </w:tcPr>
          <w:p w14:paraId="263E4A9C">
            <w:pPr>
              <w:rPr>
                <w:b/>
              </w:rPr>
            </w:pPr>
            <w:r>
              <w:rPr>
                <w:rFonts w:hint="eastAsia"/>
                <w:b/>
              </w:rPr>
              <w:t>0.4</w:t>
            </w:r>
          </w:p>
        </w:tc>
        <w:tc>
          <w:tcPr>
            <w:tcW w:w="1276" w:type="dxa"/>
            <w:shd w:val="clear" w:color="auto" w:fill="auto"/>
          </w:tcPr>
          <w:p w14:paraId="3EC100A3">
            <w:pPr>
              <w:rPr>
                <w:b/>
              </w:rPr>
            </w:pPr>
            <w:r>
              <w:rPr>
                <w:rFonts w:hint="eastAsia"/>
                <w:b/>
              </w:rPr>
              <w:t>0.5</w:t>
            </w:r>
          </w:p>
        </w:tc>
      </w:tr>
      <w:tr w14:paraId="26D2E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562" w:type="dxa"/>
            <w:vMerge w:val="restart"/>
            <w:shd w:val="clear" w:color="auto" w:fill="auto"/>
          </w:tcPr>
          <w:p w14:paraId="43EBC767">
            <w:pPr>
              <w:rPr>
                <w:b/>
              </w:rPr>
            </w:pPr>
            <w:r>
              <w:rPr>
                <w:rFonts w:hint="eastAsia"/>
                <w:b/>
              </w:rPr>
              <w:t>输出电压</w:t>
            </w:r>
          </w:p>
        </w:tc>
        <w:tc>
          <w:tcPr>
            <w:tcW w:w="709" w:type="dxa"/>
            <w:shd w:val="clear" w:color="auto" w:fill="auto"/>
          </w:tcPr>
          <w:p w14:paraId="474D96BB">
            <w:pPr>
              <w:rPr>
                <w:b/>
                <w:vertAlign w:val="subscript"/>
              </w:rPr>
            </w:pPr>
            <w:r>
              <w:rPr>
                <w:rFonts w:hint="eastAsia"/>
                <w:b/>
              </w:rPr>
              <w:t>测得V</w:t>
            </w:r>
            <w:r>
              <w:rPr>
                <w:b/>
                <w:vertAlign w:val="subscript"/>
              </w:rPr>
              <w:t>o</w:t>
            </w:r>
          </w:p>
        </w:tc>
        <w:tc>
          <w:tcPr>
            <w:tcW w:w="1276" w:type="dxa"/>
            <w:shd w:val="clear" w:color="auto" w:fill="auto"/>
          </w:tcPr>
          <w:p w14:paraId="069C5562">
            <w:pPr>
              <w:rPr>
                <w:b/>
              </w:rPr>
            </w:pPr>
          </w:p>
          <w:p w14:paraId="53C8A012">
            <w:pPr>
              <w:bidi w:val="0"/>
              <w:jc w:val="center"/>
              <w:rPr>
                <w:rFonts w:asciiTheme="minorHAnsi" w:hAnsiTheme="minorHAnsi" w:eastAsiaTheme="minorEastAsia" w:cstheme="minorBidi"/>
                <w:kern w:val="2"/>
                <w:sz w:val="21"/>
                <w:szCs w:val="22"/>
                <w:lang w:val="en-US" w:eastAsia="zh-CN" w:bidi="ar-SA"/>
              </w:rPr>
            </w:pPr>
            <w:bookmarkStart w:id="0" w:name="_GoBack"/>
            <w:bookmarkEnd w:id="0"/>
          </w:p>
        </w:tc>
        <w:tc>
          <w:tcPr>
            <w:tcW w:w="1276" w:type="dxa"/>
            <w:shd w:val="clear" w:color="auto" w:fill="auto"/>
          </w:tcPr>
          <w:p w14:paraId="36845516">
            <w:pPr>
              <w:rPr>
                <w:b/>
              </w:rPr>
            </w:pPr>
          </w:p>
        </w:tc>
        <w:tc>
          <w:tcPr>
            <w:tcW w:w="1275" w:type="dxa"/>
            <w:shd w:val="clear" w:color="auto" w:fill="auto"/>
          </w:tcPr>
          <w:p w14:paraId="0DC10795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414CA9C2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35194E05">
            <w:pPr>
              <w:rPr>
                <w:b/>
              </w:rPr>
            </w:pPr>
          </w:p>
        </w:tc>
      </w:tr>
      <w:tr w14:paraId="08421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</w:trPr>
        <w:tc>
          <w:tcPr>
            <w:tcW w:w="562" w:type="dxa"/>
            <w:vMerge w:val="continue"/>
            <w:shd w:val="clear" w:color="auto" w:fill="auto"/>
          </w:tcPr>
          <w:p w14:paraId="0412FF49">
            <w:pPr>
              <w:rPr>
                <w:b/>
              </w:rPr>
            </w:pPr>
          </w:p>
        </w:tc>
        <w:tc>
          <w:tcPr>
            <w:tcW w:w="709" w:type="dxa"/>
            <w:shd w:val="clear" w:color="auto" w:fill="auto"/>
          </w:tcPr>
          <w:p w14:paraId="67D85142">
            <w:pPr>
              <w:rPr>
                <w:b/>
                <w:vertAlign w:val="subscript"/>
              </w:rPr>
            </w:pPr>
            <w:r>
              <w:rPr>
                <w:rFonts w:hint="eastAsia"/>
                <w:b/>
              </w:rPr>
              <w:t>算得V</w:t>
            </w:r>
            <w:r>
              <w:rPr>
                <w:b/>
                <w:vertAlign w:val="subscript"/>
              </w:rPr>
              <w:t>o</w:t>
            </w:r>
            <w:r>
              <w:rPr>
                <w:rFonts w:hint="eastAsia" w:ascii="宋体" w:hAnsi="宋体"/>
                <w:b/>
              </w:rPr>
              <w:t>′</w:t>
            </w:r>
          </w:p>
        </w:tc>
        <w:tc>
          <w:tcPr>
            <w:tcW w:w="1276" w:type="dxa"/>
            <w:shd w:val="clear" w:color="auto" w:fill="auto"/>
          </w:tcPr>
          <w:p w14:paraId="70B24497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01FE391D">
            <w:pPr>
              <w:rPr>
                <w:b/>
              </w:rPr>
            </w:pPr>
          </w:p>
        </w:tc>
        <w:tc>
          <w:tcPr>
            <w:tcW w:w="1275" w:type="dxa"/>
            <w:shd w:val="clear" w:color="auto" w:fill="auto"/>
          </w:tcPr>
          <w:p w14:paraId="10E1C283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3FEFDF2E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7051AC0B">
            <w:pPr>
              <w:rPr>
                <w:b/>
              </w:rPr>
            </w:pPr>
          </w:p>
        </w:tc>
      </w:tr>
      <w:tr w14:paraId="6568A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</w:trPr>
        <w:tc>
          <w:tcPr>
            <w:tcW w:w="562" w:type="dxa"/>
            <w:vMerge w:val="restart"/>
            <w:shd w:val="clear" w:color="auto" w:fill="auto"/>
          </w:tcPr>
          <w:p w14:paraId="6A2CE709">
            <w:pPr>
              <w:rPr>
                <w:b/>
              </w:rPr>
            </w:pPr>
          </w:p>
          <w:p w14:paraId="57A82108">
            <w:pPr>
              <w:rPr>
                <w:b/>
                <w:vertAlign w:val="subscript"/>
              </w:rPr>
            </w:pPr>
            <w:r>
              <w:rPr>
                <w:rFonts w:hint="eastAsia"/>
                <w:b/>
              </w:rPr>
              <w:t>A</w:t>
            </w:r>
            <w:r>
              <w:rPr>
                <w:b/>
                <w:vertAlign w:val="subscript"/>
              </w:rPr>
              <w:t>V</w:t>
            </w:r>
          </w:p>
        </w:tc>
        <w:tc>
          <w:tcPr>
            <w:tcW w:w="709" w:type="dxa"/>
            <w:shd w:val="clear" w:color="auto" w:fill="auto"/>
          </w:tcPr>
          <w:p w14:paraId="680804CC">
            <w:pPr>
              <w:rPr>
                <w:b/>
                <w:vertAlign w:val="subscript"/>
              </w:rPr>
            </w:pPr>
            <w:r>
              <w:rPr>
                <w:rFonts w:hint="eastAsia"/>
                <w:b/>
              </w:rPr>
              <w:t>V</w:t>
            </w:r>
            <w:r>
              <w:rPr>
                <w:b/>
                <w:vertAlign w:val="subscript"/>
              </w:rPr>
              <w:t>o</w:t>
            </w:r>
            <w:r>
              <w:rPr>
                <w:b/>
              </w:rPr>
              <w:t>/V</w:t>
            </w:r>
            <w:r>
              <w:rPr>
                <w:b/>
                <w:vertAlign w:val="subscript"/>
              </w:rPr>
              <w:t>i</w:t>
            </w:r>
          </w:p>
        </w:tc>
        <w:tc>
          <w:tcPr>
            <w:tcW w:w="1276" w:type="dxa"/>
            <w:shd w:val="clear" w:color="auto" w:fill="auto"/>
          </w:tcPr>
          <w:p w14:paraId="16ACFE99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05AFEA0F">
            <w:pPr>
              <w:rPr>
                <w:b/>
              </w:rPr>
            </w:pPr>
          </w:p>
        </w:tc>
        <w:tc>
          <w:tcPr>
            <w:tcW w:w="1275" w:type="dxa"/>
            <w:shd w:val="clear" w:color="auto" w:fill="auto"/>
          </w:tcPr>
          <w:p w14:paraId="48B2F6F3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14B89648">
            <w:pPr>
              <w:rPr>
                <w:b/>
              </w:rPr>
            </w:pPr>
          </w:p>
        </w:tc>
        <w:tc>
          <w:tcPr>
            <w:tcW w:w="1276" w:type="dxa"/>
            <w:shd w:val="clear" w:color="auto" w:fill="auto"/>
          </w:tcPr>
          <w:p w14:paraId="0869FF02">
            <w:pPr>
              <w:rPr>
                <w:b/>
              </w:rPr>
            </w:pPr>
          </w:p>
        </w:tc>
      </w:tr>
      <w:tr w14:paraId="605D8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</w:trPr>
        <w:tc>
          <w:tcPr>
            <w:tcW w:w="562" w:type="dxa"/>
            <w:vMerge w:val="continue"/>
            <w:shd w:val="clear" w:color="auto" w:fill="auto"/>
          </w:tcPr>
          <w:p w14:paraId="7A105625">
            <w:pPr>
              <w:rPr>
                <w:b/>
              </w:rPr>
            </w:pPr>
          </w:p>
        </w:tc>
        <w:tc>
          <w:tcPr>
            <w:tcW w:w="709" w:type="dxa"/>
            <w:shd w:val="clear" w:color="auto" w:fill="auto"/>
          </w:tcPr>
          <w:p w14:paraId="5FC5CEE3">
            <w:pPr>
              <w:rPr>
                <w:b/>
              </w:rPr>
            </w:pPr>
            <w:r>
              <w:rPr>
                <w:rFonts w:hint="eastAsia"/>
                <w:b/>
                <w:sz w:val="15"/>
              </w:rPr>
              <w:t>平均值</w:t>
            </w:r>
          </w:p>
        </w:tc>
        <w:tc>
          <w:tcPr>
            <w:tcW w:w="6379" w:type="dxa"/>
            <w:gridSpan w:val="5"/>
            <w:shd w:val="clear" w:color="auto" w:fill="auto"/>
          </w:tcPr>
          <w:p w14:paraId="429EC7A3">
            <w:pPr>
              <w:jc w:val="center"/>
              <w:rPr>
                <w:b/>
              </w:rPr>
            </w:pPr>
          </w:p>
        </w:tc>
      </w:tr>
    </w:tbl>
    <w:p w14:paraId="75FB6B92">
      <w:pPr>
        <w:rPr>
          <w:rFonts w:hint="eastAsia" w:ascii="宋体" w:hAnsi="宋体" w:eastAsia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421B"/>
    <w:rsid w:val="00181B2A"/>
    <w:rsid w:val="00573EDD"/>
    <w:rsid w:val="00603942"/>
    <w:rsid w:val="007C2B1C"/>
    <w:rsid w:val="009E0C4E"/>
    <w:rsid w:val="00A5421B"/>
    <w:rsid w:val="00BD322D"/>
    <w:rsid w:val="00ED22A3"/>
    <w:rsid w:val="00F35127"/>
    <w:rsid w:val="291F1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103</Words>
  <Characters>146</Characters>
  <Lines>1</Lines>
  <Paragraphs>1</Paragraphs>
  <TotalTime>11</TotalTime>
  <ScaleCrop>false</ScaleCrop>
  <LinksUpToDate>false</LinksUpToDate>
  <CharactersWithSpaces>146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2023-12-11T01:01:00Z</dcterms:created>
  <dc:creator>DELL</dc:creator>
  <cp:lastModifiedBy>Alone</cp:lastModifiedBy>
  <dcterms:modified xsi:type="dcterms:W3CDTF">2025-12-14T08:18:47Z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eyJoZGlkIjoiYzZkZTljOWEyMmU4OTEyZjA1ZmNiODBlMDdmNzc3YWUiLCJ1c2VySWQiOiI0NzMwMzA5MDYifQ==</vt:lpwstr>
  </property>
  <property fmtid="{D5CDD505-2E9C-101B-9397-08002B2CF9AE}" pid="3" name="KSOProductBuildVer">
    <vt:lpwstr>2052-12.1.0.24034</vt:lpwstr>
  </property>
  <property fmtid="{D5CDD505-2E9C-101B-9397-08002B2CF9AE}" pid="4" name="ICV">
    <vt:lpwstr>681651DF5AFB498F8FFCFACCA3CE8670_12</vt:lpwstr>
  </property>
</Properties>
</file>