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embeddings/Microsoft_Visio___3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B2C5C">
      <w:pPr>
        <w:spacing w:line="300" w:lineRule="auto"/>
        <w:jc w:val="center"/>
        <w:rPr>
          <w:rFonts w:hint="eastAsia" w:ascii="楷体_GB2312" w:hAnsi="宋体" w:eastAsia="楷体_GB2312"/>
          <w:b/>
          <w:sz w:val="32"/>
          <w:szCs w:val="32"/>
        </w:rPr>
      </w:pPr>
      <w:r>
        <w:rPr>
          <w:rFonts w:hint="eastAsia" w:ascii="楷体_GB2312" w:hAnsi="宋体" w:eastAsia="楷体_GB2312"/>
          <w:b/>
          <w:sz w:val="32"/>
          <w:szCs w:val="32"/>
        </w:rPr>
        <w:t>实验七  探究一阶电路的零状态、零输入及全响应</w:t>
      </w:r>
    </w:p>
    <w:p w14:paraId="15318BB5">
      <w:pPr>
        <w:numPr>
          <w:ilvl w:val="0"/>
          <w:numId w:val="1"/>
        </w:numPr>
        <w:spacing w:line="300" w:lineRule="auto"/>
        <w:jc w:val="left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>实验目的</w:t>
      </w:r>
    </w:p>
    <w:p w14:paraId="28C960C4">
      <w:pPr>
        <w:spacing w:line="300" w:lineRule="auto"/>
        <w:ind w:firstLine="630" w:firstLineChars="3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1、熟练电路的搭建</w:t>
      </w:r>
    </w:p>
    <w:p w14:paraId="50921A04">
      <w:pPr>
        <w:spacing w:line="300" w:lineRule="auto"/>
        <w:ind w:firstLine="630" w:firstLineChars="300"/>
        <w:jc w:val="left"/>
        <w:rPr>
          <w:rFonts w:ascii="楷体_GB2312" w:hAnsi="宋体" w:eastAsia="楷体_GB2312"/>
          <w:b/>
          <w:sz w:val="28"/>
          <w:szCs w:val="28"/>
        </w:rPr>
      </w:pPr>
      <w:r>
        <w:rPr>
          <w:rFonts w:hint="eastAsia" w:ascii="宋体" w:hAnsi="宋体"/>
          <w:szCs w:val="21"/>
        </w:rPr>
        <w:t>2、掌握一阶电路的零状态、零输入及全响应</w:t>
      </w:r>
    </w:p>
    <w:p w14:paraId="0FFCEAFD">
      <w:pPr>
        <w:numPr>
          <w:ilvl w:val="0"/>
          <w:numId w:val="2"/>
        </w:numPr>
        <w:spacing w:line="300" w:lineRule="auto"/>
        <w:jc w:val="left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>实验器材</w:t>
      </w:r>
    </w:p>
    <w:p w14:paraId="74CFB616">
      <w:pPr>
        <w:spacing w:line="300" w:lineRule="auto"/>
        <w:jc w:val="left"/>
        <w:rPr>
          <w:rFonts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 xml:space="preserve">    </w:t>
      </w:r>
      <w:r>
        <w:rPr>
          <w:rFonts w:hint="eastAsia" w:ascii="宋体" w:hAnsi="宋体" w:cs="宋体"/>
          <w:bCs/>
          <w:szCs w:val="21"/>
        </w:rPr>
        <w:t>Multisim仿真软件</w:t>
      </w:r>
    </w:p>
    <w:p w14:paraId="5F896373">
      <w:pPr>
        <w:spacing w:line="300" w:lineRule="auto"/>
        <w:jc w:val="left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>三、实验内容</w:t>
      </w:r>
    </w:p>
    <w:p w14:paraId="34B91D8D">
      <w:pPr>
        <w:spacing w:line="300" w:lineRule="auto"/>
        <w:ind w:firstLine="630" w:firstLineChars="300"/>
        <w:rPr>
          <w:rFonts w:hint="eastAsia" w:ascii="宋体" w:hAnsi="宋体" w:cs="宋体"/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1).实验原理图</w:t>
      </w:r>
    </w:p>
    <w:p w14:paraId="3CAF7DD8">
      <w:pPr>
        <w:spacing w:line="300" w:lineRule="auto"/>
        <w:jc w:val="center"/>
        <w:rPr>
          <w:rFonts w:hint="eastAsia" w:ascii="宋体" w:hAnsi="宋体" w:cs="宋体"/>
          <w:bCs/>
          <w:szCs w:val="21"/>
        </w:rPr>
      </w:pPr>
      <w:r>
        <w:rPr>
          <w:rFonts w:hint="eastAsia" w:ascii="宋体" w:hAnsi="宋体" w:cs="宋体"/>
          <w:bCs/>
          <w:szCs w:val="21"/>
        </w:rPr>
        <w:t xml:space="preserve">             </w:t>
      </w:r>
      <w:r>
        <w:rPr>
          <w:rFonts w:hint="eastAsia" w:ascii="宋体" w:hAnsi="宋体" w:cs="宋体"/>
          <w:bCs/>
          <w:szCs w:val="21"/>
        </w:rPr>
        <w:object>
          <v:shape id="_x0000_i1025" o:spt="75" type="#_x0000_t75" style="height:139.5pt;width:322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 w14:paraId="337B9638">
      <w:pPr>
        <w:spacing w:line="300" w:lineRule="auto"/>
        <w:ind w:firstLine="630" w:firstLineChars="300"/>
        <w:jc w:val="center"/>
        <w:rPr>
          <w:rFonts w:hint="eastAsia" w:ascii="宋体" w:hAnsi="宋体" w:cs="宋体"/>
          <w:bCs/>
          <w:szCs w:val="21"/>
        </w:rPr>
      </w:pPr>
      <w:r>
        <w:rPr>
          <w:rFonts w:hint="eastAsia" w:ascii="宋体" w:hAnsi="宋体" w:cs="宋体"/>
          <w:bCs/>
          <w:szCs w:val="21"/>
        </w:rPr>
        <w:t xml:space="preserve">图(1)-零状态响应      </w:t>
      </w:r>
    </w:p>
    <w:p w14:paraId="2C394F16">
      <w:pPr>
        <w:spacing w:line="300" w:lineRule="auto"/>
        <w:ind w:firstLine="630" w:firstLineChars="30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object>
          <v:shape id="_x0000_i1026" o:spt="75" type="#_x0000_t75" style="height:132pt;width:346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6">
            <o:LockedField>false</o:LockedField>
          </o:OLEObject>
        </w:object>
      </w:r>
    </w:p>
    <w:p w14:paraId="2D9BBC23">
      <w:pPr>
        <w:spacing w:line="300" w:lineRule="auto"/>
        <w:ind w:firstLine="630" w:firstLineChars="300"/>
        <w:jc w:val="center"/>
        <w:rPr>
          <w:rFonts w:hint="eastAsia" w:ascii="宋体" w:hAnsi="宋体" w:cs="宋体"/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图(2)-零输入响应</w:t>
      </w:r>
    </w:p>
    <w:p w14:paraId="4A8D4695">
      <w:pPr>
        <w:spacing w:line="300" w:lineRule="auto"/>
        <w:ind w:firstLine="630" w:firstLineChars="300"/>
        <w:rPr>
          <w:rFonts w:hint="eastAsia" w:ascii="宋体" w:hAnsi="宋体" w:cs="宋体"/>
          <w:bCs/>
          <w:szCs w:val="21"/>
        </w:rPr>
      </w:pPr>
      <w:r>
        <w:rPr>
          <w:rFonts w:hint="eastAsia" w:ascii="宋体" w:hAnsi="宋体" w:cs="宋体"/>
          <w:bCs/>
          <w:szCs w:val="21"/>
        </w:rPr>
        <w:t xml:space="preserve">        </w:t>
      </w:r>
      <w:r>
        <w:rPr>
          <w:rFonts w:hint="eastAsia" w:ascii="宋体" w:hAnsi="宋体" w:cs="宋体"/>
          <w:bCs/>
          <w:szCs w:val="21"/>
        </w:rPr>
        <w:object>
          <v:shape id="_x0000_i1027" o:spt="75" type="#_x0000_t75" style="height:129pt;width:257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f"/>
            <w10:wrap type="none"/>
            <w10:anchorlock/>
          </v:shape>
          <o:OLEObject Type="Embed" ProgID="Visio.Drawing.15" ShapeID="_x0000_i1027" DrawAspect="Content" ObjectID="_1468075727" r:id="rId8">
            <o:LockedField>false</o:LockedField>
          </o:OLEObject>
        </w:object>
      </w:r>
    </w:p>
    <w:p w14:paraId="28D9A0FD">
      <w:pPr>
        <w:spacing w:line="300" w:lineRule="auto"/>
        <w:ind w:firstLine="630" w:firstLineChars="300"/>
        <w:jc w:val="center"/>
        <w:rPr>
          <w:rFonts w:hint="eastAsia" w:ascii="宋体" w:hAnsi="宋体" w:cs="宋体"/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图(3)-全响应</w:t>
      </w:r>
    </w:p>
    <w:p w14:paraId="4001E21A">
      <w:pPr>
        <w:spacing w:line="300" w:lineRule="auto"/>
        <w:ind w:firstLine="630" w:firstLineChars="300"/>
        <w:jc w:val="center"/>
        <w:rPr>
          <w:rFonts w:ascii="宋体" w:hAnsi="宋体" w:cs="宋体"/>
          <w:bCs/>
          <w:szCs w:val="21"/>
        </w:rPr>
      </w:pPr>
    </w:p>
    <w:p w14:paraId="234BD145">
      <w:pPr>
        <w:spacing w:line="300" w:lineRule="auto"/>
        <w:ind w:firstLine="630" w:firstLineChars="300"/>
        <w:rPr>
          <w:rFonts w:ascii="宋体" w:hAnsi="宋体" w:cs="宋体"/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2).仿真电路</w:t>
      </w:r>
    </w:p>
    <w:p w14:paraId="4231D160">
      <w:pPr>
        <w:spacing w:line="300" w:lineRule="auto"/>
        <w:ind w:firstLine="630" w:firstLineChars="300"/>
        <w:rPr>
          <w:rFonts w:hint="eastAsia" w:ascii="宋体" w:hAnsi="宋体" w:cs="宋体"/>
          <w:b/>
          <w:szCs w:val="21"/>
        </w:rPr>
      </w:pPr>
      <w:r>
        <w:drawing>
          <wp:inline distT="0" distB="0" distL="114300" distR="114300">
            <wp:extent cx="5267960" cy="5552440"/>
            <wp:effectExtent l="0" t="0" r="5080" b="10160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55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80508">
      <w:pPr>
        <w:spacing w:line="300" w:lineRule="auto"/>
        <w:jc w:val="center"/>
      </w:pPr>
    </w:p>
    <w:p w14:paraId="7ED5C9E3">
      <w:pPr>
        <w:spacing w:line="300" w:lineRule="auto"/>
        <w:jc w:val="center"/>
        <w:rPr>
          <w:rFonts w:hint="eastAsia" w:ascii="宋体" w:hAnsi="宋体" w:cs="宋体"/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图(1)</w:t>
      </w:r>
      <w:r>
        <w:rPr>
          <w:rFonts w:ascii="宋体" w:hAnsi="宋体" w:cs="宋体"/>
          <w:bCs/>
          <w:szCs w:val="21"/>
        </w:rPr>
        <w:t>’</w:t>
      </w:r>
      <w:r>
        <w:rPr>
          <w:rFonts w:hint="eastAsia" w:ascii="宋体" w:hAnsi="宋体" w:cs="宋体"/>
          <w:bCs/>
          <w:szCs w:val="21"/>
        </w:rPr>
        <w:t>-零状态响应</w:t>
      </w:r>
    </w:p>
    <w:p w14:paraId="6AAEFC54">
      <w:pPr>
        <w:spacing w:line="300" w:lineRule="auto"/>
        <w:jc w:val="center"/>
      </w:pPr>
      <w:r>
        <w:drawing>
          <wp:inline distT="0" distB="0" distL="114300" distR="114300">
            <wp:extent cx="5270500" cy="2062480"/>
            <wp:effectExtent l="0" t="0" r="2540" b="1016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0D9C8">
      <w:pPr>
        <w:spacing w:line="300" w:lineRule="auto"/>
        <w:jc w:val="center"/>
      </w:pPr>
      <w:r>
        <w:drawing>
          <wp:inline distT="0" distB="0" distL="114300" distR="114300">
            <wp:extent cx="5269865" cy="3957955"/>
            <wp:effectExtent l="0" t="0" r="3175" b="4445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30DE3">
      <w:pPr>
        <w:spacing w:line="300" w:lineRule="auto"/>
        <w:jc w:val="center"/>
        <w:rPr>
          <w:rFonts w:hint="eastAsia" w:ascii="宋体" w:hAnsi="宋体" w:cs="宋体"/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图(2)</w:t>
      </w:r>
      <w:r>
        <w:rPr>
          <w:rFonts w:ascii="宋体" w:hAnsi="宋体" w:cs="宋体"/>
          <w:bCs/>
          <w:szCs w:val="21"/>
        </w:rPr>
        <w:t>’</w:t>
      </w:r>
      <w:r>
        <w:rPr>
          <w:rFonts w:hint="eastAsia" w:ascii="宋体" w:hAnsi="宋体" w:cs="宋体"/>
          <w:bCs/>
          <w:szCs w:val="21"/>
        </w:rPr>
        <w:t>-零输入响应</w:t>
      </w:r>
    </w:p>
    <w:p w14:paraId="3408A278">
      <w:pPr>
        <w:spacing w:line="300" w:lineRule="auto"/>
        <w:jc w:val="left"/>
      </w:pPr>
      <w:r>
        <w:drawing>
          <wp:inline distT="0" distB="0" distL="114300" distR="114300">
            <wp:extent cx="5273040" cy="1986280"/>
            <wp:effectExtent l="0" t="0" r="0" b="10160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B09CA">
      <w:pPr>
        <w:spacing w:line="300" w:lineRule="auto"/>
        <w:jc w:val="left"/>
      </w:pPr>
      <w:r>
        <w:drawing>
          <wp:inline distT="0" distB="0" distL="114300" distR="114300">
            <wp:extent cx="5274310" cy="4045585"/>
            <wp:effectExtent l="0" t="0" r="13970" b="8255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4DA9BD">
      <w:pPr>
        <w:spacing w:line="300" w:lineRule="auto"/>
        <w:jc w:val="center"/>
        <w:rPr>
          <w:rFonts w:hint="eastAsia" w:ascii="宋体" w:hAnsi="宋体" w:cs="宋体"/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图(3)</w:t>
      </w:r>
      <w:r>
        <w:rPr>
          <w:rFonts w:ascii="宋体" w:hAnsi="宋体" w:cs="宋体"/>
          <w:bCs/>
          <w:szCs w:val="21"/>
        </w:rPr>
        <w:t>’</w:t>
      </w:r>
      <w:r>
        <w:rPr>
          <w:rFonts w:hint="eastAsia" w:ascii="宋体" w:hAnsi="宋体" w:cs="宋体"/>
          <w:bCs/>
          <w:szCs w:val="21"/>
        </w:rPr>
        <w:t>-全响应</w:t>
      </w:r>
    </w:p>
    <w:p w14:paraId="207590D4">
      <w:pPr>
        <w:spacing w:line="300" w:lineRule="auto"/>
        <w:jc w:val="left"/>
      </w:pPr>
    </w:p>
    <w:p w14:paraId="5941CE56">
      <w:pPr>
        <w:spacing w:line="300" w:lineRule="auto"/>
        <w:ind w:firstLine="630" w:firstLineChars="300"/>
        <w:rPr>
          <w:rFonts w:ascii="宋体" w:hAnsi="宋体" w:cs="宋体"/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3).计算分析</w:t>
      </w:r>
    </w:p>
    <w:p w14:paraId="3BA12A74">
      <w:pPr>
        <w:spacing w:line="300" w:lineRule="auto"/>
        <w:ind w:firstLine="630" w:firstLineChars="300"/>
        <w:rPr>
          <w:rFonts w:hint="eastAsia" w:ascii="宋体" w:hAnsi="宋体" w:cs="宋体"/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零状态响应：</w:t>
      </w:r>
    </w:p>
    <w:p w14:paraId="4AA69C76">
      <w:pPr>
        <w:spacing w:line="300" w:lineRule="auto"/>
        <w:rPr>
          <w:position w:val="-144"/>
        </w:rPr>
      </w:pPr>
      <w:r>
        <w:rPr>
          <w:rFonts w:hint="eastAsia"/>
          <w:position w:val="-76"/>
        </w:rPr>
        <w:object>
          <v:shape id="_x0000_i1028" o:spt="75" type="#_x0000_t75" style="height:101.25pt;width:204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5">
            <o:LockedField>false</o:LockedField>
          </o:OLEObject>
        </w:object>
      </w:r>
    </w:p>
    <w:p w14:paraId="4E40DCED">
      <w:pPr>
        <w:contextualSpacing/>
        <w:rPr>
          <w:rFonts w:hint="eastAsia"/>
          <w:position w:val="-144"/>
        </w:rPr>
      </w:pPr>
      <w:r>
        <w:rPr>
          <w:rFonts w:hint="eastAsia"/>
          <w:position w:val="-144"/>
        </w:rPr>
        <w:t>零输入响应：</w:t>
      </w:r>
    </w:p>
    <w:p w14:paraId="1A754E59">
      <w:pPr>
        <w:spacing w:line="300" w:lineRule="auto"/>
        <w:jc w:val="left"/>
      </w:pPr>
      <w:r>
        <w:rPr>
          <w:rFonts w:hint="eastAsia"/>
          <w:position w:val="-144"/>
        </w:rPr>
        <w:t xml:space="preserve">         </w:t>
      </w:r>
      <w:r>
        <w:rPr>
          <w:rFonts w:hint="eastAsia"/>
          <w:position w:val="-92"/>
        </w:rPr>
        <w:object>
          <v:shape id="_x0000_i1029" o:spt="75" type="#_x0000_t75" style="height:120.75pt;width:145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7">
            <o:LockedField>false</o:LockedField>
          </o:OLEObject>
        </w:object>
      </w:r>
    </w:p>
    <w:p w14:paraId="214B7C5C">
      <w:pPr>
        <w:spacing w:line="300" w:lineRule="auto"/>
        <w:jc w:val="left"/>
      </w:pPr>
      <w:r>
        <w:rPr>
          <w:rFonts w:hint="eastAsia"/>
        </w:rPr>
        <w:t>全响应：</w:t>
      </w:r>
    </w:p>
    <w:p w14:paraId="492A5748">
      <w:pPr>
        <w:spacing w:line="300" w:lineRule="auto"/>
        <w:rPr>
          <w:rFonts w:hint="eastAsia" w:ascii="宋体" w:hAnsi="宋体" w:cs="宋体"/>
          <w:bCs/>
          <w:szCs w:val="21"/>
        </w:rPr>
      </w:pPr>
      <w:r>
        <w:drawing>
          <wp:inline distT="0" distB="0" distL="0" distR="0">
            <wp:extent cx="4438650" cy="14097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931E60"/>
    <w:multiLevelType w:val="singleLevel"/>
    <w:tmpl w:val="19931E6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14EEDC8"/>
    <w:multiLevelType w:val="singleLevel"/>
    <w:tmpl w:val="414EEDC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8CA"/>
    <w:rsid w:val="00181B2A"/>
    <w:rsid w:val="004968CA"/>
    <w:rsid w:val="00573EDD"/>
    <w:rsid w:val="00603942"/>
    <w:rsid w:val="007C2B1C"/>
    <w:rsid w:val="00BD322D"/>
    <w:rsid w:val="00ED22A3"/>
    <w:rsid w:val="00F35127"/>
    <w:rsid w:val="0F58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package" Target="embeddings/Microsoft_Visio___3.vsdx"/><Relationship Id="rId7" Type="http://schemas.openxmlformats.org/officeDocument/2006/relationships/image" Target="media/image2.emf"/><Relationship Id="rId6" Type="http://schemas.openxmlformats.org/officeDocument/2006/relationships/package" Target="embeddings/Microsoft_Visio___2.vsdx"/><Relationship Id="rId5" Type="http://schemas.openxmlformats.org/officeDocument/2006/relationships/image" Target="media/image1.emf"/><Relationship Id="rId4" Type="http://schemas.openxmlformats.org/officeDocument/2006/relationships/package" Target="embeddings/Microsoft_Visio___1.vsdx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wmf"/><Relationship Id="rId17" Type="http://schemas.openxmlformats.org/officeDocument/2006/relationships/oleObject" Target="embeddings/oleObject2.bin"/><Relationship Id="rId16" Type="http://schemas.openxmlformats.org/officeDocument/2006/relationships/image" Target="media/image9.wmf"/><Relationship Id="rId15" Type="http://schemas.openxmlformats.org/officeDocument/2006/relationships/oleObject" Target="embeddings/oleObject1.bin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145</Words>
  <Characters>173</Characters>
  <Lines>3</Lines>
  <Paragraphs>1</Paragraphs>
  <TotalTime>10</TotalTime>
  <ScaleCrop>false</ScaleCrop>
  <LinksUpToDate>false</LinksUpToDate>
  <CharactersWithSpaces>215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2023-12-11T01:17:00Z</dcterms:created>
  <dc:creator>DELL</dc:creator>
  <cp:lastModifiedBy>Alone</cp:lastModifiedBy>
  <dcterms:modified xsi:type="dcterms:W3CDTF">2025-12-31T09:05:07Z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eyJoZGlkIjoiYzZkZTljOWEyMmU4OTEyZjA1ZmNiODBlMDdmNzc3YWUiLCJ1c2VySWQiOiI0NzMwMzA5MDYifQ==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2ABFFA0829134550B62FB5074975B052_12</vt:lpwstr>
  </property>
</Properties>
</file>