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Equipment Refresh Policy (extract)</w:t>
      </w:r>
    </w:p>
    <w:p>
      <w:r>
        <w:t>Company laptops are refreshed on a 3-year cycle. Monitors and docking stations are refreshed on a 5-year cycle. Refresh requests outside the cycle require IT director approval and a business justification.</w:t>
      </w:r>
    </w:p>
    <w:p>
      <w:r>
        <w:t>Decommissioned equipment is wiped to NIST 800-88 standard before disposal or donation.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