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color w:val="0F172A"/>
          <w:sz w:val="36"/>
        </w:rPr>
        <w:t>PNEUMONIA DETECTION FROM CHEST X-RAY IMAGES - PRE-RESEARCH REPORT</w:t>
      </w:r>
    </w:p>
    <w:p>
      <w:pPr>
        <w:spacing w:after="120"/>
        <w:jc w:val="both"/>
      </w:pPr>
      <w:r>
        <w:rPr>
          <w:rFonts w:ascii="Arial" w:hAnsi="Arial"/>
          <w:b/>
        </w:rPr>
        <w:t>Project Metadata:</w:t>
      </w:r>
    </w:p>
    <w:p>
      <w:pPr>
        <w:pStyle w:val="ListBullet"/>
        <w:spacing w:after="60" w:line="276" w:lineRule="auto"/>
      </w:pPr>
      <w:r>
        <w:rPr>
          <w:rFonts w:ascii="Arial" w:hAnsi="Arial"/>
          <w:b/>
        </w:rPr>
        <w:t>Author:</w:t>
      </w:r>
      <w:r>
        <w:rPr>
          <w:rFonts w:ascii="Arial" w:hAnsi="Arial"/>
        </w:rPr>
        <w:t xml:space="preserve"> Samet Furkan Bülüç</w:t>
      </w:r>
    </w:p>
    <w:p>
      <w:pPr>
        <w:pStyle w:val="ListBullet"/>
        <w:spacing w:after="60" w:line="276" w:lineRule="auto"/>
      </w:pPr>
      <w:r>
        <w:rPr>
          <w:rFonts w:ascii="Arial" w:hAnsi="Arial"/>
          <w:b/>
        </w:rPr>
        <w:t>Domain:</w:t>
      </w:r>
      <w:r>
        <w:rPr>
          <w:rFonts w:ascii="Arial" w:hAnsi="Arial"/>
        </w:rPr>
        <w:t xml:space="preserve"> Computer Engineering Portfolio Project</w:t>
      </w:r>
    </w:p>
    <w:p>
      <w:pPr>
        <w:spacing w:after="120"/>
        <w:jc w:val="both"/>
      </w:pPr>
      <w:r>
        <w:rPr>
          <w:rFonts w:ascii="Arial" w:hAnsi="Arial"/>
        </w:rPr>
        <w:t>---</w:t>
      </w:r>
    </w:p>
    <w:p>
      <w:pPr>
        <w:pStyle w:val="Heading2"/>
        <w:keepNext/>
        <w:spacing w:before="240" w:after="120"/>
      </w:pPr>
      <w:r>
        <w:rPr>
          <w:rFonts w:ascii="Arial" w:hAnsi="Arial"/>
          <w:color w:val="0F766E"/>
        </w:rPr>
        <w:t>1. Abstract</w:t>
      </w:r>
    </w:p>
    <w:p>
      <w:pPr>
        <w:spacing w:after="120"/>
        <w:jc w:val="both"/>
      </w:pPr>
      <w:r>
        <w:rPr>
          <w:rFonts w:ascii="Arial" w:hAnsi="Arial"/>
        </w:rPr>
        <w:t>This report surveys deep learning approaches for pneumonia classification from chest X-ray images. Pneumonia is a major global health risk, particularly for children and elderly cohorts. While X-ray imaging is fast and accessible, manual inspection is prone to subjective interpretation. Deep learning models, specifically Convolutional Neural Networks (CNNs), are highly suited for identifying dense consolidation areas in lung images. We review transfer learning using pretrained architectures (ResNet-50) and Explainable AI (Grad-CAM) to establish a baseline and state-of-the-art framework on the chest X-ray dataset.</w:t>
      </w:r>
    </w:p>
    <w:p>
      <w:pPr>
        <w:pStyle w:val="Heading2"/>
        <w:keepNext/>
        <w:spacing w:before="240" w:after="120"/>
      </w:pPr>
      <w:r>
        <w:rPr>
          <w:rFonts w:ascii="Arial" w:hAnsi="Arial"/>
          <w:color w:val="0F766E"/>
        </w:rPr>
        <w:t>2. Introduction</w:t>
      </w:r>
    </w:p>
    <w:p>
      <w:pPr>
        <w:spacing w:after="120"/>
        <w:jc w:val="both"/>
      </w:pPr>
      <w:r>
        <w:rPr>
          <w:rFonts w:ascii="Arial" w:hAnsi="Arial"/>
        </w:rPr>
        <w:t>Teasing out pneumonia patterns (opacity, infiltration) in chest X-rays is a complex imaging task. Automated models can assist radiologists by screening images, prioritizing urgent cases, and providing a secondary verification step. This pre-research report explores baseline CNN configurations, pretrained models, and class activation mapping to design a reliable medical classification pipeline.</w:t>
      </w:r>
    </w:p>
    <w:p>
      <w:pPr>
        <w:pStyle w:val="Heading2"/>
        <w:keepNext/>
        <w:spacing w:before="240" w:after="120"/>
      </w:pPr>
      <w:r>
        <w:rPr>
          <w:rFonts w:ascii="Arial" w:hAnsi="Arial"/>
          <w:color w:val="0F766E"/>
        </w:rPr>
        <w:t>3. Problem Definition</w:t>
      </w:r>
    </w:p>
    <w:p>
      <w:pPr>
        <w:spacing w:after="120"/>
        <w:jc w:val="both"/>
      </w:pPr>
      <w:r>
        <w:rPr>
          <w:rFonts w:ascii="Arial" w:hAnsi="Arial"/>
        </w:rPr>
        <w:t>The task is binary classification of chest X-ray images:</w:t>
      </w:r>
    </w:p>
    <w:p>
      <w:pPr>
        <w:pStyle w:val="ListBullet"/>
        <w:spacing w:after="60" w:line="276" w:lineRule="auto"/>
      </w:pPr>
      <w:r>
        <w:rPr>
          <w:rFonts w:ascii="Arial" w:hAnsi="Arial"/>
          <w:b/>
        </w:rPr>
        <w:t>Input:</w:t>
      </w:r>
      <w:r>
        <w:rPr>
          <w:rFonts w:ascii="Arial" w:hAnsi="Arial"/>
        </w:rPr>
        <w:t xml:space="preserve"> JPEG frontal view X-ray.</w:t>
      </w:r>
    </w:p>
    <w:p>
      <w:pPr>
        <w:pStyle w:val="ListBullet"/>
        <w:spacing w:after="60" w:line="276" w:lineRule="auto"/>
      </w:pPr>
      <w:r>
        <w:rPr>
          <w:rFonts w:ascii="Arial" w:hAnsi="Arial"/>
          <w:b/>
        </w:rPr>
        <w:t>Output:</w:t>
      </w:r>
      <w:r>
        <w:rPr>
          <w:rFonts w:ascii="Arial" w:hAnsi="Arial"/>
        </w:rPr>
        <w:t xml:space="preserve"> Binary prediction (</w:t>
      </w:r>
      <w:r>
        <w:rPr>
          <w:rFonts w:ascii="Consolas" w:hAnsi="Consolas"/>
          <w:color w:val="0D9488"/>
          <w:sz w:val="19"/>
        </w:rPr>
        <w:t>NORMAL</w:t>
      </w:r>
      <w:r>
        <w:rPr>
          <w:rFonts w:ascii="Arial" w:hAnsi="Arial"/>
        </w:rPr>
        <w:t xml:space="preserve"> vs </w:t>
      </w:r>
      <w:r>
        <w:rPr>
          <w:rFonts w:ascii="Consolas" w:hAnsi="Consolas"/>
          <w:color w:val="0D9488"/>
          <w:sz w:val="19"/>
        </w:rPr>
        <w:t>PNEUMONIA</w:t>
      </w:r>
      <w:r>
        <w:rPr>
          <w:rFonts w:ascii="Arial" w:hAnsi="Arial"/>
        </w:rPr>
        <w:t>) and model confidence.</w:t>
      </w:r>
    </w:p>
    <w:p>
      <w:pPr>
        <w:pStyle w:val="ListBullet"/>
        <w:spacing w:after="60" w:line="276" w:lineRule="auto"/>
      </w:pPr>
      <w:r>
        <w:rPr>
          <w:rFonts w:ascii="Arial" w:hAnsi="Arial"/>
          <w:b/>
        </w:rPr>
        <w:t>Clinical Integration:</w:t>
      </w:r>
      <w:r>
        <w:rPr>
          <w:rFonts w:ascii="Arial" w:hAnsi="Arial"/>
        </w:rPr>
        <w:t xml:space="preserve"> Serving as a research-grade decision support prototype.</w:t>
      </w:r>
    </w:p>
    <w:p>
      <w:pPr>
        <w:pStyle w:val="Heading2"/>
        <w:keepNext/>
        <w:spacing w:before="240" w:after="120"/>
      </w:pPr>
      <w:r>
        <w:rPr>
          <w:rFonts w:ascii="Arial" w:hAnsi="Arial"/>
          <w:color w:val="0F766E"/>
        </w:rPr>
        <w:t>4. Literature Review and Benchmarks</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cantSplit/>
        </w:trPr>
        <w:tc>
          <w:tcPr>
            <w:tcW w:type="dxa" w:w="1662"/>
          </w:tcPr>
          <w:p>
            <w:pPr>
              <w:spacing w:after="40" w:line="240" w:lineRule="auto"/>
            </w:pPr>
            <w:r>
              <w:rPr>
                <w:rFonts w:ascii="Arial" w:hAnsi="Arial"/>
                <w:b/>
                <w:sz w:val="18"/>
              </w:rPr>
              <w:t>No</w:t>
            </w:r>
          </w:p>
        </w:tc>
        <w:tc>
          <w:tcPr>
            <w:tcW w:type="dxa" w:w="1662"/>
          </w:tcPr>
          <w:p>
            <w:pPr>
              <w:spacing w:after="40" w:line="240" w:lineRule="auto"/>
            </w:pPr>
            <w:r>
              <w:rPr>
                <w:rFonts w:ascii="Arial" w:hAnsi="Arial"/>
                <w:b/>
                <w:sz w:val="18"/>
              </w:rPr>
              <w:t>Study</w:t>
            </w:r>
          </w:p>
        </w:tc>
        <w:tc>
          <w:tcPr>
            <w:tcW w:type="dxa" w:w="1662"/>
          </w:tcPr>
          <w:p>
            <w:pPr>
              <w:spacing w:after="40" w:line="240" w:lineRule="auto"/>
            </w:pPr>
            <w:r>
              <w:rPr>
                <w:rFonts w:ascii="Arial" w:hAnsi="Arial"/>
                <w:b/>
                <w:sz w:val="18"/>
              </w:rPr>
              <w:t>Year</w:t>
            </w:r>
          </w:p>
        </w:tc>
        <w:tc>
          <w:tcPr>
            <w:tcW w:type="dxa" w:w="1662"/>
          </w:tcPr>
          <w:p>
            <w:pPr>
              <w:spacing w:after="40" w:line="240" w:lineRule="auto"/>
            </w:pPr>
            <w:r>
              <w:rPr>
                <w:rFonts w:ascii="Arial" w:hAnsi="Arial"/>
                <w:b/>
                <w:sz w:val="18"/>
              </w:rPr>
              <w:t>Dataset</w:t>
            </w:r>
          </w:p>
        </w:tc>
        <w:tc>
          <w:tcPr>
            <w:tcW w:type="dxa" w:w="1662"/>
          </w:tcPr>
          <w:p>
            <w:pPr>
              <w:spacing w:after="40" w:line="240" w:lineRule="auto"/>
            </w:pPr>
            <w:r>
              <w:rPr>
                <w:rFonts w:ascii="Arial" w:hAnsi="Arial"/>
                <w:b/>
                <w:sz w:val="18"/>
              </w:rPr>
              <w:t>Methodology</w:t>
            </w:r>
          </w:p>
        </w:tc>
        <w:tc>
          <w:tcPr>
            <w:tcW w:type="dxa" w:w="1662"/>
          </w:tcPr>
          <w:p>
            <w:pPr>
              <w:spacing w:after="40" w:line="240" w:lineRule="auto"/>
            </w:pPr>
            <w:r>
              <w:rPr>
                <w:rFonts w:ascii="Arial" w:hAnsi="Arial"/>
                <w:b/>
                <w:sz w:val="18"/>
              </w:rPr>
              <w:t>Strengths &amp; Limitations</w:t>
            </w:r>
          </w:p>
        </w:tc>
      </w:tr>
      <w:tr>
        <w:trPr>
          <w:cantSplit/>
        </w:trPr>
        <w:tc>
          <w:tcPr>
            <w:tcW w:type="dxa" w:w="1662"/>
          </w:tcPr>
          <w:p>
            <w:pPr>
              <w:spacing w:after="40" w:line="240" w:lineRule="auto"/>
            </w:pPr>
            <w:r>
              <w:rPr>
                <w:rFonts w:ascii="Arial" w:hAnsi="Arial"/>
                <w:sz w:val="18"/>
              </w:rPr>
              <w:t>1</w:t>
            </w:r>
          </w:p>
        </w:tc>
        <w:tc>
          <w:tcPr>
            <w:tcW w:type="dxa" w:w="1662"/>
          </w:tcPr>
          <w:p>
            <w:pPr>
              <w:spacing w:after="40" w:line="240" w:lineRule="auto"/>
            </w:pPr>
            <w:r>
              <w:rPr>
                <w:rFonts w:ascii="Arial" w:hAnsi="Arial"/>
                <w:sz w:val="18"/>
              </w:rPr>
              <w:t>Kermany et al.</w:t>
            </w:r>
          </w:p>
        </w:tc>
        <w:tc>
          <w:tcPr>
            <w:tcW w:type="dxa" w:w="1662"/>
          </w:tcPr>
          <w:p>
            <w:pPr>
              <w:spacing w:after="40" w:line="240" w:lineRule="auto"/>
            </w:pPr>
            <w:r>
              <w:rPr>
                <w:rFonts w:ascii="Arial" w:hAnsi="Arial"/>
                <w:sz w:val="18"/>
              </w:rPr>
              <w:t>2018</w:t>
            </w:r>
          </w:p>
        </w:tc>
        <w:tc>
          <w:tcPr>
            <w:tcW w:type="dxa" w:w="1662"/>
          </w:tcPr>
          <w:p>
            <w:pPr>
              <w:spacing w:after="40" w:line="240" w:lineRule="auto"/>
            </w:pPr>
            <w:r>
              <w:rPr>
                <w:rFonts w:ascii="Arial" w:hAnsi="Arial"/>
                <w:sz w:val="18"/>
              </w:rPr>
              <w:t>Mendeley Chest X-Ray</w:t>
            </w:r>
          </w:p>
        </w:tc>
        <w:tc>
          <w:tcPr>
            <w:tcW w:type="dxa" w:w="1662"/>
          </w:tcPr>
          <w:p>
            <w:pPr>
              <w:spacing w:after="40" w:line="240" w:lineRule="auto"/>
            </w:pPr>
            <w:r>
              <w:rPr>
                <w:rFonts w:ascii="Arial" w:hAnsi="Arial"/>
                <w:sz w:val="18"/>
              </w:rPr>
              <w:t>CNN + Transfer Learning</w:t>
            </w:r>
          </w:p>
        </w:tc>
        <w:tc>
          <w:tcPr>
            <w:tcW w:type="dxa" w:w="1662"/>
          </w:tcPr>
          <w:p>
            <w:pPr>
              <w:spacing w:after="40" w:line="240" w:lineRule="auto"/>
            </w:pPr>
            <w:r>
              <w:rPr>
                <w:rFonts w:ascii="Arial" w:hAnsi="Arial"/>
                <w:sz w:val="18"/>
              </w:rPr>
              <w:t>Pediatric data; high performance. Limited multi-center verification.</w:t>
            </w:r>
          </w:p>
        </w:tc>
      </w:tr>
      <w:tr>
        <w:trPr>
          <w:cantSplit/>
        </w:trPr>
        <w:tc>
          <w:tcPr>
            <w:tcW w:type="dxa" w:w="1662"/>
          </w:tcPr>
          <w:p>
            <w:pPr>
              <w:spacing w:after="40" w:line="240" w:lineRule="auto"/>
            </w:pPr>
            <w:r>
              <w:rPr>
                <w:rFonts w:ascii="Arial" w:hAnsi="Arial"/>
                <w:sz w:val="18"/>
              </w:rPr>
              <w:t>2</w:t>
            </w:r>
          </w:p>
        </w:tc>
        <w:tc>
          <w:tcPr>
            <w:tcW w:type="dxa" w:w="1662"/>
          </w:tcPr>
          <w:p>
            <w:pPr>
              <w:spacing w:after="40" w:line="240" w:lineRule="auto"/>
            </w:pPr>
            <w:r>
              <w:rPr>
                <w:rFonts w:ascii="Arial" w:hAnsi="Arial"/>
                <w:sz w:val="18"/>
              </w:rPr>
              <w:t>Rajpurkar et al.</w:t>
            </w:r>
          </w:p>
        </w:tc>
        <w:tc>
          <w:tcPr>
            <w:tcW w:type="dxa" w:w="1662"/>
          </w:tcPr>
          <w:p>
            <w:pPr>
              <w:spacing w:after="40" w:line="240" w:lineRule="auto"/>
            </w:pPr>
            <w:r>
              <w:rPr>
                <w:rFonts w:ascii="Arial" w:hAnsi="Arial"/>
                <w:sz w:val="18"/>
              </w:rPr>
              <w:t>2017</w:t>
            </w:r>
          </w:p>
        </w:tc>
        <w:tc>
          <w:tcPr>
            <w:tcW w:type="dxa" w:w="1662"/>
          </w:tcPr>
          <w:p>
            <w:pPr>
              <w:spacing w:after="40" w:line="240" w:lineRule="auto"/>
            </w:pPr>
            <w:r>
              <w:rPr>
                <w:rFonts w:ascii="Arial" w:hAnsi="Arial"/>
                <w:sz w:val="18"/>
              </w:rPr>
              <w:t>ChestX-ray14</w:t>
            </w:r>
          </w:p>
        </w:tc>
        <w:tc>
          <w:tcPr>
            <w:tcW w:type="dxa" w:w="1662"/>
          </w:tcPr>
          <w:p>
            <w:pPr>
              <w:spacing w:after="40" w:line="240" w:lineRule="auto"/>
            </w:pPr>
            <w:r>
              <w:rPr>
                <w:rFonts w:ascii="Arial" w:hAnsi="Arial"/>
                <w:sz w:val="18"/>
              </w:rPr>
              <w:t>DenseNet-121</w:t>
            </w:r>
          </w:p>
        </w:tc>
        <w:tc>
          <w:tcPr>
            <w:tcW w:type="dxa" w:w="1662"/>
          </w:tcPr>
          <w:p>
            <w:pPr>
              <w:spacing w:after="40" w:line="240" w:lineRule="auto"/>
            </w:pPr>
            <w:r>
              <w:rPr>
                <w:rFonts w:ascii="Arial" w:hAnsi="Arial"/>
                <w:sz w:val="18"/>
              </w:rPr>
              <w:t>Radiologist level. Multi-label, lacks visual explanation.</w:t>
            </w:r>
          </w:p>
        </w:tc>
      </w:tr>
      <w:tr>
        <w:trPr>
          <w:cantSplit/>
        </w:trPr>
        <w:tc>
          <w:tcPr>
            <w:tcW w:type="dxa" w:w="1662"/>
          </w:tcPr>
          <w:p>
            <w:pPr>
              <w:spacing w:after="40" w:line="240" w:lineRule="auto"/>
            </w:pPr>
            <w:r>
              <w:rPr>
                <w:rFonts w:ascii="Arial" w:hAnsi="Arial"/>
                <w:sz w:val="18"/>
              </w:rPr>
              <w:t>3</w:t>
            </w:r>
          </w:p>
        </w:tc>
        <w:tc>
          <w:tcPr>
            <w:tcW w:type="dxa" w:w="1662"/>
          </w:tcPr>
          <w:p>
            <w:pPr>
              <w:spacing w:after="40" w:line="240" w:lineRule="auto"/>
            </w:pPr>
            <w:r>
              <w:rPr>
                <w:rFonts w:ascii="Arial" w:hAnsi="Arial"/>
                <w:sz w:val="18"/>
              </w:rPr>
              <w:t>Stephen et al.</w:t>
            </w:r>
          </w:p>
        </w:tc>
        <w:tc>
          <w:tcPr>
            <w:tcW w:type="dxa" w:w="1662"/>
          </w:tcPr>
          <w:p>
            <w:pPr>
              <w:spacing w:after="40" w:line="240" w:lineRule="auto"/>
            </w:pPr>
            <w:r>
              <w:rPr>
                <w:rFonts w:ascii="Arial" w:hAnsi="Arial"/>
                <w:sz w:val="18"/>
              </w:rPr>
              <w:t>2019</w:t>
            </w:r>
          </w:p>
        </w:tc>
        <w:tc>
          <w:tcPr>
            <w:tcW w:type="dxa" w:w="1662"/>
          </w:tcPr>
          <w:p>
            <w:pPr>
              <w:spacing w:after="40" w:line="240" w:lineRule="auto"/>
            </w:pPr>
            <w:r>
              <w:rPr>
                <w:rFonts w:ascii="Arial" w:hAnsi="Arial"/>
                <w:sz w:val="18"/>
              </w:rPr>
              <w:t>Kaggle Pneumonia</w:t>
            </w:r>
          </w:p>
        </w:tc>
        <w:tc>
          <w:tcPr>
            <w:tcW w:type="dxa" w:w="1662"/>
          </w:tcPr>
          <w:p>
            <w:pPr>
              <w:spacing w:after="40" w:line="240" w:lineRule="auto"/>
            </w:pPr>
            <w:r>
              <w:rPr>
                <w:rFonts w:ascii="Arial" w:hAnsi="Arial"/>
                <w:sz w:val="18"/>
              </w:rPr>
              <w:t>CNN from scratch + Augmentation</w:t>
            </w:r>
          </w:p>
        </w:tc>
        <w:tc>
          <w:tcPr>
            <w:tcW w:type="dxa" w:w="1662"/>
          </w:tcPr>
          <w:p>
            <w:pPr>
              <w:spacing w:after="40" w:line="240" w:lineRule="auto"/>
            </w:pPr>
            <w:r>
              <w:rPr>
                <w:rFonts w:ascii="Arial" w:hAnsi="Arial"/>
                <w:sz w:val="18"/>
              </w:rPr>
              <w:t>Simple CNN benchmark. No transfer learning.</w:t>
            </w:r>
          </w:p>
        </w:tc>
      </w:tr>
      <w:tr>
        <w:trPr>
          <w:cantSplit/>
        </w:trPr>
        <w:tc>
          <w:tcPr>
            <w:tcW w:type="dxa" w:w="1662"/>
          </w:tcPr>
          <w:p>
            <w:pPr>
              <w:spacing w:after="40" w:line="240" w:lineRule="auto"/>
            </w:pPr>
            <w:r>
              <w:rPr>
                <w:rFonts w:ascii="Arial" w:hAnsi="Arial"/>
                <w:sz w:val="18"/>
              </w:rPr>
              <w:t>4</w:t>
            </w:r>
          </w:p>
        </w:tc>
        <w:tc>
          <w:tcPr>
            <w:tcW w:type="dxa" w:w="1662"/>
          </w:tcPr>
          <w:p>
            <w:pPr>
              <w:spacing w:after="40" w:line="240" w:lineRule="auto"/>
            </w:pPr>
            <w:r>
              <w:rPr>
                <w:rFonts w:ascii="Arial" w:hAnsi="Arial"/>
                <w:sz w:val="18"/>
              </w:rPr>
              <w:t>Yadav &amp; Jadhav</w:t>
            </w:r>
          </w:p>
        </w:tc>
        <w:tc>
          <w:tcPr>
            <w:tcW w:type="dxa" w:w="1662"/>
          </w:tcPr>
          <w:p>
            <w:pPr>
              <w:spacing w:after="40" w:line="240" w:lineRule="auto"/>
            </w:pPr>
            <w:r>
              <w:rPr>
                <w:rFonts w:ascii="Arial" w:hAnsi="Arial"/>
                <w:sz w:val="18"/>
              </w:rPr>
              <w:t>2019</w:t>
            </w:r>
          </w:p>
        </w:tc>
        <w:tc>
          <w:tcPr>
            <w:tcW w:type="dxa" w:w="1662"/>
          </w:tcPr>
          <w:p>
            <w:pPr>
              <w:spacing w:after="40" w:line="240" w:lineRule="auto"/>
            </w:pPr>
            <w:r>
              <w:rPr>
                <w:rFonts w:ascii="Arial" w:hAnsi="Arial"/>
                <w:sz w:val="18"/>
              </w:rPr>
              <w:t>Kaggle Pneumonia</w:t>
            </w:r>
          </w:p>
        </w:tc>
        <w:tc>
          <w:tcPr>
            <w:tcW w:type="dxa" w:w="1662"/>
          </w:tcPr>
          <w:p>
            <w:pPr>
              <w:spacing w:after="40" w:line="240" w:lineRule="auto"/>
            </w:pPr>
            <w:r>
              <w:rPr>
                <w:rFonts w:ascii="Arial" w:hAnsi="Arial"/>
                <w:sz w:val="18"/>
              </w:rPr>
              <w:t>SVM, VGG16, InceptionV3</w:t>
            </w:r>
          </w:p>
        </w:tc>
        <w:tc>
          <w:tcPr>
            <w:tcW w:type="dxa" w:w="1662"/>
          </w:tcPr>
          <w:p>
            <w:pPr>
              <w:spacing w:after="40" w:line="240" w:lineRule="auto"/>
            </w:pPr>
            <w:r>
              <w:rPr>
                <w:rFonts w:ascii="Arial" w:hAnsi="Arial"/>
                <w:sz w:val="18"/>
              </w:rPr>
              <w:t>Detailed model comparison. Small data size.</w:t>
            </w:r>
          </w:p>
        </w:tc>
      </w:tr>
      <w:tr>
        <w:trPr>
          <w:cantSplit/>
        </w:trPr>
        <w:tc>
          <w:tcPr>
            <w:tcW w:type="dxa" w:w="1662"/>
          </w:tcPr>
          <w:p>
            <w:pPr>
              <w:spacing w:after="40" w:line="240" w:lineRule="auto"/>
            </w:pPr>
            <w:r>
              <w:rPr>
                <w:rFonts w:ascii="Arial" w:hAnsi="Arial"/>
                <w:sz w:val="18"/>
              </w:rPr>
              <w:t>5</w:t>
            </w:r>
          </w:p>
        </w:tc>
        <w:tc>
          <w:tcPr>
            <w:tcW w:type="dxa" w:w="1662"/>
          </w:tcPr>
          <w:p>
            <w:pPr>
              <w:spacing w:after="40" w:line="240" w:lineRule="auto"/>
            </w:pPr>
            <w:r>
              <w:rPr>
                <w:rFonts w:ascii="Arial" w:hAnsi="Arial"/>
                <w:sz w:val="18"/>
              </w:rPr>
              <w:t>Hashmi et al.</w:t>
            </w:r>
          </w:p>
        </w:tc>
        <w:tc>
          <w:tcPr>
            <w:tcW w:type="dxa" w:w="1662"/>
          </w:tcPr>
          <w:p>
            <w:pPr>
              <w:spacing w:after="40" w:line="240" w:lineRule="auto"/>
            </w:pPr>
            <w:r>
              <w:rPr>
                <w:rFonts w:ascii="Arial" w:hAnsi="Arial"/>
                <w:sz w:val="18"/>
              </w:rPr>
              <w:t>2020</w:t>
            </w:r>
          </w:p>
        </w:tc>
        <w:tc>
          <w:tcPr>
            <w:tcW w:type="dxa" w:w="1662"/>
          </w:tcPr>
          <w:p>
            <w:pPr>
              <w:spacing w:after="40" w:line="240" w:lineRule="auto"/>
            </w:pPr>
            <w:r>
              <w:rPr>
                <w:rFonts w:ascii="Arial" w:hAnsi="Arial"/>
                <w:sz w:val="18"/>
              </w:rPr>
              <w:t>Pediatric Chest X-Ray</w:t>
            </w:r>
          </w:p>
        </w:tc>
        <w:tc>
          <w:tcPr>
            <w:tcW w:type="dxa" w:w="1662"/>
          </w:tcPr>
          <w:p>
            <w:pPr>
              <w:spacing w:after="40" w:line="240" w:lineRule="auto"/>
            </w:pPr>
            <w:r>
              <w:rPr>
                <w:rFonts w:ascii="Arial" w:hAnsi="Arial"/>
                <w:sz w:val="18"/>
              </w:rPr>
              <w:t>Transfer Learning Comparison</w:t>
            </w:r>
          </w:p>
        </w:tc>
        <w:tc>
          <w:tcPr>
            <w:tcW w:type="dxa" w:w="1662"/>
          </w:tcPr>
          <w:p>
            <w:pPr>
              <w:spacing w:after="40" w:line="240" w:lineRule="auto"/>
            </w:pPr>
            <w:r>
              <w:rPr>
                <w:rFonts w:ascii="Arial" w:hAnsi="Arial"/>
                <w:sz w:val="18"/>
              </w:rPr>
              <w:t>Compares SqueezeNet and others. Sensitive to data split.</w:t>
            </w:r>
          </w:p>
        </w:tc>
      </w:tr>
      <w:tr>
        <w:trPr>
          <w:cantSplit/>
        </w:trPr>
        <w:tc>
          <w:tcPr>
            <w:tcW w:type="dxa" w:w="1662"/>
          </w:tcPr>
          <w:p>
            <w:pPr>
              <w:spacing w:after="40" w:line="240" w:lineRule="auto"/>
            </w:pPr>
            <w:r>
              <w:rPr>
                <w:rFonts w:ascii="Arial" w:hAnsi="Arial"/>
                <w:sz w:val="18"/>
              </w:rPr>
              <w:t>6</w:t>
            </w:r>
          </w:p>
        </w:tc>
        <w:tc>
          <w:tcPr>
            <w:tcW w:type="dxa" w:w="1662"/>
          </w:tcPr>
          <w:p>
            <w:pPr>
              <w:spacing w:after="40" w:line="240" w:lineRule="auto"/>
            </w:pPr>
            <w:r>
              <w:rPr>
                <w:rFonts w:ascii="Arial" w:hAnsi="Arial"/>
                <w:sz w:val="18"/>
              </w:rPr>
              <w:t>Selvaraju et al.</w:t>
            </w:r>
          </w:p>
        </w:tc>
        <w:tc>
          <w:tcPr>
            <w:tcW w:type="dxa" w:w="1662"/>
          </w:tcPr>
          <w:p>
            <w:pPr>
              <w:spacing w:after="40" w:line="240" w:lineRule="auto"/>
            </w:pPr>
            <w:r>
              <w:rPr>
                <w:rFonts w:ascii="Arial" w:hAnsi="Arial"/>
                <w:sz w:val="18"/>
              </w:rPr>
              <w:t>2017</w:t>
            </w:r>
          </w:p>
        </w:tc>
        <w:tc>
          <w:tcPr>
            <w:tcW w:type="dxa" w:w="1662"/>
          </w:tcPr>
          <w:p>
            <w:pPr>
              <w:spacing w:after="40" w:line="240" w:lineRule="auto"/>
            </w:pPr>
            <w:r>
              <w:rPr>
                <w:rFonts w:ascii="Arial" w:hAnsi="Arial"/>
                <w:sz w:val="18"/>
              </w:rPr>
              <w:t>ImageNet</w:t>
            </w:r>
          </w:p>
        </w:tc>
        <w:tc>
          <w:tcPr>
            <w:tcW w:type="dxa" w:w="1662"/>
          </w:tcPr>
          <w:p>
            <w:pPr>
              <w:spacing w:after="40" w:line="240" w:lineRule="auto"/>
            </w:pPr>
            <w:r>
              <w:rPr>
                <w:rFonts w:ascii="Arial" w:hAnsi="Arial"/>
                <w:sz w:val="18"/>
              </w:rPr>
              <w:t>Grad-CAM</w:t>
            </w:r>
          </w:p>
        </w:tc>
        <w:tc>
          <w:tcPr>
            <w:tcW w:type="dxa" w:w="1662"/>
          </w:tcPr>
          <w:p>
            <w:pPr>
              <w:spacing w:after="40" w:line="240" w:lineRule="auto"/>
            </w:pPr>
            <w:r>
              <w:rPr>
                <w:rFonts w:ascii="Arial" w:hAnsi="Arial"/>
                <w:sz w:val="18"/>
              </w:rPr>
              <w:t>Visualizes model activation. Not a clinical segmentation mask.</w:t>
            </w:r>
          </w:p>
        </w:tc>
      </w:tr>
    </w:tbl>
    <w:p/>
    <w:p>
      <w:pPr>
        <w:pStyle w:val="Heading2"/>
        <w:keepNext/>
        <w:spacing w:before="240" w:after="120"/>
      </w:pPr>
      <w:r>
        <w:rPr>
          <w:rFonts w:ascii="Arial" w:hAnsi="Arial"/>
          <w:color w:val="0F766E"/>
        </w:rPr>
        <w:t>5. Proposed Experimental Design</w:t>
      </w:r>
    </w:p>
    <w:tbl>
      <w:tblPr>
        <w:tblStyle w:val="TableGrid"/>
        <w:tblW w:type="auto" w:w="0"/>
        <w:tblLook w:firstColumn="1" w:firstRow="1" w:lastColumn="0" w:lastRow="0" w:noHBand="0" w:noVBand="1" w:val="04A0"/>
      </w:tblPr>
      <w:tblGrid>
        <w:gridCol w:w="2493"/>
        <w:gridCol w:w="2493"/>
        <w:gridCol w:w="2493"/>
        <w:gridCol w:w="2493"/>
      </w:tblGrid>
      <w:tr>
        <w:trPr>
          <w:cantSplit/>
        </w:trPr>
        <w:tc>
          <w:tcPr>
            <w:tcW w:type="dxa" w:w="2493"/>
          </w:tcPr>
          <w:p>
            <w:pPr>
              <w:spacing w:after="40" w:line="240" w:lineRule="auto"/>
            </w:pPr>
            <w:r>
              <w:rPr>
                <w:rFonts w:ascii="Arial" w:hAnsi="Arial"/>
                <w:b/>
                <w:sz w:val="18"/>
              </w:rPr>
              <w:t>Exp.</w:t>
            </w:r>
          </w:p>
        </w:tc>
        <w:tc>
          <w:tcPr>
            <w:tcW w:type="dxa" w:w="2493"/>
          </w:tcPr>
          <w:p>
            <w:pPr>
              <w:spacing w:after="40" w:line="240" w:lineRule="auto"/>
            </w:pPr>
            <w:r>
              <w:rPr>
                <w:rFonts w:ascii="Arial" w:hAnsi="Arial"/>
                <w:b/>
                <w:sz w:val="18"/>
              </w:rPr>
              <w:t>Model</w:t>
            </w:r>
          </w:p>
        </w:tc>
        <w:tc>
          <w:tcPr>
            <w:tcW w:type="dxa" w:w="2493"/>
          </w:tcPr>
          <w:p>
            <w:pPr>
              <w:spacing w:after="40" w:line="240" w:lineRule="auto"/>
            </w:pPr>
            <w:r>
              <w:rPr>
                <w:rFonts w:ascii="Arial" w:hAnsi="Arial"/>
                <w:b/>
                <w:sz w:val="18"/>
              </w:rPr>
              <w:t>Purpose</w:t>
            </w:r>
          </w:p>
        </w:tc>
        <w:tc>
          <w:tcPr>
            <w:tcW w:type="dxa" w:w="2493"/>
          </w:tcPr>
          <w:p>
            <w:pPr>
              <w:spacing w:after="40" w:line="240" w:lineRule="auto"/>
            </w:pPr>
            <w:r>
              <w:rPr>
                <w:rFonts w:ascii="Arial" w:hAnsi="Arial"/>
                <w:b/>
                <w:sz w:val="18"/>
              </w:rPr>
              <w:t>Expected Output</w:t>
            </w:r>
          </w:p>
        </w:tc>
      </w:tr>
      <w:tr>
        <w:trPr>
          <w:cantSplit/>
        </w:trPr>
        <w:tc>
          <w:tcPr>
            <w:tcW w:type="dxa" w:w="2493"/>
          </w:tcPr>
          <w:p>
            <w:pPr>
              <w:spacing w:after="40" w:line="240" w:lineRule="auto"/>
            </w:pPr>
            <w:r>
              <w:rPr>
                <w:rFonts w:ascii="Arial" w:hAnsi="Arial"/>
                <w:sz w:val="18"/>
              </w:rPr>
              <w:t>1</w:t>
            </w:r>
          </w:p>
        </w:tc>
        <w:tc>
          <w:tcPr>
            <w:tcW w:type="dxa" w:w="2493"/>
          </w:tcPr>
          <w:p>
            <w:pPr>
              <w:spacing w:after="40" w:line="240" w:lineRule="auto"/>
            </w:pPr>
            <w:r>
              <w:rPr>
                <w:rFonts w:ascii="Arial" w:hAnsi="Arial"/>
                <w:sz w:val="18"/>
              </w:rPr>
              <w:t>Simple CNN</w:t>
            </w:r>
          </w:p>
        </w:tc>
        <w:tc>
          <w:tcPr>
            <w:tcW w:type="dxa" w:w="2493"/>
          </w:tcPr>
          <w:p>
            <w:pPr>
              <w:spacing w:after="40" w:line="240" w:lineRule="auto"/>
            </w:pPr>
            <w:r>
              <w:rPr>
                <w:rFonts w:ascii="Arial" w:hAnsi="Arial"/>
                <w:sz w:val="18"/>
              </w:rPr>
              <w:t>Measure baseline performance</w:t>
            </w:r>
          </w:p>
        </w:tc>
        <w:tc>
          <w:tcPr>
            <w:tcW w:type="dxa" w:w="2493"/>
          </w:tcPr>
          <w:p>
            <w:pPr>
              <w:spacing w:after="40" w:line="240" w:lineRule="auto"/>
            </w:pPr>
            <w:r>
              <w:rPr>
                <w:rFonts w:ascii="Arial" w:hAnsi="Arial"/>
                <w:sz w:val="18"/>
              </w:rPr>
              <w:t>Accuracy, Precision, Recall, F1, Confusion Matrix</w:t>
            </w:r>
          </w:p>
        </w:tc>
      </w:tr>
      <w:tr>
        <w:trPr>
          <w:cantSplit/>
        </w:trPr>
        <w:tc>
          <w:tcPr>
            <w:tcW w:type="dxa" w:w="2493"/>
          </w:tcPr>
          <w:p>
            <w:pPr>
              <w:spacing w:after="40" w:line="240" w:lineRule="auto"/>
            </w:pPr>
            <w:r>
              <w:rPr>
                <w:rFonts w:ascii="Arial" w:hAnsi="Arial"/>
                <w:sz w:val="18"/>
              </w:rPr>
              <w:t>2</w:t>
            </w:r>
          </w:p>
        </w:tc>
        <w:tc>
          <w:tcPr>
            <w:tcW w:type="dxa" w:w="2493"/>
          </w:tcPr>
          <w:p>
            <w:pPr>
              <w:spacing w:after="40" w:line="240" w:lineRule="auto"/>
            </w:pPr>
            <w:r>
              <w:rPr>
                <w:rFonts w:ascii="Arial" w:hAnsi="Arial"/>
                <w:sz w:val="18"/>
              </w:rPr>
              <w:t>ResNet-50 frozen</w:t>
            </w:r>
          </w:p>
        </w:tc>
        <w:tc>
          <w:tcPr>
            <w:tcW w:type="dxa" w:w="2493"/>
          </w:tcPr>
          <w:p>
            <w:pPr>
              <w:spacing w:after="40" w:line="240" w:lineRule="auto"/>
            </w:pPr>
            <w:r>
              <w:rPr>
                <w:rFonts w:ascii="Arial" w:hAnsi="Arial"/>
                <w:sz w:val="18"/>
              </w:rPr>
              <w:t>Test transfer learning effect</w:t>
            </w:r>
          </w:p>
        </w:tc>
        <w:tc>
          <w:tcPr>
            <w:tcW w:type="dxa" w:w="2493"/>
          </w:tcPr>
          <w:p>
            <w:pPr>
              <w:spacing w:after="40" w:line="240" w:lineRule="auto"/>
            </w:pPr>
            <w:r>
              <w:rPr>
                <w:rFonts w:ascii="Arial" w:hAnsi="Arial"/>
                <w:sz w:val="18"/>
              </w:rPr>
              <w:t>Validation accuracy and comparative metrics</w:t>
            </w:r>
          </w:p>
        </w:tc>
      </w:tr>
      <w:tr>
        <w:trPr>
          <w:cantSplit/>
        </w:trPr>
        <w:tc>
          <w:tcPr>
            <w:tcW w:type="dxa" w:w="2493"/>
          </w:tcPr>
          <w:p>
            <w:pPr>
              <w:spacing w:after="40" w:line="240" w:lineRule="auto"/>
            </w:pPr>
            <w:r>
              <w:rPr>
                <w:rFonts w:ascii="Arial" w:hAnsi="Arial"/>
                <w:sz w:val="18"/>
              </w:rPr>
              <w:t>3</w:t>
            </w:r>
          </w:p>
        </w:tc>
        <w:tc>
          <w:tcPr>
            <w:tcW w:type="dxa" w:w="2493"/>
          </w:tcPr>
          <w:p>
            <w:pPr>
              <w:spacing w:after="40" w:line="240" w:lineRule="auto"/>
            </w:pPr>
            <w:r>
              <w:rPr>
                <w:rFonts w:ascii="Arial" w:hAnsi="Arial"/>
                <w:sz w:val="18"/>
              </w:rPr>
              <w:t>ResNet-50 fine-tuned</w:t>
            </w:r>
          </w:p>
        </w:tc>
        <w:tc>
          <w:tcPr>
            <w:tcW w:type="dxa" w:w="2493"/>
          </w:tcPr>
          <w:p>
            <w:pPr>
              <w:spacing w:after="40" w:line="240" w:lineRule="auto"/>
            </w:pPr>
            <w:r>
              <w:rPr>
                <w:rFonts w:ascii="Arial" w:hAnsi="Arial"/>
                <w:sz w:val="18"/>
              </w:rPr>
              <w:t>Maximize model performance</w:t>
            </w:r>
          </w:p>
        </w:tc>
        <w:tc>
          <w:tcPr>
            <w:tcW w:type="dxa" w:w="2493"/>
          </w:tcPr>
          <w:p>
            <w:pPr>
              <w:spacing w:after="40" w:line="240" w:lineRule="auto"/>
            </w:pPr>
            <w:r>
              <w:rPr>
                <w:rFonts w:ascii="Arial" w:hAnsi="Arial"/>
                <w:sz w:val="18"/>
              </w:rPr>
              <w:t>Final classifier, error analysis, benchmark</w:t>
            </w:r>
          </w:p>
        </w:tc>
      </w:tr>
      <w:tr>
        <w:trPr>
          <w:cantSplit/>
        </w:trPr>
        <w:tc>
          <w:tcPr>
            <w:tcW w:type="dxa" w:w="2493"/>
          </w:tcPr>
          <w:p>
            <w:pPr>
              <w:spacing w:after="40" w:line="240" w:lineRule="auto"/>
            </w:pPr>
            <w:r>
              <w:rPr>
                <w:rFonts w:ascii="Arial" w:hAnsi="Arial"/>
                <w:sz w:val="18"/>
              </w:rPr>
              <w:t>4</w:t>
            </w:r>
          </w:p>
        </w:tc>
        <w:tc>
          <w:tcPr>
            <w:tcW w:type="dxa" w:w="2493"/>
          </w:tcPr>
          <w:p>
            <w:pPr>
              <w:spacing w:after="40" w:line="240" w:lineRule="auto"/>
            </w:pPr>
            <w:r>
              <w:rPr>
                <w:rFonts w:ascii="Arial" w:hAnsi="Arial"/>
                <w:sz w:val="18"/>
              </w:rPr>
              <w:t>Grad-CAM</w:t>
            </w:r>
          </w:p>
        </w:tc>
        <w:tc>
          <w:tcPr>
            <w:tcW w:type="dxa" w:w="2493"/>
          </w:tcPr>
          <w:p>
            <w:pPr>
              <w:spacing w:after="40" w:line="240" w:lineRule="auto"/>
            </w:pPr>
            <w:r>
              <w:rPr>
                <w:rFonts w:ascii="Arial" w:hAnsi="Arial"/>
                <w:sz w:val="18"/>
              </w:rPr>
              <w:t>Visual explanation</w:t>
            </w:r>
          </w:p>
        </w:tc>
        <w:tc>
          <w:tcPr>
            <w:tcW w:type="dxa" w:w="2493"/>
          </w:tcPr>
          <w:p>
            <w:pPr>
              <w:spacing w:after="40" w:line="240" w:lineRule="auto"/>
            </w:pPr>
            <w:r>
              <w:rPr>
                <w:rFonts w:ascii="Arial" w:hAnsi="Arial"/>
                <w:sz w:val="18"/>
              </w:rPr>
              <w:t>Class activation maps for correct and failed predictions</w:t>
            </w:r>
          </w:p>
        </w:tc>
      </w:tr>
    </w:tbl>
    <w:p/>
    <w:p>
      <w:pPr>
        <w:pStyle w:val="Heading2"/>
        <w:keepNext/>
        <w:spacing w:before="240" w:after="120"/>
      </w:pPr>
      <w:r>
        <w:rPr>
          <w:rFonts w:ascii="Arial" w:hAnsi="Arial"/>
          <w:color w:val="0F766E"/>
        </w:rPr>
        <w:t>6. Dataset Description</w:t>
      </w:r>
    </w:p>
    <w:p>
      <w:pPr>
        <w:spacing w:after="120"/>
        <w:jc w:val="both"/>
      </w:pPr>
      <w:r>
        <w:rPr>
          <w:rFonts w:ascii="Arial" w:hAnsi="Arial"/>
        </w:rPr>
        <w:t>The "Chest X-Ray Images (Pneumonia)" dataset consists of 5,863 JPEG images split into train, val, and test. We will use a stratified random split (10% validation) to ensure classes are proportional in both training and validation sets, keeping the test set isolated.</w:t>
      </w:r>
    </w:p>
    <w:p>
      <w:pPr>
        <w:pStyle w:val="Heading2"/>
        <w:keepNext/>
        <w:spacing w:before="240" w:after="120"/>
      </w:pPr>
      <w:r>
        <w:rPr>
          <w:rFonts w:ascii="Arial" w:hAnsi="Arial"/>
          <w:color w:val="0F766E"/>
        </w:rPr>
        <w:t>7. References</w:t>
      </w:r>
    </w:p>
    <w:p>
      <w:pPr>
        <w:pStyle w:val="ListNumber"/>
        <w:spacing w:after="60" w:line="276" w:lineRule="auto"/>
      </w:pPr>
      <w:r>
        <w:rPr>
          <w:rFonts w:ascii="Arial" w:hAnsi="Arial"/>
        </w:rPr>
        <w:t xml:space="preserve">Kermany, D. S. et al. (2018). Identifying Medical Diagnoses and Treatable Diseases by Image-Based Deep Learning. </w:t>
      </w:r>
      <w:r>
        <w:rPr>
          <w:rFonts w:ascii="Arial" w:hAnsi="Arial"/>
          <w:i/>
        </w:rPr>
        <w:t>Cell</w:t>
      </w:r>
      <w:r>
        <w:rPr>
          <w:rFonts w:ascii="Arial" w:hAnsi="Arial"/>
        </w:rPr>
        <w:t>, 172(5).</w:t>
      </w:r>
    </w:p>
    <w:p>
      <w:pPr>
        <w:pStyle w:val="ListNumber"/>
        <w:spacing w:after="60" w:line="276" w:lineRule="auto"/>
      </w:pPr>
      <w:r>
        <w:rPr>
          <w:rFonts w:ascii="Arial" w:hAnsi="Arial"/>
        </w:rPr>
        <w:t xml:space="preserve">Rajpurkar, P. et al. (2017). CheXNet. </w:t>
      </w:r>
      <w:r>
        <w:rPr>
          <w:rFonts w:ascii="Arial" w:hAnsi="Arial"/>
          <w:i/>
        </w:rPr>
        <w:t>arXiv:1711.05225</w:t>
      </w:r>
      <w:r>
        <w:rPr>
          <w:rFonts w:ascii="Arial" w:hAnsi="Arial"/>
        </w:rPr>
        <w:t>.</w:t>
      </w:r>
    </w:p>
    <w:p>
      <w:pPr>
        <w:pStyle w:val="ListNumber"/>
        <w:spacing w:after="60" w:line="276" w:lineRule="auto"/>
      </w:pPr>
      <w:r>
        <w:rPr>
          <w:rFonts w:ascii="Arial" w:hAnsi="Arial"/>
        </w:rPr>
        <w:t xml:space="preserve">Selvaraju, R. R. et al. (2017). Grad-CAM. </w:t>
      </w:r>
      <w:r>
        <w:rPr>
          <w:rFonts w:ascii="Arial" w:hAnsi="Arial"/>
          <w:i/>
        </w:rPr>
        <w:t>ICCV 2017</w:t>
      </w:r>
      <w:r>
        <w:rPr>
          <w:rFonts w:ascii="Arial" w:hAnsi="Arial"/>
        </w:rPr>
        <w:t>.</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