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eda变量分析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我们发现，一些numeric，一些factor的分类不利于我们进行分析于是我们准备将所有变量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都转化为numerical的变量。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转化之后的分析如下：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Less is more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双变量分析和单变量分析：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我们eda数据是健康的，没有缺失数值，也没有存在特别不平衡的，然后target-distribution是1：1。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salary-range是分类变量，不应该是numeric，要转换成分类变量。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对于numeric和categorical的eda是要分开还是要合并：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先分开再合并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依据dataframe来决定每个变量的类别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关键发现：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Car value：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均值(29,645) &gt; 中位数(21,904) → 右偏分布 📊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大部分客户买中低价车，少部分高价，长尾分布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负债收入比：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行业标准参考：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负债率 &lt; 0.36 → 健康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负债率 0.36-0.50 → 可接受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负债率 &gt; 0.50 → 高风险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你的数据：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Q1 = 0.47 → 75%的客户负债率 &gt; 0.47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中位数 = 0.66 → 50%的客户负债率 &gt; 0.66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结论：这是一个高风险客户群体！🚨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贷款期限：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中期贷款最多（11-17个月）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验证贷款期限和违约率的关系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驾龄：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大部分都有经验（3-7年）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没有特别明显的数据特征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首付比例：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需要做成类别变量，数据分布非常均匀因为是用看待数值变量的方式去看待类别变量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Salary range：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低收入占比最高：39.2%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高收入人群占比不到10%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面向大众市场的汽车贷款产品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Repaid loan on prev car: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Paid 和 repaid很平均，数据很健康，我们不需要处理数据不平衡的问题，不需要用smote来填充，模型训练更稳定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但是50%违约率太高了，不真实，可以解释一下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双变量分析（相关性）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车辆价值越高，还款率越高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负债收入比越高，还款率越高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模型会认为负债越高越好，这是不对的！！！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我们要在这边分层分析（特征工程）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Loan length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贷款期限越长，还款率越高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Driver tenure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驾临越长，违约率越高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新手司机还款率更好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代码及结果分析：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1.数据导入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65420" cy="1620520"/>
            <wp:effectExtent l="0" t="0" r="190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t>这个数据集包含 50,000 条贷款记录和 8 个特征，既有数值型、分类型，也有逻辑型变量。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t xml:space="preserve">在正式分析前，需要将 </w:t>
      </w:r>
      <w:r>
        <w:rPr>
          <w:rStyle w:val="7"/>
          <w:rFonts w:hint="default" w:ascii="Times New Roman" w:hAnsi="Times New Roman" w:eastAsia="Times New Roman" w:cs="Times New Roman"/>
          <w:b w:val="0"/>
          <w:sz w:val="24"/>
          <w:szCs w:val="24"/>
        </w:rPr>
        <w:t>salary_range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t>、</w:t>
      </w:r>
      <w:r>
        <w:rPr>
          <w:rStyle w:val="7"/>
          <w:rFonts w:hint="default" w:ascii="Times New Roman" w:hAnsi="Times New Roman" w:eastAsia="Times New Roman" w:cs="Times New Roman"/>
          <w:b w:val="0"/>
          <w:sz w:val="24"/>
          <w:szCs w:val="24"/>
        </w:rPr>
        <w:t>repaid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t xml:space="preserve"> 等整数型变量转为因子，并把 </w:t>
      </w:r>
      <w:r>
        <w:rPr>
          <w:rStyle w:val="7"/>
          <w:rFonts w:hint="default" w:ascii="Times New Roman" w:hAnsi="Times New Roman" w:eastAsia="Times New Roman" w:cs="Times New Roman"/>
          <w:b w:val="0"/>
          <w:sz w:val="24"/>
          <w:szCs w:val="24"/>
        </w:rPr>
        <w:t>size_of_downpayment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t xml:space="preserve"> 从字符串百分比转换为数值比例。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数据质量总结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4914900" cy="5448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t xml:space="preserve">结果显示：数据共有 </w:t>
      </w:r>
      <w:r>
        <w:rPr>
          <w:rStyle w:val="6"/>
          <w:rFonts w:hint="default" w:ascii="Times New Roman" w:hAnsi="Times New Roman" w:eastAsia="Times New Roman" w:cs="Times New Roman"/>
          <w:b w:val="0"/>
          <w:sz w:val="24"/>
          <w:szCs w:val="24"/>
        </w:rPr>
        <w:t>50,000 条记录、8 个变量（5 个数值型、3 个分类型）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t>，</w:t>
      </w:r>
      <w:r>
        <w:rPr>
          <w:rStyle w:val="6"/>
          <w:rFonts w:hint="default" w:ascii="Times New Roman" w:hAnsi="Times New Roman" w:eastAsia="Times New Roman" w:cs="Times New Roman"/>
          <w:b w:val="0"/>
          <w:sz w:val="24"/>
          <w:szCs w:val="24"/>
        </w:rPr>
        <w:t>没有缺失值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t xml:space="preserve">，且目标变量“是否还款”在两类之间 </w:t>
      </w:r>
      <w:r>
        <w:rPr>
          <w:rStyle w:val="6"/>
          <w:rFonts w:hint="default" w:ascii="Times New Roman" w:hAnsi="Times New Roman" w:eastAsia="Times New Roman" w:cs="Times New Roman"/>
          <w:b w:val="0"/>
          <w:sz w:val="24"/>
          <w:szCs w:val="24"/>
        </w:rPr>
        <w:t>完全平衡（各占 50%）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t>，说明数据质量良好且适合后续建模分析。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3.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65420" cy="1537970"/>
            <wp:effectExtent l="0" t="0" r="1905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63515" cy="829310"/>
            <wp:effectExtent l="0" t="0" r="381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结果显示：样本总体分布合理，其中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汽车价格 car_value 均值约 29,645 美元，跨度较大；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债务收入比 debt_to_income_ratio 均值约 0.59，集中在 0.47–0.71；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贷款期限 loan_length 平均约 14.5 月；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驾驶经验 driver_tenure 均值约 4.6 年；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首付比例 size_of_downpayment 平均约 20%。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✅ 总体上，这一步确认了数值型变量的类型正确且数据分布合理，为后续可视化和建模奠定基础。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数值变量分布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73040" cy="3266440"/>
            <wp:effectExtent l="0" t="0" r="381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68595" cy="4472940"/>
            <wp:effectExtent l="0" t="0" r="8255" b="381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发现（要点）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car_value（均值 ≈ 29,645，范围 10,011–109,564，约 29,712 个不同值）：分布明显右偏/长尾，大多数车辆集中在较低价格区间，但存在若干高价值极端值。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debt_to_income_ratio（均值 ≈ 0.59，范围 ~0.2607–0.7321，几乎连续，49993 个不同值）：总体落在 0.25–0.75，直方图显示在接近 0.7 处有较高密度（可能政策/评分阈值或数据偏好造成）。代码里也对 &gt;1 的情况做了保护性处理并限制 x 轴为 [0,1]。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loan_length（均值 ≈ 14.47，范围 6–22，17 个不同值）：离散分布（整月/年刻度），某些期限（如 6、20、21）频次特别高，应当视作有序分类而非连续变量。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driver_tenure（均值 ≈ 4.6 年，范围 ~0.002–6.997，50000 个不同值）：总体偏右，有大量较高年限值（靠近 6–7 年）和部分接近 0 的新手记录；值得检查是否有异常极小值或测量单位问题。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size_of_downpayment（均值 ≈ 0.20，范围 0–0.4，仅 5 个不同值）：离散的百分比档位（0%,10%,20%,30%,40%），应把字符串百分号去掉并当作有序类别或比例变量处理。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63515" cy="2843530"/>
            <wp:effectExtent l="0" t="0" r="3810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Times New Roman" w:hAnsi="Times New Roman" w:eastAsia="Times New Roman" w:cs="Times New Roman"/>
          <w:b w:val="0"/>
          <w:sz w:val="24"/>
          <w:szCs w:val="24"/>
        </w:rPr>
        <w:t>总结一句话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t>：首付款比例是一个均衡的分类变量，各比例层次样本均等，可直接用于分组分析或建模，无需再标准化处理。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极值分析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72405" cy="1245870"/>
            <wp:effectExtent l="0" t="0" r="4445" b="190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60975" cy="1210310"/>
            <wp:effectExtent l="0" t="0" r="6350" b="889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72405" cy="3058160"/>
            <wp:effectExtent l="0" t="0" r="4445" b="889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数据总体质量良好，仅 car_value 存在少量高值离群点。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其他变量（债务收入比、贷款期限、驾驶年限）分布正常，无异常波动。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若用于建模分析，可考虑：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对 car_value 做对数变换（log transformation）或截断处理以减弱极端值影响；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其他变量可直接使用，无需额外清洗。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一句话总结：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除汽车价值存在约 5% 的高额离群样本外，其余数值变量分布正常、无异常点，数据整体较为干净稳定。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6.分类变量分析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63515" cy="758190"/>
            <wp:effectExtent l="0" t="0" r="3810" b="381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67960" cy="2821940"/>
            <wp:effectExtent l="0" t="0" r="8890" b="698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salary_range（工资等级）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共有 4 个等级（1–4）。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等级 1 占比最高，占 39.2%（19,613人），其次是等级 2（31.7%）。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较高等级（3、4）人数较少，分布呈递减趋势，说明高收入人群比例较低。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repaid_loan_on_prev_car（是否还清上一辆车贷款）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共有 2 个类别：TRUE/FALSE。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约 55.1%（27,547人） 曾还清过上一辆车贷款，44.9%（22,453人） 没有。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数据分布较为均衡，但略偏向已还清群体。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🧭 总体结论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分类变量数据干净，无缺失值。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工资等级分布偏向低收入人群，显示客户群体以中低收入为主；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过半客户在以往有良好还款记录，可能对后续贷款审批或信用评分有正向影响。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7.数值</w:t>
      </w:r>
      <w:r>
        <w:rPr>
          <w:rFonts w:hint="eastAsia" w:ascii="Times New Roman" w:hAnsi="Times New Roman" w:eastAsia="Times New Roman" w:cs="Times New Roman"/>
          <w:b w:val="0"/>
          <w:sz w:val="24"/>
          <w:szCs w:val="24"/>
          <w:lang w:val="en-US" w:eastAsia="zh-CN"/>
        </w:rPr>
        <w:t>变量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和还否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66690" cy="1068070"/>
            <wp:effectExtent l="0" t="0" r="635" b="825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67325" cy="2814320"/>
            <wp:effectExtent l="0" t="0" r="0" b="508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car_value（车辆价值）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已还款客户（绿色）的汽车价值略高于未还款客户（红色）。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表明购车金额越高，客户越可能按时还款（可能因高收入群体占比高）。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debt_to_income_ratio（债务收入比）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已还款客户的比值集中在较高区间（约 0.6–0.7），而未还款客户较低。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说明高债务比的人反而更容易还款，可能是因为这些人信用评分高、获批额度较大。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loan_length（贷款期限）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已还款客户贷款期限更长（中位数约 16–17），未还款客户较短（约 12）。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可能表示较长期限的贷款更容易还清，或短期贷款更易违约。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driver_tenure（驾驶年限）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未还款客户驾驶经验更丰富（平均约 5.6 年），已还款客户较少（约 3.6 年）。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可能与客户年龄或风险偏好相关：年轻驾驶者还款率反而更高。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✅ 总体结论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所有主要数值特征在还款与未还款客户之间存在显著差异。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还款客户通常具备以下特征：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贷款金额较高（高车价）；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债务收入比更高；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贷款期限更长；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驾龄较短（较年轻）。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  <w:lang w:val="en-US" w:eastAsia="zh-CN"/>
        </w:rPr>
        <w:t>8.</w:t>
      </w:r>
      <w:r>
        <w:rPr>
          <w:rFonts w:hint="eastAsia" w:ascii="Times New Roman" w:hAnsi="Times New Roman" w:eastAsia="Times New Roman" w:cs="Times New Roman"/>
          <w:b w:val="0"/>
          <w:sz w:val="24"/>
          <w:szCs w:val="24"/>
          <w:lang w:val="en-US" w:eastAsia="zh-CN"/>
        </w:rPr>
        <w:t>债务收入和工资range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64785" cy="2828290"/>
            <wp:effectExtent l="0" t="0" r="2540" b="63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71770" cy="2879090"/>
            <wp:effectExtent l="0" t="0" r="5080" b="698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71770" cy="784860"/>
            <wp:effectExtent l="0" t="0" r="5080" b="571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70500" cy="911860"/>
            <wp:effectExtent l="0" t="0" r="6350" b="254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</w:rPr>
        <w:drawing>
          <wp:inline distT="0" distB="0" distL="114300" distR="114300">
            <wp:extent cx="5274310" cy="2845435"/>
            <wp:effectExtent l="0" t="0" r="2540" b="254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驾龄（driver_tenure）与工资等级呈显著负相关：工资等级越高（4→1），驾龄越短。表格显示等级 1 的平均驾龄 ≈ 5.34 年（中位数 ≈ 6.04），而等级 4 的平均驾龄 ≈ 3.09 年（中位数 ≈ 2.91）。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ANOVA 显示组间差异高度显著（F 值大，p &lt; 2e-16），密度图/箱型图和小提琴图也一致支持这一点（等级 1、2 驾龄分布偏高，等级 3、4 更偏低且差异明显）。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解释与建议（实务方向）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可能的含义：低工资等级用户在样本中通常驾龄更久（更资深司机），而高工资等级更多新手/驾龄短者（可与年龄、购车频率或职业结构有关）。建议在后续建模或分层分析中把 salary_range 当作有序变量并保留 driver_tenure（或将其分箱），同时考虑检查潜在混淆变量（如年龄或车辆类别）。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统计注意事项：虽然 ANOVA 显著，建议补做方差齐性检验（Levene）和残差正态性检验，若不满足可用非参数检验（Kruskal–Wallis）验证结论稳健性。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eastAsia" w:ascii="Times New Roman" w:hAnsi="Times New Roman" w:eastAsia="Times New Roman"/>
          <w:b w:val="0"/>
          <w:sz w:val="24"/>
          <w:lang w:val="en-US" w:eastAsia="zh-CN"/>
        </w:rPr>
        <w:t>9.债务收入和工资等级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Times New Roman" w:hAnsi="Times New Roman" w:eastAsia="Times New Roman"/>
          <w:b w:val="0"/>
          <w:sz w:val="24"/>
        </w:rPr>
      </w:pPr>
      <w:r>
        <w:rPr>
          <w:rFonts w:ascii="Times New Roman" w:hAnsi="Times New Roman" w:eastAsia="Times New Roman"/>
          <w:b w:val="0"/>
          <w:sz w:val="24"/>
        </w:rPr>
        <w:drawing>
          <wp:inline distT="0" distB="0" distL="114300" distR="114300">
            <wp:extent cx="5272405" cy="3303905"/>
            <wp:effectExtent l="0" t="0" r="4445" b="127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sz w:val="24"/>
        </w:rPr>
        <w:drawing>
          <wp:inline distT="0" distB="0" distL="114300" distR="114300">
            <wp:extent cx="5268595" cy="3378835"/>
            <wp:effectExtent l="0" t="0" r="8255" b="254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sz w:val="24"/>
        </w:rPr>
        <w:drawing>
          <wp:inline distT="0" distB="0" distL="114300" distR="114300">
            <wp:extent cx="5268595" cy="1209040"/>
            <wp:effectExtent l="0" t="0" r="8255" b="63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sz w:val="24"/>
        </w:rPr>
        <w:drawing>
          <wp:inline distT="0" distB="0" distL="114300" distR="114300">
            <wp:extent cx="5260340" cy="3196590"/>
            <wp:effectExtent l="0" t="0" r="6985" b="381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📊 主要发现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平均水平趋势明显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平均债务收入比随工资等级上升而显著增加：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等级 1 ≈ 0.46 （最低）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等级 4 ≈ 0.70 （最高）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说明收入越高的客户，其债务收入比越高，可能反映他们获得更大贷款额度或有更高还款能力</w:t>
      </w:r>
      <w:r>
        <w:rPr>
          <w:rFonts w:hint="eastAsia" w:ascii="Times New Roman" w:hAnsi="Times New Roman" w:eastAsia="Times New Roman"/>
          <w:b w:val="0"/>
          <w:sz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可视化特征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密度图与箱线/散点图均显示：高工资等级（3、4）分布整体右移，集中在 0.65–0.73 之间；低等级分布偏左且更分散。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不同等级间重叠较少，区分度强。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统计检验结果显著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ANOVA：F = 12812，p &lt; 2 × 10⁻¹⁶，表明不同工资等级间债务收入比均值差异极显著。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Tukey HSD 事后检验：所有等级两两差异均显著（p ≈ 0）。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Spearman 秩相关：ρ = 0.626 （p &lt; 2 × 10⁻¹⁶），显示工资等级与债务收入比存在显著正相关。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✅ 总体结论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工资等级越高，客户的债务收入比也越高；二者呈显著正相关。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高收入群体往往承担更高债务比例但具备更强偿付能力。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该指标在信用风险或额度模型中可作为重要区分变量（反映“高收入高负债”特征）。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eastAsia" w:ascii="Times New Roman" w:hAnsi="Times New Roman" w:eastAsia="Times New Roman"/>
          <w:b w:val="0"/>
          <w:sz w:val="24"/>
          <w:lang w:val="en-US" w:eastAsia="zh-CN"/>
        </w:rPr>
        <w:t>10.工资等级和还款与否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ascii="Times New Roman" w:hAnsi="Times New Roman" w:eastAsia="Times New Roman"/>
          <w:b w:val="0"/>
          <w:sz w:val="24"/>
        </w:rPr>
        <w:drawing>
          <wp:inline distT="0" distB="0" distL="114300" distR="114300">
            <wp:extent cx="5260975" cy="2816225"/>
            <wp:effectExtent l="0" t="0" r="6350" b="317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sz w:val="24"/>
        </w:rPr>
        <w:drawing>
          <wp:inline distT="0" distB="0" distL="114300" distR="114300">
            <wp:extent cx="2571750" cy="4171950"/>
            <wp:effectExtent l="0" t="0" r="0" b="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sz w:val="24"/>
        </w:rPr>
        <w:drawing>
          <wp:inline distT="0" distB="0" distL="114300" distR="114300">
            <wp:extent cx="4171950" cy="2457450"/>
            <wp:effectExtent l="0" t="0" r="0" b="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主要结论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工资等级（salary_range）与还款有关且差异很大：等级 1 的还款率只有 ≈26.1%（未还比 ~73.9%），而等级 2–4 的还款率都在 ≈64–66% 左右（分别约 65.0%、66.2%、64.7%）。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default" w:ascii="Times New Roman" w:hAnsi="Times New Roman" w:eastAsia="Times New Roman"/>
          <w:b w:val="0"/>
          <w:sz w:val="24"/>
          <w:lang w:val="en-US" w:eastAsia="zh-CN"/>
        </w:rPr>
        <w:t>是否还清上一辆车的贷款（repaid_loan_on_prev_car）对本次还款影响很小：TRUE 与 FALSE 的本次还款率接近（约 50.5% vs 49.5% / 49.3% vs 50.7%，几乎无差异）。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Times New Roman" w:hAnsi="Times New Roman" w:eastAsia="Times New Roman"/>
          <w:b w:val="0"/>
          <w:sz w:val="24"/>
          <w:lang w:val="en-US" w:eastAsia="zh-CN"/>
        </w:rPr>
      </w:pPr>
      <w:r>
        <w:rPr>
          <w:rFonts w:hint="eastAsia" w:ascii="Times New Roman" w:hAnsi="Times New Roman" w:eastAsia="Times New Roman"/>
          <w:b w:val="0"/>
          <w:sz w:val="24"/>
          <w:lang w:val="en-US" w:eastAsia="zh-CN"/>
        </w:rPr>
        <w:t>相关性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drawing>
          <wp:inline distT="0" distB="0" distL="114300" distR="114300">
            <wp:extent cx="5271135" cy="3756025"/>
            <wp:effectExtent l="0" t="0" r="5715" b="635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729990"/>
            <wp:effectExtent l="0" t="0" r="4445" b="3810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6"/>
          <w:b/>
        </w:rPr>
        <w:t>总结一句话</w:t>
      </w:r>
    </w:p>
    <w:p>
      <w:pPr>
        <w:pStyle w:val="3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各数值变量之间相关性弱，无多重共线性风险；其中驾龄与债务收入比存在轻微负相关，整体变量独立性良好。</w:t>
      </w:r>
    </w:p>
    <w:p>
      <w:pPr>
        <w:pStyle w:val="3"/>
        <w:keepNext w:val="0"/>
        <w:keepLines w:val="0"/>
        <w:widowControl/>
        <w:suppressLineNumbers w:val="0"/>
        <w:ind w:right="72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12.</w:t>
      </w:r>
      <w:r>
        <w:drawing>
          <wp:inline distT="0" distB="0" distL="114300" distR="114300">
            <wp:extent cx="5268595" cy="2716530"/>
            <wp:effectExtent l="0" t="0" r="8255" b="7620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795905"/>
            <wp:effectExtent l="0" t="0" r="3810" b="4445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900555"/>
            <wp:effectExtent l="0" t="0" r="6350" b="4445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315845"/>
            <wp:effectExtent l="0" t="0" r="4445" b="8255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前两个主成分（PC1+PC2）已捕获约 60% 的信息，前四个主成分累计约 85%，降维效果良好。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主导因素为：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PC1：债务收入比（负）与驾龄（正）冲突维度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PC2：贷款期限维度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PC3：车辆价值维度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各变量信息互补、共线性低，PCA结果支持前期的相关性分析。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数据中还款状态可在低维空间中部分区分，说明特征确实包含信用行为信息，但需监督模型进一步提取。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783840"/>
            <wp:effectExtent l="0" t="0" r="3175" b="6985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675640"/>
            <wp:effectExtent l="0" t="0" r="8890" b="635"/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</w:rPr>
      </w:pPr>
      <w:r>
        <w:drawing>
          <wp:inline distT="0" distB="0" distL="114300" distR="114300">
            <wp:extent cx="5269865" cy="848995"/>
            <wp:effectExtent l="0" t="0" r="6985" b="8255"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✅ 结论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</w:rPr>
      </w:pPr>
      <w:r>
        <w:rPr>
          <w:rFonts w:hint="eastAsia"/>
        </w:rPr>
        <w:t>t-SNE 成功揭示了 还款行为的潜在模式差异；模型特征（车价、债务比、贷款期、驾龄）在高维空间中能有效区分还款状态。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</w:rPr>
      </w:pPr>
      <w:r>
        <w:rPr>
          <w:rFonts w:hint="eastAsia"/>
        </w:rPr>
        <w:t>数据在低维嵌入空间里表现出良好的结构分离，说明这些特征对于信用风险分类具有显著判别力。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</w:rPr>
      </w:pPr>
      <w:r>
        <w:rPr>
          <w:rFonts w:hint="eastAsia"/>
        </w:rPr>
        <w:t>后续可在此基础上进一步训练监督学习模型（例如逻辑回归、XGBoost 等）来量化变量对还款预测的贡献。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14.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3B176F"/>
    <w:multiLevelType w:val="singleLevel"/>
    <w:tmpl w:val="D63B176F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88FEBCF"/>
    <w:multiLevelType w:val="singleLevel"/>
    <w:tmpl w:val="F88FEB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FmNDI3MGMyNzQ2MzQ5MGVjOTdiNWM2Yjg3NDQxMzMifQ=="/>
  </w:docVars>
  <w:rsids>
    <w:rsidRoot w:val="00000000"/>
    <w:rsid w:val="3E537190"/>
    <w:rsid w:val="45FB1021"/>
    <w:rsid w:val="5D095991"/>
    <w:rsid w:val="7F6A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795</Words>
  <Characters>1052</Characters>
  <Lines>0</Lines>
  <Paragraphs>0</Paragraphs>
  <TotalTime>27</TotalTime>
  <ScaleCrop>false</ScaleCrop>
  <LinksUpToDate>false</LinksUpToDate>
  <CharactersWithSpaces>1114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2025-10-27T11:16:00Z</dcterms:created>
  <dc:creator>yuanz</dc:creator>
  <cp:lastModifiedBy>无铭</cp:lastModifiedBy>
  <dcterms:modified xsi:type="dcterms:W3CDTF">2025-10-31T21:14:09Z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C09D6585D3764602BF7484D9B4C8D5A8</vt:lpwstr>
  </property>
</Properties>
</file>