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D78"/>
          <w:sz w:val="36"/>
        </w:rPr>
        <w:t>GUÍA TÉCNICA DE DESPLIEGUE PARA OGTI</w:t>
      </w:r>
    </w:p>
    <w:p>
      <w:pPr>
        <w:spacing w:after="40"/>
        <w:jc w:val="center"/>
      </w:pPr>
      <w:r>
        <w:rPr>
          <w:b/>
          <w:sz w:val="24"/>
        </w:rPr>
        <w:t>Plano de Usos Compatibles - San Borja</w:t>
      </w:r>
    </w:p>
    <w:p>
      <w:pPr>
        <w:spacing w:after="200"/>
        <w:jc w:val="center"/>
      </w:pPr>
      <w:r>
        <w:rPr>
          <w:color w:val="5A5A5A"/>
          <w:sz w:val="18"/>
        </w:rPr>
        <w:t>Entidad: Municipalidad de San Borja | Fecha de actualización: 28/08/2026</w:t>
      </w:r>
    </w:p>
    <w:p>
      <w:pPr>
        <w:pStyle w:val="Heading1"/>
      </w:pPr>
      <w:r>
        <w:t>1. Objetivo</w:t>
      </w:r>
    </w:p>
    <w:p>
      <w:r>
        <w:t>Establecer una guía breve para publicar el visor en infraestructura institucional o hosting estático autorizado, considerando estructura de archivos, cabeceras HTTP, validaciones funcionales y contingencia.</w:t>
      </w:r>
    </w:p>
    <w:p>
      <w:pPr>
        <w:pStyle w:val="Heading1"/>
      </w:pPr>
      <w:r>
        <w:t>2. Resumen para OGTI</w:t>
      </w:r>
    </w:p>
    <w:p>
      <w:r>
        <w:t>El visor es una aplicación estática. No requiere base de datos ni backend: el servidor solo entrega archivos HTML, CSS, JavaScript, imágenes, fuentes y capas de datos públicas.</w:t>
      </w:r>
    </w:p>
    <w:p>
      <w:r>
        <w:t>La capa base satelital se consume desde Google Satellite mediante teselas XYZ. El visor usa Leaflet para renderizar el mapa y las capas municipales.</w:t>
      </w:r>
    </w:p>
    <w:p>
      <w:pPr>
        <w:pStyle w:val="Heading1"/>
      </w:pPr>
      <w:r>
        <w:t>3. Arquitectura de despliegue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896"/>
        <w:gridCol w:w="4896"/>
      </w:tblGrid>
      <w:tr>
        <w:tc>
          <w:tcPr>
            <w:tcW w:type="dxa" w:w="4896"/>
            <w:shd w:fill="E8EEF5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Componente</w:t>
            </w:r>
          </w:p>
        </w:tc>
        <w:tc>
          <w:tcPr>
            <w:tcW w:type="dxa" w:w="4896"/>
            <w:shd w:fill="E8EEF5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Descripción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Cliente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Navegador moderno con JavaScript habilitado.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Servidor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Hosting estático HTTPS que publica el contenido del proyecto.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Mapa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Leaflet renderiza el mapa, controles, polígonos, leyenda, buscador y panel de detalle.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Datos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Capas y catálogos servidos desde data/ y js/ como archivos JavaScript estáticos.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Seguridad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HTTPS, CSP, cabeceras HTTP, control de publicación y respaldo de versión.</w:t>
            </w:r>
          </w:p>
        </w:tc>
      </w:tr>
    </w:tbl>
    <w:p>
      <w:pPr>
        <w:spacing w:after="40"/>
      </w:pPr>
    </w:p>
    <w:p>
      <w:pPr>
        <w:pStyle w:val="Heading1"/>
      </w:pPr>
      <w:r>
        <w:t>4. Estructura mínima a publicar</w:t>
      </w:r>
    </w:p>
    <w:p>
      <w:pPr>
        <w:pStyle w:val="ListBullet"/>
        <w:spacing w:after="40"/>
      </w:pPr>
      <w:r>
        <w:t>index.html</w:t>
      </w:r>
    </w:p>
    <w:p>
      <w:pPr>
        <w:pStyle w:val="ListBullet"/>
        <w:spacing w:after="40"/>
      </w:pPr>
      <w:r>
        <w:t>css/</w:t>
      </w:r>
    </w:p>
    <w:p>
      <w:pPr>
        <w:pStyle w:val="ListBullet"/>
        <w:spacing w:after="40"/>
      </w:pPr>
      <w:r>
        <w:t>js/</w:t>
      </w:r>
    </w:p>
    <w:p>
      <w:pPr>
        <w:pStyle w:val="ListBullet"/>
        <w:spacing w:after="40"/>
      </w:pPr>
      <w:r>
        <w:t>data/</w:t>
      </w:r>
    </w:p>
    <w:p>
      <w:pPr>
        <w:pStyle w:val="ListBullet"/>
        <w:spacing w:after="40"/>
      </w:pPr>
      <w:r>
        <w:t>assets/</w:t>
      </w:r>
    </w:p>
    <w:p>
      <w:pPr>
        <w:pStyle w:val="ListBullet"/>
        <w:spacing w:after="40"/>
      </w:pPr>
      <w:r>
        <w:t>webfonts/</w:t>
      </w:r>
    </w:p>
    <w:p>
      <w:r>
        <w:t>No publicar carpetas temporales, respaldos internos, pruebas locales, reportes de rendimiento ni archivos ejecutables usados solo para desarrollo.</w:t>
      </w:r>
    </w:p>
    <w:p>
      <w:pPr>
        <w:pStyle w:val="Heading1"/>
      </w:pPr>
      <w:r>
        <w:t>5. Preparación antes de publicar</w:t>
      </w:r>
    </w:p>
    <w:p>
      <w:pPr>
        <w:pStyle w:val="ListBullet"/>
        <w:spacing w:after="40"/>
      </w:pPr>
      <w:r>
        <w:t>Trabajar desde una copia limpia del proyecto.</w:t>
      </w:r>
    </w:p>
    <w:p>
      <w:pPr>
        <w:pStyle w:val="ListBullet"/>
        <w:spacing w:after="40"/>
      </w:pPr>
      <w:r>
        <w:t>Confirmar que index.html esté en la raíz del visor.</w:t>
      </w:r>
    </w:p>
    <w:p>
      <w:pPr>
        <w:pStyle w:val="ListBullet"/>
        <w:spacing w:after="40"/>
      </w:pPr>
      <w:r>
        <w:t>Verificar que las rutas relativas hacia css/, js/, data/, assets/ y webfonts/ funcionen.</w:t>
      </w:r>
    </w:p>
    <w:p>
      <w:pPr>
        <w:pStyle w:val="ListBullet"/>
        <w:spacing w:after="40"/>
      </w:pPr>
      <w:r>
        <w:t>Actualizar los parámetros ?v= de CSS/JS modificados para evitar caché antigua.</w:t>
      </w:r>
    </w:p>
    <w:p>
      <w:pPr>
        <w:pStyle w:val="ListBullet"/>
        <w:spacing w:after="40"/>
      </w:pPr>
      <w:r>
        <w:t>Probar localmente buscador, selección de polígonos, panel DETALLE DEL LOTE, filtro CIIU, leyenda, capas adicionales y transparencia.</w:t>
      </w:r>
    </w:p>
    <w:p>
      <w:pPr>
        <w:pStyle w:val="ListBullet"/>
        <w:spacing w:after="40"/>
      </w:pPr>
      <w:r>
        <w:t>Confirmar que la salida del navegador hacia https://mt1.google.com y https://cdn.jsdelivr.net esté permitida, salvo que OGTI decida alojar todo localmente.</w:t>
      </w:r>
    </w:p>
    <w:p>
      <w:pPr>
        <w:pStyle w:val="Heading1"/>
      </w:pPr>
      <w:r>
        <w:t>6. Procedimiento de despliegue</w:t>
      </w:r>
    </w:p>
    <w:p>
      <w:pPr>
        <w:pStyle w:val="ListBullet"/>
        <w:spacing w:after="40"/>
      </w:pPr>
      <w:r>
        <w:t>Crear el sitio estático o directorio público en el servidor institucional.</w:t>
      </w:r>
    </w:p>
    <w:p>
      <w:pPr>
        <w:pStyle w:val="ListBullet"/>
        <w:spacing w:after="40"/>
      </w:pPr>
      <w:r>
        <w:t>Copiar el contenido del proyecto a la raíz pública definida.</w:t>
      </w:r>
    </w:p>
    <w:p>
      <w:pPr>
        <w:pStyle w:val="ListBullet"/>
        <w:spacing w:after="40"/>
      </w:pPr>
      <w:r>
        <w:t>Asegurar HTTPS obligatorio y redirección desde HTTP si aplica.</w:t>
      </w:r>
    </w:p>
    <w:p>
      <w:pPr>
        <w:pStyle w:val="ListBullet"/>
        <w:spacing w:after="40"/>
      </w:pPr>
      <w:r>
        <w:t>Configurar permisos de lectura pública y escritura restringida al equipo autorizado.</w:t>
      </w:r>
    </w:p>
    <w:p>
      <w:pPr>
        <w:pStyle w:val="ListBullet"/>
        <w:spacing w:after="40"/>
      </w:pPr>
      <w:r>
        <w:t>Aplicar cabeceras HTTP equivalentes a las indicadas en esta guía.</w:t>
      </w:r>
    </w:p>
    <w:p>
      <w:pPr>
        <w:pStyle w:val="ListBullet"/>
        <w:spacing w:after="40"/>
      </w:pPr>
      <w:r>
        <w:t>Ejecutar pruebas funcionales posteriores al despliegue.</w:t>
      </w:r>
    </w:p>
    <w:p>
      <w:pPr>
        <w:pStyle w:val="Heading1"/>
      </w:pPr>
      <w:r>
        <w:t>7. Tipos MIME mínimos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896"/>
        <w:gridCol w:w="4896"/>
      </w:tblGrid>
      <w:tr>
        <w:tc>
          <w:tcPr>
            <w:tcW w:type="dxa" w:w="4896"/>
            <w:shd w:fill="E8EEF5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Extensión</w:t>
            </w:r>
          </w:p>
        </w:tc>
        <w:tc>
          <w:tcPr>
            <w:tcW w:type="dxa" w:w="4896"/>
            <w:shd w:fill="E8EEF5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MIME recomendado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.html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text/html; charset=utf-8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.css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text/css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.js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application/javascript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.json / .geojson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application/json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.png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image/png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.woff2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font/woff2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.ttf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font/ttf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Cabeceras HTTP recomendadas</w:t>
      </w:r>
    </w:p>
    <w:p>
      <w:r>
        <w:t>OGTI debe trasladar estas cabeceras al servidor, proxy reverso, WAF o plataforma de hosting. La CSP incluye Google Satellite y jsDelivr porque el visor actual carga teselas desde mt1.google.com y leaflet-textpath desde cdn.jsdelivr.net.</w:t>
      </w:r>
    </w:p>
    <w:p>
      <w:pPr>
        <w:pStyle w:val="Heading2"/>
      </w:pPr>
      <w:r>
        <w:t>8.1 Nginx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7E7E7"/>
          <w:left w:val="single" w:sz="4" w:space="0" w:color="E7E7E7"/>
          <w:bottom w:val="single" w:sz="4" w:space="0" w:color="E7E7E7"/>
          <w:right w:val="single" w:sz="4" w:space="0" w:color="E7E7E7"/>
          <w:insideH w:val="single" w:sz="4" w:space="0" w:color="E7E7E7"/>
          <w:insideV w:val="single" w:sz="4" w:space="0" w:color="E7E7E7"/>
        </w:tblBorders>
      </w:tblPr>
      <w:tblGrid>
        <w:gridCol w:w="9360"/>
      </w:tblGrid>
      <w:tr>
        <w:tc>
          <w:tcPr>
            <w:tcW w:type="dxa" w:w="9792"/>
            <w:shd w:fill="F7F9FB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E1E1E"/>
                <w:sz w:val="15"/>
              </w:rPr>
              <w:t>add_header Content-Security-Policy "default-src 'self'; script-src 'self' https://cdn.jsdelivr.net; style-src 'self' 'unsafe-inline'; img-src 'self' data: https://mt1.google.com; font-src 'self' data:; connect-src 'self' https://mt1.google.com; object-src 'none'; base-uri 'self'; form-action 'none'; frame-ancestors 'none'; upgrade-insecure-requests" always;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add_header X-Frame-Options "DENY" always;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add_header X-Content-Type-Options "nosniff" always;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add_header Referrer-Policy "strict-origin-when-cross-origin" always;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add_header Permissions-Policy "geolocation=(), microphone=(), camera=(), payment=(), usb=(), fullscreen=(self)" always;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add_header Strict-Transport-Security "max-age=31536000; includeSubDomains; preload" always;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location = /index.html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add_header Cache-Control "no-cache, no-store, must-revalidate" always;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location ~* ^/(css|js|data|assets|webfonts)/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add_header Cache-Control "public, max-age=604800" always;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8.2 Apache HTTP Server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7E7E7"/>
          <w:left w:val="single" w:sz="4" w:space="0" w:color="E7E7E7"/>
          <w:bottom w:val="single" w:sz="4" w:space="0" w:color="E7E7E7"/>
          <w:right w:val="single" w:sz="4" w:space="0" w:color="E7E7E7"/>
          <w:insideH w:val="single" w:sz="4" w:space="0" w:color="E7E7E7"/>
          <w:insideV w:val="single" w:sz="4" w:space="0" w:color="E7E7E7"/>
        </w:tblBorders>
      </w:tblPr>
      <w:tblGrid>
        <w:gridCol w:w="9360"/>
      </w:tblGrid>
      <w:tr>
        <w:tc>
          <w:tcPr>
            <w:tcW w:type="dxa" w:w="9792"/>
            <w:shd w:fill="F7F9FB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E1E1E"/>
                <w:sz w:val="15"/>
              </w:rPr>
              <w:t>Header always set Content-Security-Policy "default-src 'self'; script-src 'self' https://cdn.jsdelivr.net; style-src 'self' 'unsafe-inline'; img-src 'self' data: https://mt1.google.com; font-src 'self' data:; connect-src 'self' https://mt1.google.com; object-src 'none'; base-uri 'self'; form-action 'none'; frame-ancestors 'none'; upgrade-insecure-requests"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Header always set X-Frame-Options "DENY"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Header always set X-Content-Type-Options "nosniff"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Header always set Referrer-Policy "strict-origin-when-cross-origin"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Header always set Permissions-Policy "geolocation=(), microphone=(), camera=(), payment=(), usb=(), fullscreen=(self)"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Header always set Strict-Transport-Security "max-age=31536000; includeSubDomains; preload"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&lt;Files "index.html"&gt;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Header always set Cache-Control "no-cache, no-store, must-revalidate"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&lt;/Files&gt;</w:t>
            </w:r>
          </w:p>
        </w:tc>
      </w:tr>
    </w:tbl>
    <w:p>
      <w:pPr>
        <w:spacing w:after="40"/>
      </w:pPr>
    </w:p>
    <w:p>
      <w:pPr>
        <w:pStyle w:val="Heading2"/>
      </w:pPr>
      <w:r>
        <w:t>8.3 IIS web.config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7E7E7"/>
          <w:left w:val="single" w:sz="4" w:space="0" w:color="E7E7E7"/>
          <w:bottom w:val="single" w:sz="4" w:space="0" w:color="E7E7E7"/>
          <w:right w:val="single" w:sz="4" w:space="0" w:color="E7E7E7"/>
          <w:insideH w:val="single" w:sz="4" w:space="0" w:color="E7E7E7"/>
          <w:insideV w:val="single" w:sz="4" w:space="0" w:color="E7E7E7"/>
        </w:tblBorders>
      </w:tblPr>
      <w:tblGrid>
        <w:gridCol w:w="9360"/>
      </w:tblGrid>
      <w:tr>
        <w:tc>
          <w:tcPr>
            <w:tcW w:type="dxa" w:w="9792"/>
            <w:shd w:fill="F7F9FB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E1E1E"/>
                <w:sz w:val="15"/>
              </w:rPr>
              <w:t>&lt;system.webServer&gt;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&lt;httpProtocol&gt;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&lt;customHeaders&gt;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&lt;add name="Content-Security-Policy" value="default-src 'self'; script-src 'self' https://cdn.jsdelivr.net; style-src 'self' 'unsafe-inline'; img-src 'self' data: https://mt1.google.com; font-src 'self' data:; connect-src 'self' https://mt1.google.com; object-src 'none'; base-uri 'self'; form-action 'none'; frame-ancestors 'none'; upgrade-insecure-requests"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&lt;add name="X-Frame-Options" value="DENY"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&lt;add name="X-Content-Type-Options" value="nosniff"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&lt;add name="Referrer-Policy" value="strict-origin-when-cross-origin"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&lt;add name="Permissions-Policy" value="geolocation=(), microphone=(), camera=(), payment=(), usb=(), fullscreen=(self)"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&lt;add name="Strict-Transport-Security" value="max-age=31536000; includeSubDomains; preload"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&lt;/customHeaders&gt;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&lt;/httpProtocol&gt;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&lt;/system.webServer&gt;</w:t>
            </w:r>
          </w:p>
        </w:tc>
      </w:tr>
    </w:tbl>
    <w:p>
      <w:pPr>
        <w:spacing w:after="40"/>
      </w:pPr>
    </w:p>
    <w:p>
      <w:pPr>
        <w:pStyle w:val="Heading2"/>
      </w:pPr>
      <w:r>
        <w:t>8.4 Vercel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7E7E7"/>
          <w:left w:val="single" w:sz="4" w:space="0" w:color="E7E7E7"/>
          <w:bottom w:val="single" w:sz="4" w:space="0" w:color="E7E7E7"/>
          <w:right w:val="single" w:sz="4" w:space="0" w:color="E7E7E7"/>
          <w:insideH w:val="single" w:sz="4" w:space="0" w:color="E7E7E7"/>
          <w:insideV w:val="single" w:sz="4" w:space="0" w:color="E7E7E7"/>
        </w:tblBorders>
      </w:tblPr>
      <w:tblGrid>
        <w:gridCol w:w="9360"/>
      </w:tblGrid>
      <w:tr>
        <w:tc>
          <w:tcPr>
            <w:tcW w:type="dxa" w:w="9792"/>
            <w:shd w:fill="F7F9FB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E1E1E"/>
                <w:sz w:val="15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"headers":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"source": "/(.*)",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"headers":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  { "key": "Content-Security-Policy", "value": "default-src 'self'; script-src 'self' https://cdn.jsdelivr.net; style-src 'self' 'unsafe-inline'; img-src 'self' data: https://mt1.google.com; font-src 'self' data:; connect-src 'self' https://mt1.google.com; object-src 'none'; base-uri 'self'; form-action 'none'; frame-ancestors 'none'; upgrade-insecure-requests"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  { "key": "X-Frame-Options", "value": "DENY"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  { "key": "X-Content-Type-Options", "value": "nosniff"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  { "key": "Referrer-Policy", "value": "strict-origin-when-cross-origin"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  { "key": "Permissions-Policy", "value": "geolocation=(), microphone=(), camera=(), payment=(), usb=(), fullscreen=(self)"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  { "key": "Strict-Transport-Security", "value": "max-age=31536000; includeSubDomains; preload"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8.5 Netlify (_headers)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7E7E7"/>
          <w:left w:val="single" w:sz="4" w:space="0" w:color="E7E7E7"/>
          <w:bottom w:val="single" w:sz="4" w:space="0" w:color="E7E7E7"/>
          <w:right w:val="single" w:sz="4" w:space="0" w:color="E7E7E7"/>
          <w:insideH w:val="single" w:sz="4" w:space="0" w:color="E7E7E7"/>
          <w:insideV w:val="single" w:sz="4" w:space="0" w:color="E7E7E7"/>
        </w:tblBorders>
      </w:tblPr>
      <w:tblGrid>
        <w:gridCol w:w="9360"/>
      </w:tblGrid>
      <w:tr>
        <w:tc>
          <w:tcPr>
            <w:tcW w:type="dxa" w:w="9792"/>
            <w:shd w:fill="F7F9FB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E1E1E"/>
                <w:sz w:val="15"/>
              </w:rPr>
              <w:t>/*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Content-Security-Policy: default-src 'self'; script-src 'self' https://cdn.jsdelivr.net; style-src 'self' 'unsafe-inline'; img-src 'self' data: https://mt1.google.com; font-src 'self' data:; connect-src 'self' https://mt1.google.com; object-src 'none'; base-uri 'self'; form-action 'none'; frame-ancestors 'none'; upgrade-insecure-requests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X-Frame-Options: DENY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X-Content-Type-Options: nosniff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Referrer-Policy: strict-origin-when-cross-origin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Permissions-Policy: geolocation=(), microphone=(), camera=(), payment=(), usb=(), fullscreen=(self)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Strict-Transport-Security: max-age=31536000; includeSubDomains; preload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/index.html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Cache-Control: no-cache, no-store, must-revalidate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/css/*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Cache-Control: public, max-age=604800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/js/*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Cache-Control: public, max-age=604800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/data/*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Cache-Control: public, max-age=604800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/assets/*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Cache-Control: public, max-age=604800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>/webfonts/*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1E1E"/>
                <w:sz w:val="15"/>
              </w:rPr>
              <w:t xml:space="preserve">  Cache-Control: public, max-age=604800</w:t>
            </w:r>
          </w:p>
        </w:tc>
      </w:tr>
    </w:tbl>
    <w:p>
      <w:pPr>
        <w:spacing w:after="40"/>
      </w:pPr>
    </w:p>
    <w:p>
      <w:pPr>
        <w:pStyle w:val="Heading1"/>
      </w:pPr>
      <w:r>
        <w:t>9. Pruebas posteriores al despliegue</w:t>
      </w:r>
    </w:p>
    <w:p>
      <w:pPr>
        <w:pStyle w:val="ListBullet"/>
        <w:spacing w:after="40"/>
      </w:pPr>
      <w:r>
        <w:t>La URL carga con HTTPS y sin errores 404/500.</w:t>
      </w:r>
    </w:p>
    <w:p>
      <w:pPr>
        <w:pStyle w:val="ListBullet"/>
        <w:spacing w:after="40"/>
      </w:pPr>
      <w:r>
        <w:t>El mapa satelital carga correctamente.</w:t>
      </w:r>
    </w:p>
    <w:p>
      <w:pPr>
        <w:pStyle w:val="ListBullet"/>
        <w:spacing w:after="40"/>
      </w:pPr>
      <w:r>
        <w:t>La selección de polígonos muestra el popup y actualiza DETALLE DEL LOTE.</w:t>
      </w:r>
    </w:p>
    <w:p>
      <w:pPr>
        <w:pStyle w:val="ListBullet"/>
        <w:spacing w:after="40"/>
      </w:pPr>
      <w:r>
        <w:t>El buscador de vías ubica el tramo seleccionado y mantiene el resaltado.</w:t>
      </w:r>
    </w:p>
    <w:p>
      <w:pPr>
        <w:pStyle w:val="ListBullet"/>
        <w:spacing w:after="40"/>
      </w:pPr>
      <w:r>
        <w:t>El filtro por código CIIU funciona con y sin polígono seleccionado.</w:t>
      </w:r>
    </w:p>
    <w:p>
      <w:pPr>
        <w:pStyle w:val="ListBullet"/>
        <w:spacing w:after="40"/>
      </w:pPr>
      <w:r>
        <w:t>La leyenda activa/desactiva categorías sin mover el mapa al hacer scroll.</w:t>
      </w:r>
    </w:p>
    <w:p>
      <w:pPr>
        <w:pStyle w:val="ListBullet"/>
        <w:spacing w:after="40"/>
      </w:pPr>
      <w:r>
        <w:t>Las capas adicionales Retiro y Borde se activan/desactivan.</w:t>
      </w:r>
    </w:p>
    <w:p>
      <w:pPr>
        <w:pStyle w:val="ListBullet"/>
        <w:spacing w:after="40"/>
      </w:pPr>
      <w:r>
        <w:t>La transparencia del mapa modifica la opacidad esperada.</w:t>
      </w:r>
    </w:p>
    <w:p>
      <w:pPr>
        <w:pStyle w:val="ListBullet"/>
        <w:spacing w:after="40"/>
      </w:pPr>
      <w:r>
        <w:t>La vista móvil no superpone controles, paneles ni buscador.</w:t>
      </w:r>
    </w:p>
    <w:p>
      <w:pPr>
        <w:pStyle w:val="Heading1"/>
      </w:pPr>
      <w:r>
        <w:t>10. Contingencia</w:t>
      </w:r>
    </w:p>
    <w:p>
      <w:pPr>
        <w:pStyle w:val="ListBullet"/>
        <w:spacing w:after="40"/>
      </w:pPr>
      <w:r>
        <w:t>Mantener respaldo de la última versión estable publicada.</w:t>
      </w:r>
    </w:p>
    <w:p>
      <w:pPr>
        <w:pStyle w:val="ListBullet"/>
        <w:spacing w:after="40"/>
      </w:pPr>
      <w:r>
        <w:t>Ante error crítico, restaurar la carpeta publicada anterior.</w:t>
      </w:r>
    </w:p>
    <w:p>
      <w:pPr>
        <w:pStyle w:val="ListBullet"/>
        <w:spacing w:after="40"/>
      </w:pPr>
      <w:r>
        <w:t>Si falla Google Satellite, validar salida hacia mt1.google.com o reemplazar la capa base por un servicio aprobado.</w:t>
      </w:r>
    </w:p>
    <w:p>
      <w:pPr>
        <w:pStyle w:val="ListBullet"/>
        <w:spacing w:after="40"/>
      </w:pPr>
      <w:r>
        <w:t>Si falla un archivo JS/CSS, revisar rutas relativas, caché y parámetros ?v= en index.html.</w:t>
      </w:r>
    </w:p>
    <w:p>
      <w:pPr>
        <w:pStyle w:val="ListBullet"/>
        <w:spacing w:after="40"/>
      </w:pPr>
      <w:r>
        <w:t>Si falla una capa, revisar orden de scripts, nombre de variable exportada y consola del navegador.</w:t>
      </w:r>
    </w:p>
    <w:p>
      <w:pPr>
        <w:pStyle w:val="Heading1"/>
      </w:pPr>
      <w:r>
        <w:t>11. Checklist de aceptación</w:t>
      </w:r>
    </w:p>
    <w:p>
      <w:pPr>
        <w:pStyle w:val="ListBullet"/>
        <w:spacing w:after="40"/>
      </w:pPr>
      <w:r>
        <w:t>Paquete publicado completo: index.html, css/, js/, data/, assets/ y webfonts/.</w:t>
      </w:r>
    </w:p>
    <w:p>
      <w:pPr>
        <w:pStyle w:val="ListBullet"/>
        <w:spacing w:after="40"/>
      </w:pPr>
      <w:r>
        <w:t>Cabeceras HTTP aplicadas y verificadas.</w:t>
      </w:r>
    </w:p>
    <w:p>
      <w:pPr>
        <w:pStyle w:val="ListBullet"/>
        <w:spacing w:after="40"/>
      </w:pPr>
      <w:r>
        <w:t>CSP ajustada a los dominios permitidos por OGTI.</w:t>
      </w:r>
    </w:p>
    <w:p>
      <w:pPr>
        <w:pStyle w:val="ListBullet"/>
        <w:spacing w:after="40"/>
      </w:pPr>
      <w:r>
        <w:t>MIME correctos configurados.</w:t>
      </w:r>
    </w:p>
    <w:p>
      <w:pPr>
        <w:pStyle w:val="ListBullet"/>
        <w:spacing w:after="40"/>
      </w:pPr>
      <w:r>
        <w:t>Funciones principales probadas en desktop y móvil.</w:t>
      </w:r>
    </w:p>
    <w:p>
      <w:pPr>
        <w:pStyle w:val="ListBullet"/>
        <w:spacing w:after="40"/>
      </w:pPr>
      <w:r>
        <w:t>Dependencia de Google Satellite y jsDelivr aprobada o reemplazada por recursos institucionales.</w:t>
      </w:r>
    </w:p>
    <w:p>
      <w:pPr>
        <w:pStyle w:val="ListBullet"/>
        <w:spacing w:after="40"/>
      </w:pPr>
      <w:r>
        <w:t>Respaldo y registro de despliegue completados.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Municipalidad de San Borja - Guía técnica de despliegue OGTI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