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/>
          <w:b/>
          <w:color w:val="2E74B5"/>
          <w:sz w:val="22"/>
        </w:rPr>
        <w:t>INFORME DE DESARROLLO Y PRUEBAS</w:t>
      </w:r>
    </w:p>
    <w:p>
      <w:pPr>
        <w:spacing w:after="160"/>
        <w:jc w:val="center"/>
      </w:pPr>
      <w:r>
        <w:rPr>
          <w:rFonts w:ascii="Calibri" w:hAnsi="Calibri"/>
          <w:b/>
          <w:color w:val="203A43"/>
          <w:sz w:val="60"/>
        </w:rPr>
        <w:t>PharmaMobil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Modelado de dominio y pruebas unitarias en Kotlin Multiplatform</w:t>
      </w:r>
    </w:p>
    <w:p>
      <w:pPr>
        <w:spacing w:after="1400"/>
        <w:jc w:val="center"/>
      </w:pPr>
      <w:r>
        <w:rPr>
          <w:rFonts w:ascii="Calibri" w:hAnsi="Calibri"/>
          <w:i/>
          <w:color w:val="667085"/>
          <w:sz w:val="22"/>
        </w:rPr>
        <w:t>Desarrollo de Aplicaciones Móviles · Ciclo VI</w:t>
      </w:r>
    </w:p>
    <w:p>
      <w:pPr>
        <w:spacing w:after="60"/>
        <w:jc w:val="center"/>
      </w:pPr>
      <w:r>
        <w:rPr>
          <w:rFonts w:ascii="Calibri" w:hAnsi="Calibri"/>
          <w:b/>
          <w:color w:val="203A43"/>
          <w:sz w:val="21"/>
        </w:rPr>
        <w:t xml:space="preserve">Estudiante: </w:t>
      </w:r>
      <w:r>
        <w:rPr>
          <w:rFonts w:ascii="Calibri" w:hAnsi="Calibri"/>
          <w:color w:val="202124"/>
          <w:sz w:val="21"/>
        </w:rPr>
        <w:t>Rony</w:t>
      </w:r>
    </w:p>
    <w:p>
      <w:pPr>
        <w:spacing w:after="60"/>
        <w:jc w:val="center"/>
      </w:pPr>
      <w:r>
        <w:rPr>
          <w:rFonts w:ascii="Calibri" w:hAnsi="Calibri"/>
          <w:b/>
          <w:color w:val="203A43"/>
          <w:sz w:val="21"/>
        </w:rPr>
        <w:t xml:space="preserve">Fecha: </w:t>
      </w:r>
      <w:r>
        <w:rPr>
          <w:rFonts w:ascii="Calibri" w:hAnsi="Calibri"/>
          <w:color w:val="202124"/>
          <w:sz w:val="21"/>
        </w:rPr>
        <w:t>18 de agosto de 2026</w:t>
      </w:r>
    </w:p>
    <w:p>
      <w:pPr>
        <w:spacing w:after="60"/>
        <w:jc w:val="center"/>
      </w:pPr>
      <w:r>
        <w:rPr>
          <w:rFonts w:ascii="Calibri" w:hAnsi="Calibri"/>
          <w:b/>
          <w:color w:val="203A43"/>
          <w:sz w:val="21"/>
        </w:rPr>
        <w:t xml:space="preserve">Plataformas: </w:t>
      </w:r>
      <w:r>
        <w:rPr>
          <w:rFonts w:ascii="Calibri" w:hAnsi="Calibri"/>
          <w:color w:val="202124"/>
          <w:sz w:val="21"/>
        </w:rPr>
        <w:t>Android e iOS</w:t>
      </w:r>
    </w:p>
    <w:p>
      <w:pPr>
        <w:spacing w:after="60"/>
        <w:jc w:val="center"/>
      </w:pPr>
      <w:r>
        <w:rPr>
          <w:rFonts w:ascii="Calibri" w:hAnsi="Calibri"/>
          <w:b/>
          <w:color w:val="203A43"/>
          <w:sz w:val="21"/>
        </w:rPr>
        <w:t xml:space="preserve">Tecnología: </w:t>
      </w:r>
      <w:r>
        <w:rPr>
          <w:rFonts w:ascii="Calibri" w:hAnsi="Calibri"/>
          <w:color w:val="202124"/>
          <w:sz w:val="21"/>
        </w:rPr>
        <w:t>Kotlin Multiplatform y Compose Multiplatform</w:t>
      </w:r>
    </w:p>
    <w:p>
      <w:r>
        <w:br w:type="page"/>
      </w:r>
    </w:p>
    <w:p>
      <w:pPr>
        <w:pStyle w:val="Heading1"/>
        <w:keepNext/>
      </w:pPr>
      <w:r>
        <w:t>1. Objetivo de la sesión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Desarrollar el modelo de dominio de PharmaMobil y comprobar mediante pruebas unitarias las reglas principales del negocio: registro del cliente, disponibilidad del producto, cálculo del subtotal, control de stock y total del pedido.</w:t>
      </w:r>
    </w:p>
    <w:p>
      <w:pPr>
        <w:pStyle w:val="Heading1"/>
        <w:keepNext/>
      </w:pPr>
      <w:r>
        <w:t>2. Trabajo realizado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202124"/>
          <w:sz w:val="22"/>
        </w:rPr>
        <w:t>Organización del código compartido en paquetes data, demo y domain.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202124"/>
          <w:sz w:val="22"/>
        </w:rPr>
        <w:t>Creación de los modelos Cliente, Producto, DetallePedido, Pedido y EstadoPedido.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202124"/>
          <w:sz w:val="22"/>
        </w:rPr>
        <w:t>Implementación de validaciones para identificadores, DNI, precio, cantidad y stock.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202124"/>
          <w:sz w:val="22"/>
        </w:rPr>
        <w:t>Creación de casos de uso para subtotal y disponibilidad de inventario.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202124"/>
          <w:sz w:val="22"/>
        </w:rPr>
        <w:t>Creación de pruebas comunes con kotlin.test para Android e iOS.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59901"/>
            <wp:docPr id="1" name="Picture 1" title="Figura 1. Estructura final del código compartido y sus pruebas." descr="Árbol de carpetas final de PharmaMobil con modelos, repositorio, servicios, casos de uso y prueb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5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1. Estructura final del código compartido y sus pruebas.</w:t>
      </w:r>
    </w:p>
    <w:p>
      <w:r>
        <w:br w:type="page"/>
      </w:r>
    </w:p>
    <w:p>
      <w:pPr>
        <w:pStyle w:val="Heading1"/>
        <w:keepNext/>
      </w:pPr>
      <w:r>
        <w:t>3. Paquetes y modelo de dominio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La implementación mantiene responsabilidades separadas y evita mezclar la lógica de negocio con la interfaz de usuario.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200"/>
        <w:gridCol w:w="4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203A43"/>
                <w:sz w:val="20"/>
              </w:rPr>
              <w:t>Componente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203A43"/>
                <w:sz w:val="20"/>
              </w:rPr>
              <w:t>Responsabilidad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203A43"/>
                <w:sz w:val="20"/>
              </w:rPr>
              <w:t>Regla principal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Cliente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Representa al comprador.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ID positivo, nombre obligatorio y DNI de 8 dígitos.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Producto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Representa un medicamento.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Precio positivo y stock no negativo.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DetallePedido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Relaciona producto y cantidad.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Cantidad positiva y menor o igual al stock.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Pedido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Agrupa cliente y detalles.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Debe contener por lo menos un producto.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EstadoPedido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Controla el ciclo del pedido.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9"/>
              </w:rPr>
              <w:t>Una cancelación exige un motivo.</w:t>
            </w:r>
          </w:p>
        </w:tc>
      </w:tr>
    </w:tbl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27443"/>
            <wp:docPr id="2" name="Picture 2" title="Figura 2. Creación del paquete demo y función probarCliente()." descr="Captura de Android Studio con la estructura de commonMain y el archivo DemoCliente abier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73b46b-00de-4aa5-bcbf-8f8c0d20fdb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27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2. Creación del paquete demo y función probarCliente().</w:t>
      </w:r>
    </w:p>
    <w:p>
      <w:r>
        <w:br w:type="page"/>
      </w:r>
    </w:p>
    <w:p>
      <w:pPr>
        <w:pStyle w:val="Heading1"/>
        <w:keepNext/>
      </w:pPr>
      <w:r>
        <w:t>4. Pruebas del subtotal y del stock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La prueba solicitada utiliza un producto de precio S/ 12.50 y una cantidad de 3 unidades. El resultado esperado del subtotal es S/ 37.50. Además, se comprueba que un producto con stock igual a cero no pueda agregarse al pedido.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5493537"/>
            <wp:docPr id="3" name="Picture 3" title="Figura 3. Pruebas de cálculo del subtotal y rechazo por falta de stock." descr="Código de DetallePedidoTest con casos para subtotal, stock cero y cantidad superior al inventar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ueba_subtotal_st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49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3. Pruebas de cálculo del subtotal y rechazo por falta de stock.</w:t>
      </w:r>
    </w:p>
    <w:p>
      <w:r>
        <w:br w:type="page"/>
      </w:r>
    </w:p>
    <w:p>
      <w:pPr>
        <w:pStyle w:val="Heading1"/>
        <w:keepNext/>
      </w:pPr>
      <w:r>
        <w:t>5. Pruebas de disponibilidad del producto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La función hayStock(cantidad) solo devuelve verdadero cuando la cantidad solicitada es positiva y el inventario disponible es suficiente.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4506443"/>
            <wp:docPr id="4" name="Picture 4" title="Figura 4. Pruebas para stock cero, stock suficiente y cantidad inválida." descr="Código de ProductoTest con tres escenarios de disponibilida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ueba_produc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50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4. Pruebas para stock cero, stock suficiente y cantidad inválida.</w:t>
      </w:r>
    </w:p>
    <w:p>
      <w:r>
        <w:br w:type="page"/>
      </w:r>
    </w:p>
    <w:p>
      <w:pPr>
        <w:pStyle w:val="Heading1"/>
        <w:keepNext/>
      </w:pPr>
      <w:r>
        <w:t>6. Organización de commonTest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Las pruebas están separadas del código de producción. commonMain contiene la implementación compartida y commonTest contiene los casos que pueden ejecutarse con los corredores de prueba de cada plataforma.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703320" cy="5538879"/>
            <wp:docPr id="5" name="Picture 5" title="Figura 5. Ubicación del source set commonTest en el proyecto." descr="Captura de Android Studio mostrando commonMain, commonTest y SharedCommon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5e7229-f286-43f4-b4c5-14cd501562b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5538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5. Ubicación del source set commonTest en el proyecto.</w:t>
      </w:r>
    </w:p>
    <w:p>
      <w:pPr>
        <w:pStyle w:val="Heading1"/>
        <w:keepNext/>
      </w:pPr>
      <w:r>
        <w:t>7. Matriz de verificación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2900"/>
        <w:gridCol w:w="2860"/>
        <w:gridCol w:w="2200"/>
      </w:tblGrid>
      <w:tr>
        <w:trPr>
          <w:tblHeader w:val="true"/>
        </w:trPr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203A43"/>
                <w:sz w:val="19"/>
              </w:rPr>
              <w:t>Área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203A43"/>
                <w:sz w:val="19"/>
              </w:rPr>
              <w:t>Escenario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203A43"/>
                <w:sz w:val="19"/>
              </w:rPr>
              <w:t>Resultado esperado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203A43"/>
                <w:sz w:val="19"/>
              </w:rPr>
              <w:t>Estado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Cliente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Teléfono registrado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987654321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87D3C"/>
                <w:sz w:val="18"/>
              </w:rPr>
              <w:t>Aprobada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Cliente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Teléfono nulo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Sin teléfono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87D3C"/>
                <w:sz w:val="18"/>
              </w:rPr>
              <w:t>Aprobada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Producto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Stock = 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No disponible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87D3C"/>
                <w:sz w:val="18"/>
              </w:rPr>
              <w:t>Aprobada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Producto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Stock suficiente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Disponible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87D3C"/>
                <w:sz w:val="18"/>
              </w:rPr>
              <w:t>Aprobada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Detalle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12.50 × 3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37.50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87D3C"/>
                <w:sz w:val="18"/>
              </w:rPr>
              <w:t>Aprobada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Detalle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Cantidad &gt; stock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Excepción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87D3C"/>
                <w:sz w:val="18"/>
              </w:rPr>
              <w:t>Aprobada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Pedido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Suma de subtotales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02124"/>
                <w:sz w:val="18"/>
              </w:rPr>
              <w:t>49.00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287D3C"/>
                <w:sz w:val="18"/>
              </w:rPr>
              <w:t>Aprobada</w:t>
            </w:r>
          </w:p>
        </w:tc>
      </w:tr>
    </w:tbl>
    <w:p>
      <w:pPr>
        <w:pStyle w:val="Heading1"/>
        <w:keepNext/>
      </w:pPr>
      <w:r>
        <w:t>8. Ejecución de las pruebas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En Android Studio, las pruebas se ejecutaron como Android Host Test. Este corredor permite verificar la lógica compartida en Windows sin depender del emulador ni de macOS.</w:t>
      </w:r>
    </w:p>
    <w:p>
      <w:pPr>
        <w:spacing w:after="80"/>
        <w:ind w:left="360"/>
      </w:pPr>
      <w:r>
        <w:rPr>
          <w:rFonts w:ascii="Courier New" w:hAnsi="Courier New"/>
          <w:color w:val="203A43"/>
          <w:sz w:val="19"/>
        </w:rPr>
        <w:t>Windows PowerShell:  .\gradlew.bat :shared:testAndroidHostTest</w:t>
      </w:r>
    </w:p>
    <w:p>
      <w:pPr>
        <w:spacing w:after="80"/>
        <w:ind w:left="360"/>
      </w:pPr>
      <w:r>
        <w:rPr>
          <w:rFonts w:ascii="Courier New" w:hAnsi="Courier New"/>
          <w:color w:val="203A43"/>
          <w:sz w:val="19"/>
        </w:rPr>
        <w:t>Linux/macOS:  ./gradlew :shared:testAndroidHostTest</w:t>
      </w:r>
    </w:p>
    <w:p>
      <w:r>
        <w:br w:type="page"/>
      </w:r>
    </w:p>
    <w:p>
      <w:pPr>
        <w:pStyle w:val="Heading2"/>
        <w:keepNext/>
      </w:pPr>
      <w:r>
        <w:t>8.1. Resultado de DetallePedidoTest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La clase DetallePedidoTest ejecutó tres escenarios: subtotal de un producto, rechazo de stock cero y rechazo de una cantidad superior al inventario. Android Studio confirmó que las tres pruebas fueron aprobadas.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45362"/>
            <wp:docPr id="6" name="Picture 6" title="Figura 6. Ejecución de DetallePedidoTest con 3 pruebas aprobadas." descr="Android Studio muestra el resultado 3 tests passed para las pruebas de subtotal y sto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73e29-3b80-4b05-b69c-0bd7e1caef5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45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6. Ejecución de DetallePedidoTest con 3 pruebas aprobadas.</w:t>
      </w:r>
    </w:p>
    <w:p>
      <w:r>
        <w:br w:type="page"/>
      </w:r>
    </w:p>
    <w:p>
      <w:pPr>
        <w:pStyle w:val="Heading2"/>
        <w:keepNext/>
      </w:pPr>
      <w:r>
        <w:t>8.2. Validación completa del módulo shared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Se ejecutó el comando de pruebas del módulo compartido. Gradle finalizó correctamente con el mensaje BUILD SUCCESSFUL, después de procesar 32 tareas.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4799"/>
            <wp:docPr id="7" name="Picture 7" title="Figura 7. Ejecución completa finalizada con BUILD SUCCESSFUL." descr="Terminal de Android Studio con el comando testAndroidHostTest y el resultado BUILD SUCCESSFU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96622-986d-4a87-ab96-a52181007b4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7. Ejecución completa finalizada con BUILD SUCCESSFUL.</w:t>
      </w:r>
    </w:p>
    <w:p>
      <w:r>
        <w:br w:type="page"/>
      </w:r>
    </w:p>
    <w:p>
      <w:pPr>
        <w:pStyle w:val="Heading1"/>
        <w:keepNext/>
      </w:pPr>
      <w:r>
        <w:t>9. Control de versiones y publicación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El proyecto se versionó con Git y se publicó en un repositorio público de GitHub. El historial permite al docente revisar el código, la documentación y las pruebas incluidas en la entrega.</w:t>
      </w:r>
    </w:p>
    <w:p>
      <w:pPr>
        <w:pStyle w:val="Heading2"/>
        <w:keepNext/>
      </w:pPr>
      <w:r>
        <w:t>9.1. Registro de la entrega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Se creó el commit inicial con el mensaje "Entrega del proyecto PharmaMobil". El commit incorporó el código de Android, el módulo shared, la aplicación iOS, las pruebas y la carpeta docs.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4799"/>
            <wp:docPr id="8" name="Picture 8" title="Figura 8. Commit de la entrega completa del proyecto." descr="Terminal de Android Studio mostrando el commit de PharmaMobil y los archivos inclui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1f287d-864d-417c-a2c3-dc2c032f766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8. Commit de la entrega completa del proyecto.</w:t>
      </w:r>
    </w:p>
    <w:p>
      <w:r>
        <w:br w:type="page"/>
      </w:r>
    </w:p>
    <w:p>
      <w:pPr>
        <w:pStyle w:val="Heading2"/>
        <w:keepNext/>
      </w:pPr>
      <w:r>
        <w:t>9.2. Envío a GitHub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El comando git push publicó la rama main y configuró el seguimiento de origin/main. La salida confirma la transferencia de los objetos y la creación de la rama remota.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4799"/>
            <wp:docPr id="9" name="Picture 9" title="Figura 9. Publicación correcta de la rama main en GitHub." descr="Terminal mostrando el push exitoso y la rama main configurada para seguir origin/mai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db6489-9243-43b6-aefe-e87afaa6815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9. Publicación correcta de la rama main en GitHub.</w:t>
      </w:r>
    </w:p>
    <w:p>
      <w:r>
        <w:br w:type="page"/>
      </w:r>
    </w:p>
    <w:p>
      <w:pPr>
        <w:pStyle w:val="Heading2"/>
        <w:keepNext/>
      </w:pPr>
      <w:r>
        <w:t>9.3. Repositorio público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El repositorio público contiene androidApp, shared, iosApp, docs, README.md y los archivos de configuración de Gradle. Esta vista constituye la evidencia final de publicación.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4799"/>
            <wp:docPr id="10" name="Picture 10" title="Figura 10. Repositorio público PharmaMobil en GitHub." descr="Página de GitHub del repositorio Alonso-Tripul/PharmaMobil con las carpetas y el README visib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a56d65-d679-404b-8429-aef2a619b38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667085"/>
          <w:sz w:val="18"/>
        </w:rPr>
        <w:t>Figura 10. Repositorio público PharmaMobil en GitHub.</w:t>
      </w:r>
    </w:p>
    <w:p>
      <w:pPr>
        <w:spacing w:before="0" w:after="120" w:line="300" w:lineRule="auto"/>
      </w:pPr>
      <w:r>
        <w:rPr>
          <w:rFonts w:ascii="Calibri" w:hAnsi="Calibri"/>
          <w:b/>
          <w:color w:val="202124"/>
          <w:sz w:val="22"/>
        </w:rPr>
        <w:t>URL de entrega:</w:t>
      </w:r>
      <w:r>
        <w:rPr>
          <w:rFonts w:ascii="Calibri" w:hAnsi="Calibri"/>
          <w:color w:val="202124"/>
          <w:sz w:val="22"/>
        </w:rPr>
        <w:t xml:space="preserve"> https://github.com/Alonso-Tripul/PharmaMobil</w:t>
      </w:r>
    </w:p>
    <w:p>
      <w:r>
        <w:br w:type="page"/>
      </w:r>
    </w:p>
    <w:p>
      <w:pPr>
        <w:pStyle w:val="Heading1"/>
        <w:keepNext/>
      </w:pPr>
      <w:r>
        <w:t>10. Conclusiones</w:t>
      </w:r>
    </w:p>
    <w:p>
      <w:pPr>
        <w:spacing w:before="0" w:after="120" w:line="300" w:lineRule="auto"/>
      </w:pPr>
      <w:r>
        <w:rPr>
          <w:rFonts w:ascii="Calibri" w:hAnsi="Calibri"/>
          <w:color w:val="202124"/>
          <w:sz w:val="22"/>
        </w:rPr>
        <w:t>PharmaMobil cuenta con un modelo propio y consistente para una farmacia móvil. Las reglas de subtotal y stock están encapsuladas en el dominio y cubiertas por pruebas específicas. La ejecución final confirmó tres pruebas aprobadas en DetallePedidoTest y una compilación completa con BUILD SUCCESSFUL.</w:t>
      </w:r>
    </w:p>
    <w:p>
      <w:pPr>
        <w:spacing w:before="0" w:after="120" w:line="300" w:lineRule="auto"/>
      </w:pPr>
      <w:r>
        <w:rPr>
          <w:rFonts w:ascii="Calibri" w:hAnsi="Calibri"/>
          <w:b/>
          <w:color w:val="202124"/>
          <w:sz w:val="22"/>
        </w:rPr>
        <w:t>Entrega:</w:t>
      </w:r>
      <w:r>
        <w:rPr>
          <w:rFonts w:ascii="Calibri" w:hAnsi="Calibri"/>
          <w:color w:val="202124"/>
          <w:sz w:val="22"/>
        </w:rPr>
        <w:t xml:space="preserve"> el proyecto, la documentación y las pruebas se encuentran publicados en un repositorio público de GitHub. El README explica la estructura, las funcionalidades y los comandos necesarios para reproducir la verificación.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67085"/>
        <w:sz w:val="18"/>
      </w:rPr>
      <w:t>PharmaMobil · Informe de clase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proyecto PharmaMobil</dc:title>
  <dc:subject>Modelo de dominio y pruebas unitarias</dc:subject>
  <dc:creator>Rony</dc:creator>
  <cp:keywords>Kotlin Multiplatform, PharmaMobil, pruebas unitarias, stock, subtotal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