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287A8A"/>
          <w:sz w:val="28"/>
        </w:rPr>
        <w:t>INFORME MAESTRO</w:t>
      </w:r>
    </w:p>
    <w:p>
      <w:pPr>
        <w:pStyle w:val="Title"/>
        <w:jc w:val="center"/>
      </w:pPr>
      <w:r>
        <w:t>PuniShell, Lime Rust</w:t>
        <w:br/>
        <w:t>y nueva plataforma segura</w:t>
      </w:r>
    </w:p>
    <w:p>
      <w:pPr>
        <w:jc w:val="center"/>
      </w:pPr>
      <w:r>
        <w:rPr>
          <w:color w:val="697482"/>
          <w:sz w:val="26"/>
        </w:rPr>
        <w:t>Inventario · funcionamiento · debilidades · firmas · activación · migración completa a Rust</w:t>
      </w:r>
    </w:p>
    <w:p>
      <w:pPr>
        <w:spacing w:before="600"/>
        <w:jc w:val="center"/>
      </w:pPr>
      <w:r>
        <w:rPr>
          <w:color w:val="262E3A"/>
          <w:sz w:val="24"/>
        </w:rPr>
        <w:t>07 de octubre de 2026</w:t>
      </w:r>
    </w:p>
    <w:p>
      <w:pPr>
        <w:spacing w:before="600"/>
        <w:jc w:val="center"/>
      </w:pPr>
      <w:r>
        <w:rPr>
          <w:color w:val="697482"/>
          <w:sz w:val="21"/>
        </w:rPr>
        <w:t>Alcance: análisis estático y diseño de referencia para una sustitución segura del agente y backend actuales.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PuniShell es un prototipo funcional de administración remota para equipos Windows: recolecta inventario, envía telemetría, solicita acciones, recibe aprobaciones y devuelve resultados. Su implementación actual combina Python/PyInstaller, PHP, MySQL y scripts PowerShell. Esa combinación permite avanzar rápido, pero deja mezclados el transporte, la identidad, la autorización y la ejecución de comandos.</w:t>
      </w:r>
    </w:p>
    <w:p>
      <w:r>
        <w:t>La migración recomendada a Rust debe ser una sustitución por capas, no una traducción literal. El objetivo es conservar las capacidades legítimas de gestión, eliminar la ejecución arbitraria y la persistencia evasiva, y añadir una cadena de confianza verificable: Authenticode para software Windows, Ed25519 para comandos, respuestas, licencias y manifiestos, una clave independiente para firmware, TLS para confidencialidad y RBAC/MFA para operadores.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Estado encontrado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Dirección recomendada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Agente</w:t>
            </w:r>
          </w:p>
        </w:tc>
        <w:tc>
          <w:tcPr>
            <w:tcW w:type="dxa" w:w="374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Python + PyInstaller; polling; shell=True</w:t>
            </w:r>
          </w:p>
        </w:tc>
        <w:tc>
          <w:tcPr>
            <w:tcW w:type="dxa" w:w="446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Servicio Rust visible; acciones tipadas; identidad propia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Servidor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PHP + sesiones + SQL heterogéneo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API Rust; contratos versionados; transacciones y leases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Confianza</w:t>
            </w:r>
          </w:p>
        </w:tc>
        <w:tc>
          <w:tcPr>
            <w:tcW w:type="dxa" w:w="374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Sin firma de comandos ni agente</w:t>
            </w:r>
          </w:p>
        </w:tc>
        <w:tc>
          <w:tcPr>
            <w:tcW w:type="dxa" w:w="446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Ed25519 por mensaje y Authenticode por artefacto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Activación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No separada de forma fuerte de autorización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Licencia firmada, código de un uso y RBAC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Distribución</w:t>
            </w:r>
          </w:p>
        </w:tc>
        <w:tc>
          <w:tcPr>
            <w:tcW w:type="dxa" w:w="374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Build y firma no reproducibles demostrados</w:t>
            </w:r>
          </w:p>
        </w:tc>
        <w:tc>
          <w:tcPr>
            <w:tcW w:type="dxa" w:w="446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CI reproducible, SBOM, hash, firma y provenance</w:t>
            </w:r>
          </w:p>
        </w:tc>
      </w:tr>
    </w:tbl>
    <w:p>
      <w:pPr>
        <w:spacing w:after="40"/>
      </w:pPr>
    </w:p>
    <w:p>
      <w:pPr>
        <w:pStyle w:val="Heading1"/>
      </w:pPr>
      <w:r>
        <w:t>1. Objetivo, alcance y método</w:t>
      </w:r>
    </w:p>
    <w:p>
      <w:r>
        <w:t>Se revisaron dos ubicaciones: el proyecto PuniShell en /home/diogenes/Desktop/PuniShell_Proyect-main y el análisis Rust de Lime en /home/diogenes/lime_dump_safe/analysis/lock_rust. La revisión fue estática y de solo lectura: se inspeccionaron agente, PHP, SQL, PowerShell, configuración PyInstaller, Cargo, documentación, hashes y cabeceras binarias. No se ejecutaron agentes, instaladores, comandos remotos ni actualizaciones de hardware.</w:t>
      </w:r>
    </w:p>
    <w:p>
      <w:pPr>
        <w:pStyle w:val="ListBullet"/>
        <w:spacing w:after="40"/>
      </w:pPr>
      <w:r>
        <w:t>PuniShell se usa como fuente del inventario funcional, los flujos actuales y los riesgos de seguridad.</w:t>
      </w:r>
    </w:p>
    <w:p>
      <w:pPr>
        <w:pStyle w:val="ListBullet"/>
        <w:spacing w:after="40"/>
      </w:pPr>
      <w:r>
        <w:t>Lime Rust se usa como referencia de organización Cargo, IPC, BLE, GPS, modem y OTA; es un proyecto distinto y no debe copiarse sin validar derechos y seguridad.</w:t>
      </w:r>
    </w:p>
    <w:p>
      <w:pPr>
        <w:pStyle w:val="ListBullet"/>
        <w:spacing w:after="40"/>
      </w:pPr>
      <w:r>
        <w:t>Las recomendaciones de activación y firma son diseño de nueva versión, no afirmaciones de que ya estén implementadas.</w:t>
      </w:r>
    </w:p>
    <w:p>
      <w:pPr>
        <w:pStyle w:val="Heading1"/>
      </w:pPr>
      <w:r>
        <w:t>2. Cómo se encontró el código y mapa de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Componentes observados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Uso en el informe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PuniShell</w:t>
            </w:r>
          </w:p>
        </w:tc>
        <w:tc>
          <w:tcPr>
            <w:tcW w:type="dxa" w:w="446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agente_punishell.py, backend_php, BBDD_Pruebas, despliegue_ps1, spec, build/dist</w:t>
            </w:r>
          </w:p>
        </w:tc>
        <w:tc>
          <w:tcPr>
            <w:tcW w:type="dxa" w:w="388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Inventario, flujo operativo, fallas y migración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Lime Rust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Cargo.toml, crates/lime-lockd, lime-bled, lime-gpsd, lime-ipc, lime-modemd, lime-otad, uart_spy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Patrones Rust y evidencia de hardware/firmware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Binario original</w:t>
            </w:r>
          </w:p>
        </w:tc>
        <w:tc>
          <w:tcPr>
            <w:tcW w:type="dxa" w:w="446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limebike-lock.orig.20260716032907 y libfw.so.1.0.0</w:t>
            </w:r>
          </w:p>
        </w:tc>
        <w:tc>
          <w:tcPr>
            <w:tcW w:type="dxa" w:w="388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Tipo de archivo, Build ID y hashes</w:t>
            </w:r>
          </w:p>
        </w:tc>
      </w:tr>
    </w:tbl>
    <w:p>
      <w:pPr>
        <w:spacing w:after="40"/>
      </w:pPr>
    </w:p>
    <w:p>
      <w:r>
        <w:t>La topología actual se puede resumir así: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267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ac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97482"/>
          <w:sz w:val="18"/>
        </w:rPr>
        <w:t>Figura 1. Flujo funcional actual y puntos de riesgo.</w:t>
      </w:r>
    </w:p>
    <w:p>
      <w:pPr>
        <w:pStyle w:val="Heading1"/>
      </w:pPr>
      <w:r>
        <w:t>3. Inventario numerado del funcionamiento actual</w:t>
      </w:r>
    </w:p>
    <w:p>
      <w:pPr>
        <w:pStyle w:val="Heading2"/>
      </w:pPr>
      <w:r>
        <w:t>3.1 Agente y telemetría</w:t>
      </w:r>
    </w:p>
    <w:p>
      <w:pPr>
        <w:pStyle w:val="ListNumber"/>
        <w:spacing w:after="40"/>
      </w:pPr>
      <w:r>
        <w:t>Obtiene hostname, IP local/pública, MAC, serial BIOS, SSID, BSSID y usuario conectado.</w:t>
      </w:r>
    </w:p>
    <w:p>
      <w:pPr>
        <w:pStyle w:val="ListNumber"/>
        <w:spacing w:after="40"/>
      </w:pPr>
      <w:r>
        <w:t>Consulta sistema operativo, uptime, RAM, disco, BitLocker, Microsoft Defender y geolocalización.</w:t>
      </w:r>
    </w:p>
    <w:p>
      <w:pPr>
        <w:pStyle w:val="ListNumber"/>
        <w:spacing w:after="40"/>
      </w:pPr>
      <w:r>
        <w:t>Puede capturar webcam, convertirla a JPEG/Base64 y enviarla al backend.</w:t>
      </w:r>
    </w:p>
    <w:p>
      <w:pPr>
        <w:pStyle w:val="ListNumber"/>
        <w:spacing w:after="40"/>
      </w:pPr>
      <w:r>
        <w:t>Realiza check-in por poll.php y recibe comandos aprobados.</w:t>
      </w:r>
    </w:p>
    <w:p>
      <w:pPr>
        <w:pStyle w:val="ListNumber"/>
        <w:spacing w:after="40"/>
      </w:pPr>
      <w:r>
        <w:t>Reduce el polling de 10 a 1 segundo al abrir una terminal.</w:t>
      </w:r>
    </w:p>
    <w:p>
      <w:pPr>
        <w:pStyle w:val="ListNumber"/>
        <w:spacing w:after="40"/>
      </w:pPr>
      <w:r>
        <w:t>Ejecuta cadenas mediante subprocess y shell=True, transmite salida línea a línea y marca comandos ejecutados.</w:t>
      </w:r>
    </w:p>
    <w:p>
      <w:pPr>
        <w:pStyle w:val="ListNumber"/>
        <w:spacing w:after="40"/>
      </w:pPr>
      <w:r>
        <w:t>Repite el ciclo de inventario, polling y resultados indefinidamente.</w:t>
      </w:r>
    </w:p>
    <w:p>
      <w:pPr>
        <w:pStyle w:val="Heading2"/>
      </w:pPr>
      <w:r>
        <w:t>3.2 Backend, panel y datos</w:t>
      </w:r>
    </w:p>
    <w:p>
      <w:pPr>
        <w:pStyle w:val="ListNumber"/>
        <w:spacing w:after="40"/>
      </w:pPr>
      <w:r>
        <w:t>Autentica usuarios con sesiones PHP y password_verify; contempla niveles 1, 2 y 3.</w:t>
      </w:r>
    </w:p>
    <w:p>
      <w:pPr>
        <w:pStyle w:val="ListNumber"/>
        <w:spacing w:after="40"/>
      </w:pPr>
      <w:r>
        <w:t>Muestra inventario, red, usuario, RAM, sistema, ubicación y última imagen de webcam.</w:t>
      </w:r>
    </w:p>
    <w:p>
      <w:pPr>
        <w:pStyle w:val="ListNumber"/>
        <w:spacing w:after="40"/>
      </w:pPr>
      <w:r>
        <w:t>Permite solicitar, aprobar o rechazar acciones; mantiene estados pending, approved, executed, failed y rejected.</w:t>
      </w:r>
    </w:p>
    <w:p>
      <w:pPr>
        <w:pStyle w:val="ListNumber"/>
        <w:spacing w:after="40"/>
      </w:pPr>
      <w:r>
        <w:t>Implementa TOTP de seis dígitos; existe un bypass de desarrollo 000000 que debe retirarse.</w:t>
      </w:r>
    </w:p>
    <w:p>
      <w:pPr>
        <w:pStyle w:val="ListNumber"/>
        <w:spacing w:after="40"/>
      </w:pPr>
      <w:r>
        <w:t>Entrega comandos aprobados, recibe resultados, guarda imágenes y contempla posibles llaves BitLocker.</w:t>
      </w:r>
    </w:p>
    <w:p>
      <w:pPr>
        <w:pStyle w:val="Heading2"/>
      </w:pPr>
      <w:r>
        <w:t>3.3 Instalación y persistencia</w:t>
      </w:r>
    </w:p>
    <w:p>
      <w:pPr>
        <w:pStyle w:val="ListNumber"/>
        <w:spacing w:after="40"/>
      </w:pPr>
      <w:r>
        <w:t>Registra un servicio Windows con recuperación automática.</w:t>
      </w:r>
    </w:p>
    <w:p>
      <w:pPr>
        <w:pStyle w:val="ListNumber"/>
        <w:spacing w:after="40"/>
      </w:pPr>
      <w:r>
        <w:t>Crea o utiliza SetupComplete, Run y un relanzador WMI.</w:t>
      </w:r>
    </w:p>
    <w:p>
      <w:pPr>
        <w:pStyle w:val="ListNumber"/>
        <w:spacing w:after="40"/>
      </w:pPr>
      <w:r>
        <w:t>Modifica ACL, oculta carpetas, agrega exclusiones de Defender y activa ubicación.</w:t>
      </w:r>
    </w:p>
    <w:p>
      <w:pPr>
        <w:pStyle w:val="ListNumber"/>
        <w:spacing w:after="40"/>
      </w:pPr>
      <w:r>
        <w:t>Incluye un desinstalador, pero el conjunto de mecanismos es invasivo y no debe migrarse a la nueva versión.</w:t>
      </w:r>
    </w:p>
    <w:p>
      <w:pPr>
        <w:pStyle w:val="Heading1"/>
      </w:pPr>
      <w:r>
        <w:t>4. Inventario de Lime Rust y evidencia original</w:t>
      </w:r>
    </w:p>
    <w:p>
      <w:r>
        <w:t>El workspace de Lime Rust está organizado con Cargo y Rust 2021. Sus crates separan lock, BLE, GPS, IPC, modem, OTA y herramientas UART. La documentación muestra HMAC para un flujo BLE moderno y firma Ed25519 de nonce en un flujo BLE legacy. Esa firma autentica mensajes o sesiones: no equivale a una firma del ejecutable ELF ni prueba una cadena de suministro.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Artefacto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Conclusión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limebike-lock.orig.20260716032907</w:t>
            </w:r>
          </w:p>
        </w:tc>
        <w:tc>
          <w:tcPr>
            <w:tcW w:type="dxa" w:w="496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ELF 32-bit ARM EABI5; Linux; no stripped; Build ID ab5c731b89124fb9826f98b2d234b6f835d5a477</w:t>
            </w:r>
          </w:p>
        </w:tc>
        <w:tc>
          <w:tcPr>
            <w:tcW w:type="dxa" w:w="244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No es PE de Windows; no tiene Authenticode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Binario original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SHA-256 cb132ade3f21a9ecf53f6383c153fb65f0d0751b8e0c20001de8a3ca605f33f6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Hash útil para identificación e integridad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libfw.so.1.0.0</w:t>
            </w:r>
          </w:p>
        </w:tc>
        <w:tc>
          <w:tcPr>
            <w:tcW w:type="dxa" w:w="496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Build ID 4b9be131ca87ed62558056071a5ca47f91e701d2; SHA-256 1af41d86dd53536c030b614e0f8b7301af3cc2e14b6823c7fe8340771d779337</w:t>
            </w:r>
          </w:p>
        </w:tc>
        <w:tc>
          <w:tcPr>
            <w:tcW w:type="dxa" w:w="244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Biblioteca vendor separada del ejecutable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Firmware BLE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SHA-256 8832e2bd7137eb723a2a2b1307b54a86db17db25f369f6ed2cf33d43310bbc6a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Debe evolucionar a manifiesto y firma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El OTA documentado usa MD5 de manifiesto y comparación de bytes; MD5 no debe ser el control criptográfico principal.</w:t>
      </w:r>
    </w:p>
    <w:p>
      <w:pPr>
        <w:pStyle w:val="ListBullet"/>
        <w:spacing w:after="40"/>
      </w:pPr>
      <w:r>
        <w:t>El ejecutable PuniShell es un PE generado por PyInstaller, pero el repositorio revisado no demuestra una firma Authenticode válida.</w:t>
      </w:r>
    </w:p>
    <w:p>
      <w:pPr>
        <w:pStyle w:val="Heading1"/>
      </w:pPr>
      <w:r>
        <w:t>5. Debilidades y fallas priorizadas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541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41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Hallazgo</w:t>
            </w:r>
          </w:p>
        </w:tc>
        <w:tc>
          <w:tcPr>
            <w:tcW w:type="dxa" w:w="2541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2541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Corrección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Crítica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shell=True y comandos libres</w:t>
            </w:r>
          </w:p>
        </w:tc>
        <w:tc>
          <w:tcPr>
            <w:tcW w:type="dxa" w:w="252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Ejecución arbitraria y escalamiento</w:t>
            </w:r>
          </w:p>
        </w:tc>
        <w:tc>
          <w:tcPr>
            <w:tcW w:type="dxa" w:w="345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Acciones tipadas, allowlist, timeout, límites de proceso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Crítica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Sin firma Ed25519 de comandos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Inyección o alteración de órdenes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Sobre canónico firmado, nonce, expiración y key_id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Crítica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Sin identidad criptográfica del agente</w:t>
            </w:r>
          </w:p>
        </w:tc>
        <w:tc>
          <w:tcPr>
            <w:tcW w:type="dxa" w:w="252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Suplantación de dispositivo y resultados</w:t>
            </w:r>
          </w:p>
        </w:tc>
        <w:tc>
          <w:tcPr>
            <w:tcW w:type="dxa" w:w="345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Clave por agente, enrolamiento y firma de respuestas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Crítica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HTTP / protección de transporte insuficiente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Interceptación y modificación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TLS moderno, validación de certificado y mTLS si aplica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Crítica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TOTP 000000 y secretos en dump</w:t>
            </w:r>
          </w:p>
        </w:tc>
        <w:tc>
          <w:tcPr>
            <w:tcW w:type="dxa" w:w="252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Acceso no autorizado</w:t>
            </w:r>
          </w:p>
        </w:tc>
        <w:tc>
          <w:tcPr>
            <w:tcW w:type="dxa" w:w="345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Eliminar bypass, rotar secretos, MFA resistente a phishing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Alta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Persistencia oculta y exclusiones Defender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Desconfianza y superficie de abuso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Servicio visible, firmado, desinstalable y auditable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Alta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Sin lease transaccional ni idempotencia</w:t>
            </w:r>
          </w:p>
        </w:tc>
        <w:tc>
          <w:tcPr>
            <w:tcW w:type="dxa" w:w="252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Duplicación de acciones</w:t>
            </w:r>
          </w:p>
        </w:tc>
        <w:tc>
          <w:tcPr>
            <w:tcW w:type="dxa" w:w="345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Claim atómico, command_id único y estados coherentes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Alta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Deriva de esquema, mysqli/PDO y errores SQL expuestos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Fallos operativos y fuga de información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Migraciones, un solo acceso a datos y errores internos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Alta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Cámara, ubicación y BitLocker sin política de mínimo privilegio</w:t>
            </w:r>
          </w:p>
        </w:tc>
        <w:tc>
          <w:tcPr>
            <w:tcW w:type="dxa" w:w="252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Riesgo de privacidad</w:t>
            </w:r>
          </w:p>
        </w:tc>
        <w:tc>
          <w:tcPr>
            <w:tcW w:type="dxa" w:w="345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Desactivado por defecto, consentimiento, retención y auditoría</w:t>
            </w:r>
          </w:p>
        </w:tc>
      </w:tr>
    </w:tbl>
    <w:p>
      <w:pPr>
        <w:spacing w:after="40"/>
      </w:pPr>
    </w:p>
    <w:p>
      <w:r>
        <w:t>La regla de diseño es clara: el nuevo sistema debe conservar administración legítima y trazable, no conservar técnicas de ocultamiento. La migración de persistencia evasiva, bypass de autenticación o shell arbitrario sería una regresión de seguridad.</w:t>
      </w:r>
    </w:p>
    <w:p>
      <w:pPr>
        <w:pStyle w:val="Heading1"/>
      </w:pPr>
      <w:r>
        <w:t>6. Nueva versión propuesta en Rust</w:t>
      </w:r>
    </w:p>
    <w:p>
      <w:r>
        <w:t>La estructura propuesta separa protocolo, dominio, agente, servidor, persistencia, licenciamiento, control de acceso, identidad, plataforma Windows, actualización y pruebas. Esto permite probar reglas de seguridad sin depender de Windows y aislar el código unsafe en un único crate.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2676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objetiv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97482"/>
          <w:sz w:val="18"/>
        </w:rPr>
        <w:t>Figura 2. Arquitectura objetivo y separación de responsabilidades.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Crate / capa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protocol</w:t>
            </w:r>
          </w:p>
        </w:tc>
        <w:tc>
          <w:tcPr>
            <w:tcW w:type="dxa" w:w="489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Mensajes versionados, serialización canónica, errores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Sin lógica de plataforma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domain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Agentes, comandos, licencias, estados y políticas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Puro y testeable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agent</w:t>
            </w:r>
          </w:p>
        </w:tc>
        <w:tc>
          <w:tcPr>
            <w:tcW w:type="dxa" w:w="489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Servicio, heartbeat, cola local y dispatcher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Nunca recibe shell libre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server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API, enrolamiento, comandos y resultados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Autorización antes de firmar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persistence</w:t>
            </w:r>
          </w:p>
        </w:tc>
        <w:tc>
          <w:tcPr>
            <w:tcW w:type="dxa" w:w="489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DB, migraciones, leases y auditoría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Transacciones e idempotencia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licensing / access-control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Planes, roles, features y revocación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Separados de identidad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agent-identity</w:t>
            </w:r>
          </w:p>
        </w:tc>
        <w:tc>
          <w:tcPr>
            <w:tcW w:type="dxa" w:w="489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Ed25519, enrolamiento y rotación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Privada solo local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windows-platform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SCM, DPAPI/CNG, inventario y consentimiento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unsafe aislado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update</w:t>
            </w:r>
          </w:p>
        </w:tc>
        <w:tc>
          <w:tcPr>
            <w:tcW w:type="dxa" w:w="489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Manifiestos, hashes, firma y rollback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Anti-rollback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test-support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Fixtures, vectores y pruebas de replay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Sin secretos reales</w:t>
            </w:r>
          </w:p>
        </w:tc>
      </w:tr>
    </w:tbl>
    <w:p>
      <w:pPr>
        <w:spacing w:after="40"/>
      </w:pPr>
    </w:p>
    <w:p>
      <w:pPr>
        <w:pStyle w:val="Heading1"/>
      </w:pPr>
      <w:r>
        <w:t>7. Firma y cadena de confianza</w:t>
      </w:r>
    </w:p>
    <w:p>
      <w:r>
        <w:t>La firma del servidor con Ed25519 sí es necesaria para confirmar que un comando procede de una autoridad válida, pero no reemplaza TLS: Ed25519 autentica integridad y origen del mensaje; TLS protege la confidencialidad y el canal. La clave privada nunca debe estar en el agente.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2676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dena_confianz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97482"/>
          <w:sz w:val="18"/>
        </w:rPr>
        <w:t>Figura 3. Claves separadas para software, operación, dispositivo y firmware.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Objeto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Mecanismo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Campos / controles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EXE, DLL, MSI/MSIX</w:t>
            </w:r>
          </w:p>
        </w:tc>
        <w:tc>
          <w:tcPr>
            <w:tcW w:type="dxa" w:w="208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Authenticode</w:t>
            </w:r>
          </w:p>
        </w:tc>
        <w:tc>
          <w:tcPr>
            <w:tcW w:type="dxa" w:w="576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Certificado de editor, timestamp, cadena verificable, CI/HSM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Comando servidor → agente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Ed25519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protocol_version, key_id, command_id, tenant_id, agent_id, action_type, parameters, issued_at, expires_at, nonce, signature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Heartbeat y resultado</w:t>
            </w:r>
          </w:p>
        </w:tc>
        <w:tc>
          <w:tcPr>
            <w:tcW w:type="dxa" w:w="208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Ed25519 del agente</w:t>
            </w:r>
          </w:p>
        </w:tc>
        <w:tc>
          <w:tcPr>
            <w:tcW w:type="dxa" w:w="576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agent_id, secuencia, timestamp, hash de payload, firma y anti-replay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Licencia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Ed25519 de licenciamiento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license_id, tenant_id, plan, features, max_agents, issued_at, expires_at, offline_grace_hours, key_id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Actualización</w:t>
            </w:r>
          </w:p>
        </w:tc>
        <w:tc>
          <w:tcPr>
            <w:tcW w:type="dxa" w:w="208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SHA-256 + Ed25519 + Authenticode</w:t>
            </w:r>
          </w:p>
        </w:tc>
        <w:tc>
          <w:tcPr>
            <w:tcW w:type="dxa" w:w="576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manifiesto, versión, hash, plataforma, firma, rollback seguro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Firmware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Clave independiente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hardware objetivo, versión, contador anti-rollback, firma, verificación previa/posterior</w:t>
            </w:r>
          </w:p>
        </w:tc>
      </w:tr>
    </w:tbl>
    <w:p>
      <w:pPr>
        <w:spacing w:after="40"/>
      </w:pPr>
    </w:p>
    <w:p>
      <w:pPr>
        <w:pStyle w:val="Heading2"/>
      </w:pPr>
      <w:r>
        <w:t>7.1 Reglas de validación del sobre de comando</w:t>
      </w:r>
    </w:p>
    <w:p>
      <w:pPr>
        <w:pStyle w:val="ListNumber"/>
        <w:spacing w:after="40"/>
      </w:pPr>
      <w:r>
        <w:t>Canonicalizar el payload antes de firmar y verificarlo; usar CBOR canónico o JSON canónico estable.</w:t>
      </w:r>
    </w:p>
    <w:p>
      <w:pPr>
        <w:pStyle w:val="ListNumber"/>
        <w:spacing w:after="40"/>
      </w:pPr>
      <w:r>
        <w:t>Rechazar firma inválida, key_id revocado, agent_id/tenant_id incorrecto, timestamp fuera de ventana, nonce repetido o command_id ya procesado.</w:t>
      </w:r>
    </w:p>
    <w:p>
      <w:pPr>
        <w:pStyle w:val="ListNumber"/>
        <w:spacing w:after="40"/>
      </w:pPr>
      <w:r>
        <w:t>Validar feature licenciada, rol aprobador, parámetros, límites de tiempo, tamaño y recursos antes de ejecutar.</w:t>
      </w:r>
    </w:p>
    <w:p>
      <w:pPr>
        <w:pStyle w:val="ListNumber"/>
        <w:spacing w:after="40"/>
      </w:pPr>
      <w:r>
        <w:t>Registrar solicitud, aprobación, firma, recepción, inicio, resultado y error con correlación única.</w:t>
      </w:r>
    </w:p>
    <w:p>
      <w:pPr>
        <w:pStyle w:val="ListNumber"/>
        <w:spacing w:after="40"/>
      </w:pPr>
      <w:r>
        <w:t>TOTP o WebAuthn autentica al operador; la firma final del comando la produce el servidor autorizado.</w:t>
      </w:r>
    </w:p>
    <w:p>
      <w:pPr>
        <w:pStyle w:val="Heading1"/>
      </w:pPr>
      <w:r>
        <w:t>8. Activación, licencia y control de acceso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2676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97482"/>
          <w:sz w:val="18"/>
        </w:rPr>
        <w:t>Figura 4. Flujo de activación para una cuenta de seis meses.</w:t>
      </w:r>
    </w:p>
    <w:p>
      <w:r>
        <w:t>La activación debe separar cuatro conceptos: identidad del agente, licencia del tenant, autorización del operador y firma del artefacto. Una licencia válida no concede por sí sola permiso para ejecutar cualquier acción.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Puede hacer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 debe hacer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Administrador</w:t>
            </w:r>
          </w:p>
        </w:tc>
        <w:tc>
          <w:tcPr>
            <w:tcW w:type="dxa" w:w="403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Tenants, usuarios, licencias y políticas</w:t>
            </w:r>
          </w:p>
        </w:tc>
        <w:tc>
          <w:tcPr>
            <w:tcW w:type="dxa" w:w="410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Ejecutar acciones críticas sin aprobación adicional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Operador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Consultar inventario y solicitar acciones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Firmar o aprobar su propia acción sensible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Jefatura</w:t>
            </w:r>
          </w:p>
        </w:tc>
        <w:tc>
          <w:tcPr>
            <w:tcW w:type="dxa" w:w="403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Aprobar acciones de alto impacto con MFA</w:t>
            </w:r>
          </w:p>
        </w:tc>
        <w:tc>
          <w:tcPr>
            <w:tcW w:type="dxa" w:w="410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Modificar evidencias de auditoría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Auditor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Leer inventario y auditoría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Cambiar estado o ejecutar comandos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Agente</w:t>
            </w:r>
          </w:p>
        </w:tc>
        <w:tc>
          <w:tcPr>
            <w:tcW w:type="dxa" w:w="403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Identificarse y ejecutar acciones permitidas</w:t>
            </w:r>
          </w:p>
        </w:tc>
        <w:tc>
          <w:tcPr>
            <w:tcW w:type="dxa" w:w="410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8"/>
              </w:rPr>
              <w:t>Emitir licencias o aceptar comandos no firmados</w:t>
            </w:r>
          </w:p>
        </w:tc>
      </w:tr>
    </w:tbl>
    <w:p>
      <w:pPr>
        <w:spacing w:after="40"/>
      </w:pPr>
    </w:p>
    <w:p>
      <w:pPr>
        <w:pStyle w:val="Heading2"/>
      </w:pPr>
      <w:r>
        <w:t>8.1 Ejemplo de cuenta starter_6m</w:t>
      </w:r>
    </w:p>
    <w:p>
      <w:pPr>
        <w:pStyle w:val="ListNumber"/>
        <w:spacing w:after="40"/>
      </w:pPr>
      <w:r>
        <w:t>Emisión: 07-10-2026. Vencimiento: 07-04-2027. La fecha la calcula y valida el servidor; el agente no puede ampliarla localmente.</w:t>
      </w:r>
    </w:p>
    <w:p>
      <w:pPr>
        <w:pStyle w:val="ListNumber"/>
        <w:spacing w:after="40"/>
      </w:pPr>
      <w:r>
        <w:t>Código de activación: único uso, guardado como hash, con TTL corto y contador de intentos. Nunca se almacena en texto plano en la base de datos.</w:t>
      </w:r>
    </w:p>
    <w:p>
      <w:pPr>
        <w:pStyle w:val="ListNumber"/>
        <w:spacing w:after="40"/>
      </w:pPr>
      <w:r>
        <w:t>Durante el enrolamiento, el agente genera su clave Ed25519 y el servidor vincula agent_id, tenant_id y license_id.</w:t>
      </w:r>
    </w:p>
    <w:p>
      <w:pPr>
        <w:pStyle w:val="ListNumber"/>
        <w:spacing w:after="40"/>
      </w:pPr>
      <w:r>
        <w:t>El material local se protege con DPAPI/CNG y, cuando esté disponible, TPM. La clave privada no se exporta ni se envía al servidor.</w:t>
      </w:r>
    </w:p>
    <w:p>
      <w:pPr>
        <w:pStyle w:val="ListNumber"/>
        <w:spacing w:after="40"/>
      </w:pPr>
      <w:r>
        <w:t>Gracia offline sugerida: 72 horas. En modo offline se permiten inventario local y recuperación segura, pero no acciones críticas indefinidas.</w:t>
      </w:r>
    </w:p>
    <w:p>
      <w:pPr>
        <w:pStyle w:val="ListNumber"/>
        <w:spacing w:after="40"/>
      </w:pPr>
      <w:r>
        <w:t>Revocación, cambio de plan, exceso de cupo o vencimiento bloquean features y quedan en auditoría.</w:t>
      </w:r>
    </w:p>
    <w:p>
      <w:pPr>
        <w:pStyle w:val="Heading1"/>
      </w:pPr>
      <w:r>
        <w:t>9. APIs nativas de Windows</w:t>
      </w:r>
    </w:p>
    <w:p>
      <w:r>
        <w:t>La capa windows-platform encapsula llamadas nativas y concentra las zonas unsafe. El resto de crates recibe interfaces seguras y testeables. La cámara, ubicación y BitLocker deben estar desactivados por defecto y sujetos a consentimiento, política y retención.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Necesidad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API / subsistema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Uso seguro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Hostname</w:t>
            </w:r>
          </w:p>
        </w:tc>
        <w:tc>
          <w:tcPr>
            <w:tcW w:type="dxa" w:w="432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GetComputerNameExW</w:t>
            </w:r>
          </w:p>
        </w:tc>
        <w:tc>
          <w:tcPr>
            <w:tcW w:type="dxa" w:w="367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Normalizar y limitar tamaño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Red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GetAdaptersAddresses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Excluir secretos; informar solo lo necesario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Disco / RAM / uptime</w:t>
            </w:r>
          </w:p>
        </w:tc>
        <w:tc>
          <w:tcPr>
            <w:tcW w:type="dxa" w:w="432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GetDiskFreeSpaceExW / GetPhysicallyInstalledSystemMemory / GetTickCount64</w:t>
            </w:r>
          </w:p>
        </w:tc>
        <w:tc>
          <w:tcPr>
            <w:tcW w:type="dxa" w:w="367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Timeout y datos mínimos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Usuario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GetUserNameW / WTSQuerySessionInformationW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No usar como identidad criptográfica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Servicio</w:t>
            </w:r>
          </w:p>
        </w:tc>
        <w:tc>
          <w:tcPr>
            <w:tcW w:type="dxa" w:w="432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Service Control Manager</w:t>
            </w:r>
          </w:p>
        </w:tc>
        <w:tc>
          <w:tcPr>
            <w:tcW w:type="dxa" w:w="367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Servicio visible, firmado, recuperable y desinstalable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Secretos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CryptProtectData / CryptUnprotectData; CNG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DPAPI por usuario/máquina; rotación y no loguear secretos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Cámara / ubicación</w:t>
            </w:r>
          </w:p>
        </w:tc>
        <w:tc>
          <w:tcPr>
            <w:tcW w:type="dxa" w:w="432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Media Foundation / Windows Media Capture / Windows Location API</w:t>
            </w:r>
          </w:p>
        </w:tc>
        <w:tc>
          <w:tcPr>
            <w:tcW w:type="dxa" w:w="367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Consentimiento explícito y desactivado por defecto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BitLocker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Proveedor Windows/WMI bajo política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No recolectar llaves; mínimo privilegio y auditoría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Red</w:t>
            </w:r>
          </w:p>
        </w:tc>
        <w:tc>
          <w:tcPr>
            <w:tcW w:type="dxa" w:w="432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WinHTTP o cliente Rust TLS</w:t>
            </w:r>
          </w:p>
        </w:tc>
        <w:tc>
          <w:tcPr>
            <w:tcW w:type="dxa" w:w="367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TLS, timeouts, backoff y validación de certificados</w:t>
            </w:r>
          </w:p>
        </w:tc>
      </w:tr>
    </w:tbl>
    <w:p>
      <w:pPr>
        <w:spacing w:after="40"/>
      </w:pPr>
    </w:p>
    <w:p>
      <w:pPr>
        <w:pStyle w:val="Heading1"/>
      </w:pPr>
      <w:r>
        <w:t>10. APIs de aplicación propuestas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Propósito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Controles obligatorios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POST /api/v1/enrollment/start</w:t>
            </w:r>
          </w:p>
        </w:tc>
        <w:tc>
          <w:tcPr>
            <w:tcW w:type="dxa" w:w="309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Iniciar enrolamiento con código de un uso</w:t>
            </w:r>
          </w:p>
        </w:tc>
        <w:tc>
          <w:tcPr>
            <w:tcW w:type="dxa" w:w="345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TTL, rate limit, hash de código, challenge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POST /api/v1/enrollment/complete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Registrar clave pública del agente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Firma de challenge, tenant y licencia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POST /api/v1/heartbeats</w:t>
            </w:r>
          </w:p>
        </w:tc>
        <w:tc>
          <w:tcPr>
            <w:tcW w:type="dxa" w:w="309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Heartbeat e inventario firmado</w:t>
            </w:r>
          </w:p>
        </w:tc>
        <w:tc>
          <w:tcPr>
            <w:tcW w:type="dxa" w:w="345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Firma Ed25519, secuencia, replay protection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POST /api/v1/commands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Crear solicitud de acción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RBAC, feature licenciada, aprobación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GET /api/v1/commands/next</w:t>
            </w:r>
          </w:p>
        </w:tc>
        <w:tc>
          <w:tcPr>
            <w:tcW w:type="dxa" w:w="309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Obtener comando firmado</w:t>
            </w:r>
          </w:p>
        </w:tc>
        <w:tc>
          <w:tcPr>
            <w:tcW w:type="dxa" w:w="345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Lease, agente correcto, expiración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POST /api/v1/commands/{id}/result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Entregar resultado firmado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Idempotencia, hash de salida, límites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POST /api/v1/licenses/issue</w:t>
            </w:r>
          </w:p>
        </w:tc>
        <w:tc>
          <w:tcPr>
            <w:tcW w:type="dxa" w:w="309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Emitir licencia</w:t>
            </w:r>
          </w:p>
        </w:tc>
        <w:tc>
          <w:tcPr>
            <w:tcW w:type="dxa" w:w="3456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Administrador, clave de licenciamiento, auditoría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GET /api/v1/updates/manifest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Obtener actualización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Manifiesto firmado, hash, canal y rollback</w:t>
            </w:r>
          </w:p>
        </w:tc>
      </w:tr>
    </w:tbl>
    <w:p>
      <w:pPr>
        <w:spacing w:after="40"/>
      </w:pPr>
    </w:p>
    <w:p>
      <w:r>
        <w:t>Las rutas son un contrato de referencia. Antes de implementar se deben versionar esquemas, errores, paginación, límites de tamaño, correlación y compatibilidad hacia atrás.</w:t>
      </w:r>
    </w:p>
    <w:p>
      <w:r>
        <w:br w:type="page"/>
      </w:r>
    </w:p>
    <w:p>
      <w:pPr>
        <w:pStyle w:val="Heading1"/>
      </w:pPr>
      <w:r>
        <w:t>11. Plan de migración completa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Trabajo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Salida verificable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0 · Contención</w:t>
            </w:r>
          </w:p>
        </w:tc>
        <w:tc>
          <w:tcPr>
            <w:tcW w:type="dxa" w:w="532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Retirar 000000, rotar secretos, aislar instalador y sanear dump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Credenciales nuevas y riesgos críticos cerrados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1 · Contratos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Definir mensajes, estados, leases, licencias, claves y auditoría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Esquemas versionados y vectores de firma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2 · Confianza</w:t>
            </w:r>
          </w:p>
        </w:tc>
        <w:tc>
          <w:tcPr>
            <w:tcW w:type="dxa" w:w="532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Enrolamiento, Ed25519, TLS, RBAC, MFA y revocación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Pruebas de firma, replay, expiración y roles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3 · Agente Rust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Servicio visible, inventario, heartbeat, licencia y dispatcher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Instalador firmado y acciones tipadas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4 · Servidor Rust</w:t>
            </w:r>
          </w:p>
        </w:tc>
        <w:tc>
          <w:tcPr>
            <w:tcW w:type="dxa" w:w="532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API, DB, migraciones, leases, auditoría y portal de activación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Despliegue paralelo con canary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5 · Distribución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CI reproducible, SBOM, Authenticode, manifiestos y MSI/MSIX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Artefactos verificables desde cero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6 · Retirada</w:t>
            </w:r>
          </w:p>
        </w:tc>
        <w:tc>
          <w:tcPr>
            <w:tcW w:type="dxa" w:w="532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Migrar dashboard, apagar PHP, retirar Python y eliminar scripts antiguos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PuniShell legacy fuera de operación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No migrar SetupComplete, WMI relanzador, exclusiones Defender, ACL anti-borrado ni ocultamiento de carpetas.</w:t>
      </w:r>
    </w:p>
    <w:p>
      <w:pPr>
        <w:pStyle w:val="ListBullet"/>
        <w:spacing w:after="40"/>
      </w:pPr>
      <w:r>
        <w:t>Mantener compatibilidad durante una ventana controlada, con bandera de solo lectura para el agente antiguo y fecha de retiro.</w:t>
      </w:r>
    </w:p>
    <w:p>
      <w:pPr>
        <w:pStyle w:val="ListBullet"/>
        <w:spacing w:after="40"/>
      </w:pPr>
      <w:r>
        <w:t>Medir CPU, memoria, latencia de check-in, tamaño de inventario, tasa de errores y tiempo de recuperación antes/después.</w:t>
      </w:r>
    </w:p>
    <w:p>
      <w:pPr>
        <w:pStyle w:val="Heading1"/>
      </w:pPr>
      <w:r>
        <w:t>12. Criterios de aceptación</w:t>
      </w:r>
    </w:p>
    <w:p>
      <w:pPr>
        <w:pStyle w:val="ListNumber"/>
        <w:spacing w:after="40"/>
      </w:pPr>
      <w:r>
        <w:t>Un agente no enrolado no recibe comandos.</w:t>
      </w:r>
    </w:p>
    <w:p>
      <w:pPr>
        <w:pStyle w:val="ListNumber"/>
        <w:spacing w:after="40"/>
      </w:pPr>
      <w:r>
        <w:t>Un comando alterado, expirado, repetido o dirigido a otro agente no valida.</w:t>
      </w:r>
    </w:p>
    <w:p>
      <w:pPr>
        <w:pStyle w:val="ListNumber"/>
        <w:spacing w:after="40"/>
      </w:pPr>
      <w:r>
        <w:t>Una licencia de seis meses vence en servidor y agente; una revocada bloquea funciones administrativas.</w:t>
      </w:r>
    </w:p>
    <w:p>
      <w:pPr>
        <w:pStyle w:val="ListNumber"/>
        <w:spacing w:after="40"/>
      </w:pPr>
      <w:r>
        <w:t>La clave privada del servidor, licenciamiento y firmware nunca aparece en el agente ni en el repositorio.</w:t>
      </w:r>
    </w:p>
    <w:p>
      <w:pPr>
        <w:pStyle w:val="ListNumber"/>
        <w:spacing w:after="40"/>
      </w:pPr>
      <w:r>
        <w:t>EXE, DLL, MSI/MSIX y actualizaciones son verificables por firma y hash.</w:t>
      </w:r>
    </w:p>
    <w:p>
      <w:pPr>
        <w:pStyle w:val="ListNumber"/>
        <w:spacing w:after="40"/>
      </w:pPr>
      <w:r>
        <w:t>No existe shell arbitrario como API principal; cada acción tiene esquema, límites, timeout y auditoría.</w:t>
      </w:r>
    </w:p>
    <w:p>
      <w:pPr>
        <w:pStyle w:val="ListNumber"/>
        <w:spacing w:after="40"/>
      </w:pPr>
      <w:r>
        <w:t>La pérdida de red no provoca ejecución insegura ni amplía una licencia vencida.</w:t>
      </w:r>
    </w:p>
    <w:p>
      <w:pPr>
        <w:pStyle w:val="ListNumber"/>
        <w:spacing w:after="40"/>
      </w:pPr>
      <w:r>
        <w:t>Cámara, ubicación y BitLocker están desactivados por defecto y solo operan bajo política documentada.</w:t>
      </w:r>
    </w:p>
    <w:p>
      <w:pPr>
        <w:pStyle w:val="ListNumber"/>
        <w:spacing w:after="40"/>
      </w:pPr>
      <w:r>
        <w:t>Existen pruebas automatizadas de firma, replay, expiración, revocación, roles, leases, rollback y compatibilidad.</w:t>
      </w:r>
    </w:p>
    <w:p>
      <w:r>
        <w:br w:type="page"/>
      </w:r>
    </w:p>
    <w:p>
      <w:pPr>
        <w:pStyle w:val="Heading1"/>
      </w:pPr>
      <w:r>
        <w:t>13. Conclusión y prioridades inmediatas</w:t>
      </w:r>
    </w:p>
    <w:p>
      <w:r>
        <w:t>PuniShell cumple hoy el papel de prototipo de administración remota, pero su modelo de confianza es insuficiente para operar como producto seguro: mezcla telemetría sensible, ejecución de comandos y persistencia con controles inconsistentes. Lime Rust aporta una base técnica de organización y protocolos, pero el binario original identificado es ELF ARM Linux y no un PE firmado de Windows.</w:t>
      </w:r>
    </w:p>
    <w:p>
      <w:r>
        <w:t>La prioridad inmediata es cerrar el bypass y los secretos expuestos, definir el contrato firmado de comandos, implementar identidad Ed25519 por agente, activar TLS, separar licencia de autorización y construir el agente Rust como servicio visible. La firma Ed25519 del servidor es un componente central para confirmar el origen de cada comando, mientras que Authenticode y la CI segura protegen la procedencia del software distribuido.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Orden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Acción inmediata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1</w:t>
            </w:r>
          </w:p>
        </w:tc>
        <w:tc>
          <w:tcPr>
            <w:tcW w:type="dxa" w:w="568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Contención: 000000, credenciales, TOTP y dump</w:t>
            </w:r>
          </w:p>
        </w:tc>
        <w:tc>
          <w:tcPr>
            <w:tcW w:type="dxa" w:w="338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Reducir exposición actual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2</w:t>
            </w:r>
          </w:p>
        </w:tc>
        <w:tc>
          <w:tcPr>
            <w:tcW w:type="dxa" w:w="568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Contrato canónico de comando + verificador Ed25519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Eliminar órdenes no autenticadas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3</w:t>
            </w:r>
          </w:p>
        </w:tc>
        <w:tc>
          <w:tcPr>
            <w:tcW w:type="dxa" w:w="568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Enrolamiento y clave por agente</w:t>
            </w:r>
          </w:p>
        </w:tc>
        <w:tc>
          <w:tcPr>
            <w:tcW w:type="dxa" w:w="338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Eliminar suplantación de dispositivos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4</w:t>
            </w:r>
          </w:p>
        </w:tc>
        <w:tc>
          <w:tcPr>
            <w:tcW w:type="dxa" w:w="568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Servicio Rust visible y acciones tipadas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Reducir ejecución arbitraria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5</w:t>
            </w:r>
          </w:p>
        </w:tc>
        <w:tc>
          <w:tcPr>
            <w:tcW w:type="dxa" w:w="568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Activación de seis meses + revocación</w:t>
            </w:r>
          </w:p>
        </w:tc>
        <w:tc>
          <w:tcPr>
            <w:tcW w:type="dxa" w:w="3384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Control comercial y técnico trazable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6</w:t>
            </w:r>
          </w:p>
        </w:tc>
        <w:tc>
          <w:tcPr>
            <w:tcW w:type="dxa" w:w="568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Firma Authenticode y actualización verificable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Cadena de suministro controlada</w:t>
            </w:r>
          </w:p>
        </w:tc>
      </w:tr>
    </w:tbl>
    <w:p>
      <w:pPr>
        <w:spacing w:after="40"/>
      </w:pPr>
    </w:p>
    <w:p>
      <w:pPr>
        <w:pStyle w:val="Heading1"/>
      </w:pPr>
      <w:r>
        <w:t>Anexo A. Inventario resumido de capacidades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N.º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Capacidad / componente</w:t>
            </w:r>
          </w:p>
        </w:tc>
        <w:tc>
          <w:tcPr>
            <w:tcW w:type="dxa" w:w="3389"/>
            <w:vAlign w:val="center"/>
            <w:shd w:fill="163A63"/>
            <w:tcBorders>
              <w:top w:val="single" w:sz="8" w:color="163A63"/>
              <w:left w:val="single" w:sz="8" w:color="163A63"/>
              <w:bottom w:val="single" w:sz="8" w:color="163A63"/>
              <w:right w:val="single" w:sz="8" w:color="163A63"/>
              <w:insideH w:val="single" w:sz="8" w:color="163A63"/>
              <w:insideV w:val="single" w:sz="8" w:color="163A6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Destino recomendado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1–14</w:t>
            </w:r>
          </w:p>
        </w:tc>
        <w:tc>
          <w:tcPr>
            <w:tcW w:type="dxa" w:w="460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Inventario, telemetría, polling, terminal y resultados</w:t>
            </w:r>
          </w:p>
        </w:tc>
        <w:tc>
          <w:tcPr>
            <w:tcW w:type="dxa" w:w="424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Rust + API tipada + políticas de privacidad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15–28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Sesiones, TOTP, colas, aprobaciones, resultados y datos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Servidor Rust + RBAC + DB transaccional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29–36</w:t>
            </w:r>
          </w:p>
        </w:tc>
        <w:tc>
          <w:tcPr>
            <w:tcW w:type="dxa" w:w="460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Servicio, instalación y persistencia invasiva</w:t>
            </w:r>
          </w:p>
        </w:tc>
        <w:tc>
          <w:tcPr>
            <w:tcW w:type="dxa" w:w="424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Conservar servicio visible; eliminar evasión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37–51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Crates Lime, BLE, GPS, IPC, modem, OTA y evidencia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Referencia separada; validar derechos y firma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52–79</w:t>
            </w:r>
          </w:p>
        </w:tc>
        <w:tc>
          <w:tcPr>
            <w:tcW w:type="dxa" w:w="460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Fallas críticas y altas</w:t>
            </w:r>
          </w:p>
        </w:tc>
        <w:tc>
          <w:tcPr>
            <w:tcW w:type="dxa" w:w="4248"/>
            <w:vAlign w:val="center"/>
            <w:shd w:fill="F4F7FA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Backlog priorizado de seguridad y confiabilidad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80–90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Mejoras y criterios de rendimiento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303A"/>
                <w:sz w:val="17"/>
              </w:rPr>
              <w:t>Medir en pruebas de aceptación</w:t>
            </w:r>
          </w:p>
        </w:tc>
      </w:tr>
    </w:tbl>
    <w:p>
      <w:pPr>
        <w:spacing w:after="40"/>
      </w:pPr>
    </w:p>
    <w:p>
      <w:pPr>
        <w:pStyle w:val="Heading1"/>
      </w:pPr>
      <w:r>
        <w:t>Anexo B. Comandos de validación recomendados</w:t>
      </w:r>
    </w:p>
    <w:p>
      <w:r>
        <w:t>Antes de dar por terminada la migración, el pipeline debería ejecutar como mínimo:</w:t>
      </w:r>
    </w:p>
    <w:p>
      <w:pPr>
        <w:pStyle w:val="ListBullet"/>
        <w:spacing w:after="40"/>
      </w:pPr>
      <w:r>
        <w:t>cargo fmt --all -- --check</w:t>
      </w:r>
    </w:p>
    <w:p>
      <w:pPr>
        <w:pStyle w:val="ListBullet"/>
        <w:spacing w:after="40"/>
      </w:pPr>
      <w:r>
        <w:t>cargo clippy --workspace --all-targets -- -D warnings</w:t>
      </w:r>
    </w:p>
    <w:p>
      <w:pPr>
        <w:pStyle w:val="ListBullet"/>
        <w:spacing w:after="40"/>
      </w:pPr>
      <w:r>
        <w:t>cargo test --workspace</w:t>
      </w:r>
    </w:p>
    <w:p>
      <w:pPr>
        <w:pStyle w:val="ListBullet"/>
        <w:spacing w:after="40"/>
      </w:pPr>
      <w:r>
        <w:t>cargo audit</w:t>
      </w:r>
    </w:p>
    <w:p>
      <w:pPr>
        <w:pStyle w:val="ListBullet"/>
        <w:spacing w:after="40"/>
      </w:pPr>
      <w:r>
        <w:t>cargo deny check</w:t>
      </w:r>
    </w:p>
    <w:p>
      <w:pPr>
        <w:pStyle w:val="ListBullet"/>
        <w:spacing w:after="40"/>
      </w:pPr>
      <w:r>
        <w:t>Pruebas de verificación Ed25519: firma válida, payload alterado, nonce repetido, expiración y key_id revocado.</w:t>
      </w:r>
    </w:p>
    <w:p>
      <w:pPr>
        <w:pStyle w:val="ListBullet"/>
        <w:spacing w:after="40"/>
      </w:pPr>
      <w:r>
        <w:t>Pruebas Windows: servicio, DPAPI/CNG, permisos, instalación, desinstalación y validación Authenticode.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82"/>
        <w:sz w:val="17"/>
      </w:rPr>
      <w:t xml:space="preserve">Confidencial · Revisión estática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97482"/>
        <w:sz w:val="17"/>
      </w:rPr>
      <w:t>PuniShell · Informe técnico y plan de migración Rust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2E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63A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87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63A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63A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