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5666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El 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 xml:space="preserve"> de “Rover Olympus” está muy bien alineado con ISO/IEC/IEEE 29148:2018 en estructura, uso de modelos (</w:t>
      </w:r>
      <w:proofErr w:type="spellStart"/>
      <w:r>
        <w:rPr>
          <w:rFonts w:eastAsia="Georgia" w:hAnsi="Georgia" w:cs="Georgia"/>
          <w:color w:val="000000"/>
        </w:rPr>
        <w:t>ConOps</w:t>
      </w:r>
      <w:proofErr w:type="spellEnd"/>
      <w:r>
        <w:rPr>
          <w:rFonts w:eastAsia="Georgia" w:hAnsi="Georgia" w:cs="Georgia"/>
          <w:color w:val="000000"/>
        </w:rPr>
        <w:t>, casos de uso, MBSE/SysML) y tratamiento explícito de V&amp;V y trazabilidad, pero mezcla ligeramente niveles (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 xml:space="preserve">/SRS), tiene requisitos con algunos TBD, y podría separar </w:t>
      </w:r>
      <w:proofErr w:type="gramStart"/>
      <w:r>
        <w:rPr>
          <w:rFonts w:eastAsia="Georgia" w:hAnsi="Georgia" w:cs="Georgia"/>
          <w:color w:val="000000"/>
        </w:rPr>
        <w:t>mejor requisitos funcionales</w:t>
      </w:r>
      <w:proofErr w:type="gramEnd"/>
      <w:r>
        <w:rPr>
          <w:rFonts w:eastAsia="Georgia" w:hAnsi="Georgia" w:cs="Georgia"/>
          <w:color w:val="000000"/>
        </w:rPr>
        <w:t xml:space="preserve"> vs. de diseño, además de reforzar criterios cuantitativos y tablas de trazabilidad completas.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67" w14:textId="77777777" w:rsidR="00ED69E2" w:rsidRDefault="00AA39A1">
      <w:pPr>
        <w:spacing w:before="315" w:after="105" w:line="360" w:lineRule="auto"/>
        <w:ind w:left="-30"/>
      </w:pPr>
      <w:bookmarkStart w:id="1" w:name="bm_1_resumen_ejecutivo_de_la_evaluación"/>
      <w:r>
        <w:rPr>
          <w:rFonts w:eastAsia="Georgia" w:hAnsi="Georgia" w:cs="Georgia"/>
          <w:b/>
          <w:color w:val="000000"/>
          <w:sz w:val="24"/>
        </w:rPr>
        <w:t>1. Resumen ejecutivo de la evaluación</w:t>
      </w:r>
      <w:bookmarkEnd w:id="1"/>
    </w:p>
    <w:p w14:paraId="08145668" w14:textId="77777777" w:rsidR="00ED69E2" w:rsidRDefault="00AA39A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La </w:t>
      </w:r>
      <w:r>
        <w:rPr>
          <w:rFonts w:eastAsia="Georgia" w:hAnsi="Georgia" w:cs="Georgia"/>
          <w:b/>
          <w:color w:val="000000"/>
        </w:rPr>
        <w:t>estructura</w:t>
      </w:r>
      <w:r>
        <w:rPr>
          <w:rFonts w:eastAsia="Georgia" w:hAnsi="Georgia" w:cs="Georgia"/>
          <w:color w:val="000000"/>
        </w:rPr>
        <w:t xml:space="preserve"> del documento es robusta y casi completa respecto a la plantilla de 29148 (introducción, contexto, </w:t>
      </w:r>
      <w:proofErr w:type="spellStart"/>
      <w:r>
        <w:rPr>
          <w:rFonts w:eastAsia="Georgia" w:hAnsi="Georgia" w:cs="Georgia"/>
          <w:color w:val="000000"/>
        </w:rPr>
        <w:t>ConOps</w:t>
      </w:r>
      <w:proofErr w:type="spellEnd"/>
      <w:r>
        <w:rPr>
          <w:rFonts w:eastAsia="Georgia" w:hAnsi="Georgia" w:cs="Georgia"/>
          <w:color w:val="000000"/>
        </w:rPr>
        <w:t>, casos de uso, arquitectura, interfaces, requisitos, V&amp;V, trazabilidad, apéndices), incluyendo incluso secciones avanzadas como N2, ICD y matrices de verificación.</w:t>
      </w:r>
      <w:bookmarkStart w:id="2" w:name="fnref1_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69" w14:textId="77777777" w:rsidR="00ED69E2" w:rsidRDefault="00AA39A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La </w:t>
      </w:r>
      <w:r>
        <w:rPr>
          <w:rFonts w:eastAsia="Georgia" w:hAnsi="Georgia" w:cs="Georgia"/>
          <w:b/>
          <w:color w:val="000000"/>
        </w:rPr>
        <w:t>calidad de redacción</w:t>
      </w:r>
      <w:r>
        <w:rPr>
          <w:rFonts w:eastAsia="Georgia" w:hAnsi="Georgia" w:cs="Georgia"/>
          <w:color w:val="000000"/>
        </w:rPr>
        <w:t xml:space="preserve"> es alta: se definen términos, se explicita el enfoque UC‑01, se sigue una numeración clara y se documentan reglas de escritura y atributos de requisitos.</w:t>
      </w:r>
      <w:bookmarkStart w:id="3" w:name="fnref1_2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6A" w14:textId="77777777" w:rsidR="00ED69E2" w:rsidRDefault="00AA39A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Persisten algunos problemas típicos:</w:t>
      </w:r>
    </w:p>
    <w:p w14:paraId="0814566B" w14:textId="77777777" w:rsidR="00ED69E2" w:rsidRDefault="00AA39A1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Mezcla de 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 xml:space="preserve"> y SRS en un mismo artefacto, aunque declarada, que podría dificultar su uso contractual o </w:t>
      </w:r>
      <w:proofErr w:type="spellStart"/>
      <w:r>
        <w:rPr>
          <w:rFonts w:eastAsia="Georgia" w:hAnsi="Georgia" w:cs="Georgia"/>
          <w:color w:val="000000"/>
        </w:rPr>
        <w:t>multi‑equipo</w:t>
      </w:r>
      <w:proofErr w:type="spellEnd"/>
      <w:r>
        <w:rPr>
          <w:rFonts w:eastAsia="Georgia" w:hAnsi="Georgia" w:cs="Georgia"/>
          <w:color w:val="000000"/>
        </w:rPr>
        <w:t>.</w:t>
      </w:r>
      <w:bookmarkStart w:id="4" w:name="fnref1_3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6C" w14:textId="77777777" w:rsidR="00ED69E2" w:rsidRDefault="00AA39A1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Uso de </w:t>
      </w:r>
      <w:proofErr w:type="spellStart"/>
      <w:r>
        <w:rPr>
          <w:rFonts w:eastAsia="Georgia" w:hAnsi="Georgia" w:cs="Georgia"/>
          <w:color w:val="000000"/>
        </w:rPr>
        <w:t>placeholders</w:t>
      </w:r>
      <w:proofErr w:type="spellEnd"/>
      <w:r>
        <w:rPr>
          <w:rFonts w:eastAsia="Georgia" w:hAnsi="Georgia" w:cs="Georgia"/>
          <w:color w:val="000000"/>
        </w:rPr>
        <w:t xml:space="preserve"> “TBD” en guardas, políticas y umbrales que se mencionan como requisitos </w:t>
      </w:r>
      <w:proofErr w:type="gramStart"/>
      <w:r>
        <w:rPr>
          <w:rFonts w:eastAsia="Georgia" w:hAnsi="Georgia" w:cs="Georgia"/>
          <w:color w:val="000000"/>
        </w:rPr>
        <w:t>implícitos</w:t>
      </w:r>
      <w:proofErr w:type="gramEnd"/>
      <w:r>
        <w:rPr>
          <w:rFonts w:eastAsia="Georgia" w:hAnsi="Georgia" w:cs="Georgia"/>
          <w:color w:val="000000"/>
        </w:rPr>
        <w:t xml:space="preserve"> pero no se formalizan en la sección 11.</w:t>
      </w:r>
      <w:bookmarkStart w:id="5" w:name="fnref1_4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6D" w14:textId="77777777" w:rsidR="00ED69E2" w:rsidRDefault="00AA39A1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Algunos requisitos “no funcionales” están descritos narrativamente en arquitectura o </w:t>
      </w:r>
      <w:proofErr w:type="spellStart"/>
      <w:r>
        <w:rPr>
          <w:rFonts w:eastAsia="Georgia" w:hAnsi="Georgia" w:cs="Georgia"/>
          <w:color w:val="000000"/>
        </w:rPr>
        <w:t>ConOps</w:t>
      </w:r>
      <w:proofErr w:type="spellEnd"/>
      <w:r>
        <w:rPr>
          <w:rFonts w:eastAsia="Georgia" w:hAnsi="Georgia" w:cs="Georgia"/>
          <w:color w:val="000000"/>
        </w:rPr>
        <w:t>, pero no trasladados a requisitos verificables con ID único.</w:t>
      </w:r>
      <w:bookmarkStart w:id="6" w:name="fnref1_5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6E" w14:textId="77777777" w:rsidR="00ED69E2" w:rsidRDefault="00AA39A1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Con mejoras moderadas (separación 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>/SRS, refuerzo cuantitativo de RNF, cierre de TBD y una matriz de trazabilidad más completa), el documento puede alinearse plenamente con 29148 a nivel profesional.</w:t>
      </w:r>
      <w:bookmarkStart w:id="7" w:name="fnref1_6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6F" w14:textId="77777777" w:rsidR="00ED69E2" w:rsidRDefault="00AA39A1">
      <w:pPr>
        <w:spacing w:before="315" w:after="105" w:line="360" w:lineRule="auto"/>
        <w:ind w:left="-30"/>
      </w:pPr>
      <w:bookmarkStart w:id="8" w:name="bm_2_análisis_estructural_del_documento"/>
      <w:r>
        <w:rPr>
          <w:rFonts w:eastAsia="Georgia" w:hAnsi="Georgia" w:cs="Georgia"/>
          <w:b/>
          <w:color w:val="000000"/>
          <w:sz w:val="24"/>
        </w:rPr>
        <w:t>2. Análisis estructural del documento</w:t>
      </w:r>
      <w:bookmarkEnd w:id="8"/>
    </w:p>
    <w:p w14:paraId="08145670" w14:textId="77777777" w:rsidR="00ED69E2" w:rsidRDefault="00AA39A1">
      <w:pPr>
        <w:spacing w:before="315" w:after="105" w:line="360" w:lineRule="auto"/>
        <w:ind w:left="-30"/>
      </w:pPr>
      <w:bookmarkStart w:id="9" w:name="cobertura_de_secciones_recomendad_6ddba6"/>
      <w:r>
        <w:rPr>
          <w:rFonts w:eastAsia="Georgia" w:hAnsi="Georgia" w:cs="Georgia"/>
          <w:b/>
          <w:color w:val="000000"/>
          <w:sz w:val="24"/>
        </w:rPr>
        <w:t>Cobertura de secciones recomendadas por 29148</w:t>
      </w:r>
      <w:bookmarkEnd w:id="9"/>
    </w:p>
    <w:p w14:paraId="08145671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El índice muestra una estructura muy completa:</w:t>
      </w:r>
      <w:bookmarkStart w:id="10" w:name="fnref1_7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2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Introducción (1), con propósito, alcance, audiencia, vista general y declaración de conformidad/</w:t>
      </w:r>
      <w:proofErr w:type="spellStart"/>
      <w:r>
        <w:rPr>
          <w:rFonts w:eastAsia="Georgia" w:hAnsi="Georgia" w:cs="Georgia"/>
          <w:color w:val="000000"/>
        </w:rPr>
        <w:t>tailoring</w:t>
      </w:r>
      <w:proofErr w:type="spellEnd"/>
      <w:r>
        <w:rPr>
          <w:rFonts w:eastAsia="Georgia" w:hAnsi="Georgia" w:cs="Georgia"/>
          <w:color w:val="000000"/>
        </w:rPr>
        <w:t>.</w:t>
      </w:r>
      <w:bookmarkStart w:id="11" w:name="fnref1_8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3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Referencias (2) y estándares aplicables (2.1), incluyendo ISO/IEC/IEEE 29148, NASA SE </w:t>
      </w:r>
      <w:proofErr w:type="spellStart"/>
      <w:r>
        <w:rPr>
          <w:rFonts w:eastAsia="Georgia" w:hAnsi="Georgia" w:cs="Georgia"/>
          <w:color w:val="000000"/>
        </w:rPr>
        <w:t>Handbook</w:t>
      </w:r>
      <w:proofErr w:type="spellEnd"/>
      <w:r>
        <w:rPr>
          <w:rFonts w:eastAsia="Georgia" w:hAnsi="Georgia" w:cs="Georgia"/>
          <w:color w:val="000000"/>
        </w:rPr>
        <w:t>, CSP, etc.</w:t>
      </w:r>
      <w:bookmarkStart w:id="12" w:name="fnref1_9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4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Términos, definiciones y acrónimos (3, 3.1, 3.2), usados luego de forma consistente.</w:t>
      </w:r>
      <w:bookmarkStart w:id="13" w:name="fnref1_10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5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Contexto y descripción general del sistema (4), con objetivos de misión, descripción del </w:t>
      </w:r>
      <w:proofErr w:type="spellStart"/>
      <w:r>
        <w:rPr>
          <w:rFonts w:eastAsia="Georgia" w:hAnsi="Georgia" w:cs="Georgia"/>
          <w:color w:val="000000"/>
        </w:rPr>
        <w:t>rover</w:t>
      </w:r>
      <w:proofErr w:type="spellEnd"/>
      <w:r>
        <w:rPr>
          <w:rFonts w:eastAsia="Georgia" w:hAnsi="Georgia" w:cs="Georgia"/>
          <w:color w:val="000000"/>
        </w:rPr>
        <w:t>, frontera, entorno, supuestos, dependencias y restricciones.</w:t>
      </w:r>
      <w:bookmarkStart w:id="14" w:name="fnref1_11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6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Stakeholders, usuarios y actores (5), con perfiles y clases de usuarios.</w:t>
      </w:r>
      <w:bookmarkStart w:id="15" w:name="fnref1_12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7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ConOps</w:t>
      </w:r>
      <w:proofErr w:type="spellEnd"/>
      <w:r>
        <w:rPr>
          <w:rFonts w:eastAsia="Georgia" w:hAnsi="Georgia" w:cs="Georgia"/>
          <w:color w:val="000000"/>
        </w:rPr>
        <w:t xml:space="preserve"> resumido y fases de misión (6).</w:t>
      </w:r>
      <w:bookmarkStart w:id="16" w:name="fnref1_13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8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Casos de uso del sistema y detalle profundo de UC‑01 con diagramas de actividad y máquina de estados (7).</w:t>
      </w:r>
      <w:bookmarkStart w:id="17" w:name="fnref1_14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9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Arquitectura del sistema y referencias de modelos (vista funcional, física, PBS, IBD, presupuestos, BOM, vista de software) (8).</w:t>
      </w:r>
      <w:bookmarkStart w:id="18" w:name="fnref1_15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A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Interfaces (externas, usuario, hardware, software, internas, más ICD de COMMS) (9).</w:t>
      </w:r>
      <w:bookmarkStart w:id="19" w:name="fnref1_16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B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Organización de requisitos, reglas de redacción y atributos (10).</w:t>
      </w:r>
      <w:bookmarkStart w:id="20" w:name="fnref1_17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C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Requisitos del sistema (funcionales por subsistema, funcionales maestros, desempeño/RNF, restricciones de diseño) (11).</w:t>
      </w:r>
      <w:bookmarkStart w:id="21" w:name="fnref1_18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D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Análisis y síntesis de requisitos, separación 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>/SRS (12).</w:t>
      </w:r>
      <w:bookmarkStart w:id="22" w:name="fnref1_19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E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Verificación, validación y aceptación, matrices de verificación, casos de prueba ejemplo (13).</w:t>
      </w:r>
      <w:bookmarkStart w:id="23" w:name="fnref1_20"/>
      <w:bookmarkEnd w:id="2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7F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Trazabilidad y gestión de cambios (14).</w:t>
      </w:r>
      <w:bookmarkStart w:id="24" w:name="fnref1_21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80" w14:textId="77777777" w:rsidR="00ED69E2" w:rsidRDefault="00AA39A1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Apéndices: glosario, historial de revisiones (15).</w:t>
      </w:r>
      <w:bookmarkStart w:id="25" w:name="fnref1_22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81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En términos de 29148, esto cubre: introducción, descripción general, requisitos (incluyendo funcionales, de desempeño, de interfaz y restricciones), anexos, además de V&amp;V y trazabilidad, que muchas veces se ubican en documentos </w:t>
      </w:r>
      <w:proofErr w:type="gramStart"/>
      <w:r>
        <w:rPr>
          <w:rFonts w:eastAsia="Georgia" w:hAnsi="Georgia" w:cs="Georgia"/>
          <w:color w:val="000000"/>
        </w:rPr>
        <w:t>separados</w:t>
      </w:r>
      <w:proofErr w:type="gramEnd"/>
      <w:r>
        <w:rPr>
          <w:rFonts w:eastAsia="Georgia" w:hAnsi="Georgia" w:cs="Georgia"/>
          <w:color w:val="000000"/>
        </w:rPr>
        <w:t xml:space="preserve"> pero aquí se integran.</w:t>
      </w:r>
      <w:bookmarkStart w:id="26" w:name="fnref1_23"/>
      <w:bookmarkEnd w:id="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82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Puntos fuertes de estructura frente a la norma:</w:t>
      </w:r>
    </w:p>
    <w:p w14:paraId="08145683" w14:textId="77777777" w:rsidR="00ED69E2" w:rsidRDefault="00AA39A1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Sección 1.5 de conformidad y </w:t>
      </w:r>
      <w:proofErr w:type="spellStart"/>
      <w:r>
        <w:rPr>
          <w:rFonts w:eastAsia="Georgia" w:hAnsi="Georgia" w:cs="Georgia"/>
          <w:color w:val="000000"/>
        </w:rPr>
        <w:t>tailoring</w:t>
      </w:r>
      <w:proofErr w:type="spellEnd"/>
      <w:r>
        <w:rPr>
          <w:rFonts w:eastAsia="Georgia" w:hAnsi="Georgia" w:cs="Georgia"/>
          <w:color w:val="000000"/>
        </w:rPr>
        <w:t xml:space="preserve"> explícito, que 29148 recomienda para contextualizar adaptaciones.</w:t>
      </w:r>
      <w:bookmarkStart w:id="27" w:name="fnref1_24"/>
      <w:bookmarkEnd w:id="2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84" w14:textId="77777777" w:rsidR="00ED69E2" w:rsidRDefault="00AA39A1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Inclusión de reglas de escritura y atributos de requisitos (10), poco común en 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 xml:space="preserve"> académicos pero alineado con buenas prácticas.</w:t>
      </w:r>
      <w:bookmarkStart w:id="28" w:name="fnref1_25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85" w14:textId="77777777" w:rsidR="00ED69E2" w:rsidRDefault="00AA39A1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Múltiples vistas de arquitectura (BDD, IBD, PBS, N2) que cierran el triángulo requisito–arquitectura–V&amp;V.</w:t>
      </w:r>
      <w:bookmarkStart w:id="29" w:name="fnref1_26"/>
      <w:bookmarkEnd w:id="2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BAD8C26" w14:textId="77777777" w:rsidR="005B538E" w:rsidRDefault="005B538E">
      <w:pPr>
        <w:spacing w:after="210" w:line="360" w:lineRule="auto"/>
        <w:rPr>
          <w:rFonts w:eastAsia="Georgia" w:hAnsi="Georgia" w:cs="Georgia"/>
          <w:color w:val="000000"/>
        </w:rPr>
      </w:pPr>
    </w:p>
    <w:p w14:paraId="303FE0D5" w14:textId="77777777" w:rsidR="005B538E" w:rsidRDefault="005B538E">
      <w:pPr>
        <w:spacing w:after="210" w:line="360" w:lineRule="auto"/>
        <w:rPr>
          <w:rFonts w:eastAsia="Georgia" w:hAnsi="Georgia" w:cs="Georgia"/>
          <w:color w:val="000000"/>
        </w:rPr>
      </w:pPr>
    </w:p>
    <w:p w14:paraId="08145686" w14:textId="5BE661B9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Oportunidades de mejora estructural:</w:t>
      </w:r>
    </w:p>
    <w:p w14:paraId="08145687" w14:textId="77777777" w:rsidR="00ED69E2" w:rsidRDefault="00AA39A1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El documento declara ser 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 xml:space="preserve">/SRS combinado; 29148 sugiere separar especificación de sistema y de software o, al menos, secciones bien diferenciadas y </w:t>
      </w:r>
      <w:proofErr w:type="spellStart"/>
      <w:r>
        <w:rPr>
          <w:rFonts w:eastAsia="Georgia" w:hAnsi="Georgia" w:cs="Georgia"/>
          <w:color w:val="000000"/>
        </w:rPr>
        <w:t>auto‑contenidas</w:t>
      </w:r>
      <w:proofErr w:type="spellEnd"/>
      <w:r>
        <w:rPr>
          <w:rFonts w:eastAsia="Georgia" w:hAnsi="Georgia" w:cs="Georgia"/>
          <w:color w:val="000000"/>
        </w:rPr>
        <w:t>. Aquí está indicado en §12, pero la mezcla aún puede confundir usos futuros.</w:t>
      </w:r>
      <w:bookmarkStart w:id="30" w:name="fnref1_27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88" w14:textId="77777777" w:rsidR="00ED69E2" w:rsidRDefault="00AA39A1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Podría añadirse explícitamente una subsección “System </w:t>
      </w:r>
      <w:proofErr w:type="spellStart"/>
      <w:r>
        <w:rPr>
          <w:rFonts w:eastAsia="Georgia" w:hAnsi="Georgia" w:cs="Georgia"/>
          <w:color w:val="000000"/>
        </w:rPr>
        <w:t>Operational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Scenarios</w:t>
      </w:r>
      <w:proofErr w:type="spellEnd"/>
      <w:r>
        <w:rPr>
          <w:rFonts w:eastAsia="Georgia" w:hAnsi="Georgia" w:cs="Georgia"/>
          <w:color w:val="000000"/>
        </w:rPr>
        <w:t xml:space="preserve">” en </w:t>
      </w:r>
      <w:proofErr w:type="spellStart"/>
      <w:r>
        <w:rPr>
          <w:rFonts w:eastAsia="Georgia" w:hAnsi="Georgia" w:cs="Georgia"/>
          <w:color w:val="000000"/>
        </w:rPr>
        <w:t>ConOps</w:t>
      </w:r>
      <w:proofErr w:type="spellEnd"/>
      <w:r>
        <w:rPr>
          <w:rFonts w:eastAsia="Georgia" w:hAnsi="Georgia" w:cs="Georgia"/>
          <w:color w:val="000000"/>
        </w:rPr>
        <w:t>/Use Cases, donde se enumeren escenarios nominales y de contingencia de forma tabular (Escenario, actores, pre/postcondiciones, referencias a requisitos).</w:t>
      </w:r>
      <w:bookmarkStart w:id="31" w:name="fnref1_28"/>
      <w:bookmarkEnd w:id="3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89" w14:textId="77777777" w:rsidR="00ED69E2" w:rsidRDefault="00AA39A1">
      <w:pPr>
        <w:spacing w:before="315" w:after="105" w:line="360" w:lineRule="auto"/>
        <w:ind w:left="-30"/>
      </w:pPr>
      <w:bookmarkStart w:id="32" w:name="bm_3_problemas_identificados_en_l_9187fd"/>
      <w:r>
        <w:rPr>
          <w:rFonts w:eastAsia="Georgia" w:hAnsi="Georgia" w:cs="Georgia"/>
          <w:b/>
          <w:color w:val="000000"/>
          <w:sz w:val="24"/>
        </w:rPr>
        <w:t>3. Problemas identificados en los requisitos</w:t>
      </w:r>
      <w:bookmarkEnd w:id="32"/>
    </w:p>
    <w:p w14:paraId="0814568A" w14:textId="77777777" w:rsidR="00ED69E2" w:rsidRDefault="00AA39A1">
      <w:pPr>
        <w:spacing w:before="315" w:after="105" w:line="360" w:lineRule="auto"/>
        <w:ind w:left="-30"/>
      </w:pPr>
      <w:bookmarkStart w:id="33" w:name="bm_3_1_calidad_de_requisitos_clar_9a577e"/>
      <w:r>
        <w:rPr>
          <w:rFonts w:eastAsia="Georgia" w:hAnsi="Georgia" w:cs="Georgia"/>
          <w:b/>
          <w:color w:val="000000"/>
          <w:sz w:val="24"/>
        </w:rPr>
        <w:t>3.1 Calidad de requisitos (claridad, verificabilidad, consistencia)</w:t>
      </w:r>
      <w:bookmarkEnd w:id="33"/>
    </w:p>
    <w:p w14:paraId="0814568B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El documento define reglas de redacción, atributos y estrategia de agrupación (10.1–10.3), lo que ayuda a que los requisitos sean medibles y trazables. Sin embargo, en el cuerpo:</w:t>
      </w:r>
      <w:bookmarkStart w:id="34" w:name="fnref1_29"/>
      <w:bookmarkEnd w:id="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8C" w14:textId="77777777" w:rsidR="00ED69E2" w:rsidRDefault="00AA39A1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Hay referencias a requisitos como RNF‑001, RNF‑002, RF‑003, RF‑004, RF‑005, EPS‑REQ‑001/002, COMM‑REQ‑001/002/003/004/005, STR‑REQ‑001/002, PROP‑REQ‑002, etc., pero muchas apariciones están en secciones de arquitectura/Interfaces, no en una lista centralizada donde se vea el texto exacto del requisito.</w:t>
      </w:r>
      <w:bookmarkStart w:id="35" w:name="fnref1_30"/>
      <w:bookmarkEnd w:id="3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8D" w14:textId="77777777" w:rsidR="00ED69E2" w:rsidRDefault="00AA39A1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Varias condiciones críticas se expresan como “criterio TBD” o “política TBD” (guardas de severidad, </w:t>
      </w:r>
      <w:proofErr w:type="spellStart"/>
      <w:r>
        <w:rPr>
          <w:rFonts w:eastAsia="Georgia" w:hAnsi="Georgia" w:cs="Georgia"/>
          <w:color w:val="000000"/>
        </w:rPr>
        <w:t>timeouts</w:t>
      </w:r>
      <w:proofErr w:type="spellEnd"/>
      <w:r>
        <w:rPr>
          <w:rFonts w:eastAsia="Georgia" w:hAnsi="Georgia" w:cs="Georgia"/>
          <w:color w:val="000000"/>
        </w:rPr>
        <w:t>, políticas de reintento, umbrales de slip y energía, latencias de enlaces), lo que debilita su verificabilidad.</w:t>
      </w:r>
      <w:bookmarkStart w:id="36" w:name="fnref1_31"/>
      <w:bookmarkEnd w:id="3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8E" w14:textId="77777777" w:rsidR="00ED69E2" w:rsidRDefault="00AA39A1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Algunos “requisitos” en secciones narrativas (por ejemplo, descripciones </w:t>
      </w:r>
      <w:proofErr w:type="spellStart"/>
      <w:r>
        <w:rPr>
          <w:rFonts w:eastAsia="Georgia" w:hAnsi="Georgia" w:cs="Georgia"/>
          <w:color w:val="000000"/>
        </w:rPr>
        <w:t>ConOps</w:t>
      </w:r>
      <w:proofErr w:type="spellEnd"/>
      <w:r>
        <w:rPr>
          <w:rFonts w:eastAsia="Georgia" w:hAnsi="Georgia" w:cs="Georgia"/>
          <w:color w:val="000000"/>
        </w:rPr>
        <w:t xml:space="preserve"> o de arquitectura) actúan como restricciones de </w:t>
      </w:r>
      <w:proofErr w:type="gramStart"/>
      <w:r>
        <w:rPr>
          <w:rFonts w:eastAsia="Georgia" w:hAnsi="Georgia" w:cs="Georgia"/>
          <w:color w:val="000000"/>
        </w:rPr>
        <w:t>facto</w:t>
      </w:r>
      <w:proofErr w:type="gramEnd"/>
      <w:r>
        <w:rPr>
          <w:rFonts w:eastAsia="Georgia" w:hAnsi="Georgia" w:cs="Georgia"/>
          <w:color w:val="000000"/>
        </w:rPr>
        <w:t xml:space="preserve"> pero no tienen ID de requisito (por ejemplo, que el e‑stop debe asegurar detención ≤500 ms se menciona en la descripción del IBD como cumplimiento de PROP‑REQ‑002, pero sin ver el requisito formal puede haber discrepancias).</w:t>
      </w:r>
      <w:bookmarkStart w:id="37" w:name="fnref1_32"/>
      <w:bookmarkEnd w:id="3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8F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Según 29148, los requisitos deben ser:</w:t>
      </w:r>
    </w:p>
    <w:p w14:paraId="08145690" w14:textId="77777777" w:rsidR="00ED69E2" w:rsidRDefault="00AA39A1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Claros y no ambiguos: la mayoría lo son cuando aparecen, pero los TBD y expresiones como “cuando aplique”, “representativo”, “suficiente” sin parámetros cuantitativos son ambiguos.</w:t>
      </w:r>
      <w:bookmarkStart w:id="38" w:name="fnref1_33"/>
      <w:bookmarkEnd w:id="3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91" w14:textId="77777777" w:rsidR="00ED69E2" w:rsidRDefault="00AA39A1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Verificables: cada requisito debe permitir un método T/A/D/I definido; aquí existen matrices de verificación, pero algunos parámetros cuantitativos faltan o están distribuidos en el texto en vez de estar concentrados en §11.3.</w:t>
      </w:r>
      <w:bookmarkStart w:id="39" w:name="fnref1_34"/>
      <w:bookmarkEnd w:id="3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92" w14:textId="77777777" w:rsidR="00ED69E2" w:rsidRDefault="00AA39A1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Consistentes: no se observan contradicciones evidentes, pero la coexistencia de definiciones “conceptuales” (Luna/Marte) y entorno de aceptación (sitio análogo) podría inducir confusión si </w:t>
      </w:r>
      <w:r>
        <w:rPr>
          <w:rFonts w:eastAsia="Georgia" w:hAnsi="Georgia" w:cs="Georgia"/>
          <w:color w:val="000000"/>
        </w:rPr>
        <w:lastRenderedPageBreak/>
        <w:t>no se enlaza siempre explícitamente a requisitos que usan solo el entorno análogo como criterio de aceptación.</w:t>
      </w:r>
      <w:bookmarkStart w:id="40" w:name="fnref1_35"/>
      <w:bookmarkEnd w:id="4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93" w14:textId="77777777" w:rsidR="00ED69E2" w:rsidRDefault="00AA39A1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Trazables: hay estrategia de trazabilidad y matrices, pero no se ve (en los fragmentos) una matriz completa 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 xml:space="preserve"> ↔ </w:t>
      </w:r>
      <w:proofErr w:type="spellStart"/>
      <w:r>
        <w:rPr>
          <w:rFonts w:eastAsia="Georgia" w:hAnsi="Georgia" w:cs="Georgia"/>
          <w:color w:val="000000"/>
        </w:rPr>
        <w:t>ConOps</w:t>
      </w:r>
      <w:proofErr w:type="spellEnd"/>
      <w:r>
        <w:rPr>
          <w:rFonts w:eastAsia="Georgia" w:hAnsi="Georgia" w:cs="Georgia"/>
          <w:color w:val="000000"/>
        </w:rPr>
        <w:t xml:space="preserve"> ↔ arquitectura ↔ V&amp;V para todos los requisitos, solo ejemplos parciales.</w:t>
      </w:r>
      <w:bookmarkStart w:id="41" w:name="fnref1_36"/>
      <w:bookmarkEnd w:id="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94" w14:textId="77777777" w:rsidR="00ED69E2" w:rsidRDefault="00AA39A1">
      <w:pPr>
        <w:spacing w:before="315" w:after="105" w:line="360" w:lineRule="auto"/>
        <w:ind w:left="-30"/>
      </w:pPr>
      <w:bookmarkStart w:id="42" w:name="bm_3_2_cobertura_funcional_y_no_f_b4adc4"/>
      <w:r>
        <w:rPr>
          <w:rFonts w:eastAsia="Georgia" w:hAnsi="Georgia" w:cs="Georgia"/>
          <w:b/>
          <w:color w:val="000000"/>
          <w:sz w:val="24"/>
        </w:rPr>
        <w:t>3.2 Cobertura funcional y no funcional</w:t>
      </w:r>
      <w:bookmarkEnd w:id="42"/>
    </w:p>
    <w:p w14:paraId="08145695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Cobertura funcional:</w:t>
      </w:r>
    </w:p>
    <w:p w14:paraId="08145696" w14:textId="77777777" w:rsidR="00ED69E2" w:rsidRDefault="00AA39A1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Funcionalidades principales (UC‑01, UC‑02… UC‑05) están definidas narrativamente y con modelos (actividad, estados). UC‑01 está muy bien desarrollado y se reconoce explícitamente como núcleo.</w:t>
      </w:r>
      <w:bookmarkStart w:id="43" w:name="fnref1_37"/>
      <w:bookmarkEnd w:id="4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97" w14:textId="77777777" w:rsidR="00ED69E2" w:rsidRDefault="00AA39A1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Existe una clasificación de requisitos funcionales “por subsistema” (11.1.x) y “System </w:t>
      </w:r>
      <w:proofErr w:type="spellStart"/>
      <w:r>
        <w:rPr>
          <w:rFonts w:eastAsia="Georgia" w:hAnsi="Georgia" w:cs="Georgia"/>
          <w:color w:val="000000"/>
        </w:rPr>
        <w:t>Functional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Requirements</w:t>
      </w:r>
      <w:proofErr w:type="spellEnd"/>
      <w:r>
        <w:rPr>
          <w:rFonts w:eastAsia="Georgia" w:hAnsi="Georgia" w:cs="Georgia"/>
          <w:color w:val="000000"/>
        </w:rPr>
        <w:t xml:space="preserve"> (Definición Maestra)” (11.2), que aún no vemos en detalle, pero se les hace referencia en arquitectura </w:t>
      </w:r>
      <w:proofErr w:type="spellStart"/>
      <w:r>
        <w:rPr>
          <w:rFonts w:eastAsia="Georgia" w:hAnsi="Georgia" w:cs="Georgia"/>
          <w:color w:val="000000"/>
        </w:rPr>
        <w:t>y</w:t>
      </w:r>
      <w:proofErr w:type="spellEnd"/>
      <w:r>
        <w:rPr>
          <w:rFonts w:eastAsia="Georgia" w:hAnsi="Georgia" w:cs="Georgia"/>
          <w:color w:val="000000"/>
        </w:rPr>
        <w:t xml:space="preserve"> interfaces.</w:t>
      </w:r>
      <w:bookmarkStart w:id="44" w:name="fnref1_38"/>
      <w:bookmarkEnd w:id="4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98" w14:textId="77777777" w:rsidR="00ED69E2" w:rsidRDefault="00AA39A1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La cobertura de interfaces funcionales (Rover–GCS, entorno, COMMS, C&amp;DH, GNC, EPS, STR, TRAC, PROP) se apoya en el IBD y la matriz N2, lo que da buena cobertura de las interacciones.</w:t>
      </w:r>
      <w:bookmarkStart w:id="45" w:name="fnref1_39"/>
      <w:bookmarkEnd w:id="4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99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Cobertura no funcional:</w:t>
      </w:r>
    </w:p>
    <w:p w14:paraId="0814569A" w14:textId="77777777" w:rsidR="00ED69E2" w:rsidRDefault="00AA39A1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Desempeño: se mencionan RNF‑001 (latencia ≤ 2 s por ciclo de agente), RNF‑002 (resiliencia de recuperación), slip &gt; 20% como umbral de contingencia, pendientes hasta 20°, etc., pero muchos valores están como ejemplo operativo o concepto, sin que quede claro si son requisitos normativos o simplemente parámetros de campaña.</w:t>
      </w:r>
      <w:bookmarkStart w:id="46" w:name="fnref1_40"/>
      <w:bookmarkEnd w:id="4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9B" w14:textId="77777777" w:rsidR="00ED69E2" w:rsidRDefault="00AA39A1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Seguridad y protección: se habla de e‑stop con detención ≤ 500 ms, protecciones eléctricas (BMS, fusibles, TVS), modos </w:t>
      </w:r>
      <w:proofErr w:type="spellStart"/>
      <w:r>
        <w:rPr>
          <w:rFonts w:eastAsia="Georgia" w:hAnsi="Georgia" w:cs="Georgia"/>
          <w:color w:val="000000"/>
        </w:rPr>
        <w:t>SafeMode</w:t>
      </w:r>
      <w:proofErr w:type="spellEnd"/>
      <w:r>
        <w:rPr>
          <w:rFonts w:eastAsia="Georgia" w:hAnsi="Georgia" w:cs="Georgia"/>
          <w:color w:val="000000"/>
        </w:rPr>
        <w:t xml:space="preserve"> y </w:t>
      </w:r>
      <w:proofErr w:type="spellStart"/>
      <w:r>
        <w:rPr>
          <w:rFonts w:eastAsia="Georgia" w:hAnsi="Georgia" w:cs="Georgia"/>
          <w:color w:val="000000"/>
        </w:rPr>
        <w:t>HomingRetreat</w:t>
      </w:r>
      <w:proofErr w:type="spellEnd"/>
      <w:r>
        <w:rPr>
          <w:rFonts w:eastAsia="Georgia" w:hAnsi="Georgia" w:cs="Georgia"/>
          <w:color w:val="000000"/>
        </w:rPr>
        <w:t>, FDIR, etc.; sin embargo, los requisitos de seguridad están más dispersos en arquitectura que en una lista central RNF/CON.</w:t>
      </w:r>
      <w:bookmarkStart w:id="47" w:name="fnref1_41"/>
      <w:bookmarkEnd w:id="4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9C" w14:textId="77777777" w:rsidR="00ED69E2" w:rsidRDefault="00AA39A1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Confiabilidad y disponibilidad: se mencionan políticas de reintentos, </w:t>
      </w:r>
      <w:proofErr w:type="spellStart"/>
      <w:proofErr w:type="gramStart"/>
      <w:r>
        <w:rPr>
          <w:rFonts w:eastAsia="Georgia" w:hAnsi="Georgia" w:cs="Georgia"/>
          <w:color w:val="000000"/>
        </w:rPr>
        <w:t>link</w:t>
      </w:r>
      <w:proofErr w:type="gramEnd"/>
      <w:r>
        <w:rPr>
          <w:rFonts w:eastAsia="Georgia" w:hAnsi="Georgia" w:cs="Georgia"/>
          <w:color w:val="000000"/>
        </w:rPr>
        <w:t>_lost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proofErr w:type="gramStart"/>
      <w:r>
        <w:rPr>
          <w:rFonts w:eastAsia="Georgia" w:hAnsi="Georgia" w:cs="Georgia"/>
          <w:color w:val="000000"/>
        </w:rPr>
        <w:t>link</w:t>
      </w:r>
      <w:proofErr w:type="gramEnd"/>
      <w:r>
        <w:rPr>
          <w:rFonts w:eastAsia="Georgia" w:hAnsi="Georgia" w:cs="Georgia"/>
          <w:color w:val="000000"/>
        </w:rPr>
        <w:t>_restored</w:t>
      </w:r>
      <w:proofErr w:type="spellEnd"/>
      <w:r>
        <w:rPr>
          <w:rFonts w:eastAsia="Georgia" w:hAnsi="Georgia" w:cs="Georgia"/>
          <w:color w:val="000000"/>
        </w:rPr>
        <w:t>, eventos de fallo crítico, pero no se ven aún requisitos cuantitativos de confiabilidad (MTBF, disponibilidad mínima de enlace o misión, etc.), algo que 29148 recomienda cuando sea relevante.</w:t>
      </w:r>
      <w:bookmarkStart w:id="48" w:name="fnref1_42"/>
      <w:bookmarkEnd w:id="4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9D" w14:textId="77777777" w:rsidR="00ED69E2" w:rsidRDefault="00AA39A1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Usabilidad: se describe la clase de usuario, necesidades de visibilidad de estado, etc., pero faltan requisitos explícitos de interfaz de usuario (por ejemplo, formatos de telemetría, claridad de mensajes, o límites de complejidad de comandos) más allá de la definición lógica del enlace.</w:t>
      </w:r>
      <w:bookmarkStart w:id="49" w:name="fnref1_43"/>
      <w:bookmarkEnd w:id="4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9E" w14:textId="77777777" w:rsidR="00ED69E2" w:rsidRDefault="00AA39A1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Mantenibilidad: se mencionan configuración por “</w:t>
      </w:r>
      <w:proofErr w:type="spellStart"/>
      <w:r>
        <w:rPr>
          <w:rFonts w:eastAsia="Georgia" w:hAnsi="Georgia" w:cs="Georgia"/>
          <w:color w:val="000000"/>
        </w:rPr>
        <w:t>config</w:t>
      </w:r>
      <w:proofErr w:type="spellEnd"/>
      <w:r>
        <w:rPr>
          <w:rFonts w:eastAsia="Georgia" w:hAnsi="Georgia" w:cs="Georgia"/>
          <w:color w:val="000000"/>
        </w:rPr>
        <w:t xml:space="preserve"> files”, parámetros de campaña, etc., pero no hay requisitos claros de mantenibilidad (tiempos de diagnóstico, facilidad de actualización de software, etc.).</w:t>
      </w:r>
      <w:bookmarkStart w:id="50" w:name="fnref1_44"/>
      <w:bookmarkEnd w:id="5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9F" w14:textId="77777777" w:rsidR="00ED69E2" w:rsidRDefault="00AA39A1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Requisitos regulatorios/normativos: el documento referencia ISO 29148, NASA SE </w:t>
      </w:r>
      <w:proofErr w:type="spellStart"/>
      <w:r>
        <w:rPr>
          <w:rFonts w:eastAsia="Georgia" w:hAnsi="Georgia" w:cs="Georgia"/>
          <w:color w:val="000000"/>
        </w:rPr>
        <w:t>Handbook</w:t>
      </w:r>
      <w:proofErr w:type="spellEnd"/>
      <w:r>
        <w:rPr>
          <w:rFonts w:eastAsia="Georgia" w:hAnsi="Georgia" w:cs="Georgia"/>
          <w:color w:val="000000"/>
        </w:rPr>
        <w:t>, CSP y consideraciones de protección planetaria; sin embargo, no se ve un listado explícito de requisitos de cumplimiento derivados (por ejemplo, “el sistema SHALL cumplir con… según referencia X”), sino más bien citas contextuales.</w:t>
      </w:r>
      <w:bookmarkStart w:id="51" w:name="fnref1_45"/>
      <w:bookmarkEnd w:id="5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A0" w14:textId="77777777" w:rsidR="00ED69E2" w:rsidRDefault="00AA39A1">
      <w:pPr>
        <w:spacing w:before="315" w:after="105" w:line="360" w:lineRule="auto"/>
        <w:ind w:left="-30"/>
      </w:pPr>
      <w:bookmarkStart w:id="52" w:name="bm_3_3_ejemplos_de_problemas_concretos"/>
      <w:r>
        <w:rPr>
          <w:rFonts w:eastAsia="Georgia" w:hAnsi="Georgia" w:cs="Georgia"/>
          <w:b/>
          <w:color w:val="000000"/>
          <w:sz w:val="24"/>
        </w:rPr>
        <w:t>3.3 Ejemplos de problemas concretos</w:t>
      </w:r>
      <w:bookmarkEnd w:id="52"/>
    </w:p>
    <w:p w14:paraId="081456A1" w14:textId="77777777" w:rsidR="00ED69E2" w:rsidRDefault="00AA39A1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Uso de TBD en requisitos implícitos:</w:t>
      </w:r>
    </w:p>
    <w:p w14:paraId="081456A2" w14:textId="77777777" w:rsidR="00ED69E2" w:rsidRDefault="00AA39A1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Guardas como </w:t>
      </w:r>
      <w:proofErr w:type="spellStart"/>
      <w:r>
        <w:rPr>
          <w:rFonts w:eastAsia="Georgia" w:hAnsi="Georgia" w:cs="Georgia"/>
          <w:color w:val="000000"/>
        </w:rPr>
        <w:t>severity_allows_retreat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retry_allowed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timeouts</w:t>
      </w:r>
      <w:proofErr w:type="spellEnd"/>
      <w:r>
        <w:rPr>
          <w:rFonts w:eastAsia="Georgia" w:hAnsi="Georgia" w:cs="Georgia"/>
          <w:color w:val="000000"/>
        </w:rPr>
        <w:t xml:space="preserve"> de enlace, etc., están “TBD” y solo descritas en el diccionario de eventos.</w:t>
      </w:r>
      <w:bookmarkStart w:id="53" w:name="fnref1_46"/>
      <w:bookmarkEnd w:id="5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A3" w14:textId="77777777" w:rsidR="00ED69E2" w:rsidRDefault="00AA39A1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Esto rompe verificabilidad y estabilidad de requisitos; hasta que se fijen valores, no se puede planificar plenamente V&amp;V.</w:t>
      </w:r>
    </w:p>
    <w:p w14:paraId="081456A4" w14:textId="77777777" w:rsidR="00ED69E2" w:rsidRDefault="00AA39A1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Mezcla de niveles de diseño:</w:t>
      </w:r>
    </w:p>
    <w:p w14:paraId="081456A5" w14:textId="77777777" w:rsidR="00ED69E2" w:rsidRDefault="00AA39A1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Algunos “requisitos” especifican componentes concretos (p. ej., motores NFP‑5840‑31ZY‑EN, Raspberry Pi 5, Arduino Mega, PLA MAX) y se justifican como parte del 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>.</w:t>
      </w:r>
      <w:bookmarkStart w:id="54" w:name="fnref1_47"/>
      <w:bookmarkEnd w:id="5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A6" w14:textId="77777777" w:rsidR="00ED69E2" w:rsidRDefault="00AA39A1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Para un 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>, 29148 recomienda que los requisitos del sistema se centren en “qué” debe hacer el sistema; decisiones de “cómo” (componentes concretos) se documentan como restricciones justificadas, no como requisitos funcionales, a menos que exista una justificación explícita (p.ej., COTS obligatorio).</w:t>
      </w:r>
    </w:p>
    <w:p w14:paraId="081456A7" w14:textId="77777777" w:rsidR="00ED69E2" w:rsidRDefault="00AA39A1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Requisitos “escondidos” en texto de arquitectura:</w:t>
      </w:r>
    </w:p>
    <w:p w14:paraId="081456A8" w14:textId="77777777" w:rsidR="00ED69E2" w:rsidRDefault="00AA39A1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Por ejemplo, que determinados canales deben estar segmentados con fusibles por rama y curvas de </w:t>
      </w:r>
      <w:proofErr w:type="spellStart"/>
      <w:r>
        <w:rPr>
          <w:rFonts w:eastAsia="Georgia" w:hAnsi="Georgia" w:cs="Georgia"/>
          <w:color w:val="000000"/>
        </w:rPr>
        <w:t>derating</w:t>
      </w:r>
      <w:proofErr w:type="spellEnd"/>
      <w:r>
        <w:rPr>
          <w:rFonts w:eastAsia="Georgia" w:hAnsi="Georgia" w:cs="Georgia"/>
          <w:color w:val="000000"/>
        </w:rPr>
        <w:t>, que la PDU implementará segmentación, que las políticas de load‑</w:t>
      </w:r>
      <w:proofErr w:type="spellStart"/>
      <w:r>
        <w:rPr>
          <w:rFonts w:eastAsia="Georgia" w:hAnsi="Georgia" w:cs="Georgia"/>
          <w:color w:val="000000"/>
        </w:rPr>
        <w:t>shed</w:t>
      </w:r>
      <w:proofErr w:type="spellEnd"/>
      <w:r>
        <w:rPr>
          <w:rFonts w:eastAsia="Georgia" w:hAnsi="Georgia" w:cs="Georgia"/>
          <w:color w:val="000000"/>
        </w:rPr>
        <w:t xml:space="preserve"> deben cortar servicios en cierto orden, etc., son requisitos de diseño importantes que deberían aparecer como CON‑REQ‑XXX o EPS‑REQ‑XXX en §11.4.</w:t>
      </w:r>
      <w:bookmarkStart w:id="55" w:name="fnref1_48"/>
      <w:bookmarkEnd w:id="5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D23FA81" w14:textId="77777777" w:rsidR="000520CA" w:rsidRDefault="000520CA" w:rsidP="000520CA">
      <w:pPr>
        <w:spacing w:before="105" w:after="105" w:line="360" w:lineRule="auto"/>
        <w:ind w:left="1080"/>
      </w:pPr>
    </w:p>
    <w:p w14:paraId="5613601B" w14:textId="77777777" w:rsidR="000520CA" w:rsidRDefault="000520CA" w:rsidP="000520CA">
      <w:pPr>
        <w:spacing w:before="105" w:after="105" w:line="360" w:lineRule="auto"/>
        <w:ind w:left="1080"/>
      </w:pPr>
    </w:p>
    <w:p w14:paraId="2564B42A" w14:textId="77777777" w:rsidR="000520CA" w:rsidRDefault="000520CA" w:rsidP="000520CA">
      <w:pPr>
        <w:spacing w:before="105" w:after="105" w:line="360" w:lineRule="auto"/>
        <w:ind w:left="1080"/>
      </w:pPr>
    </w:p>
    <w:p w14:paraId="58DD919A" w14:textId="77777777" w:rsidR="000520CA" w:rsidRDefault="000520CA" w:rsidP="000520CA">
      <w:pPr>
        <w:spacing w:before="105" w:after="105" w:line="360" w:lineRule="auto"/>
        <w:ind w:left="1080"/>
      </w:pPr>
    </w:p>
    <w:p w14:paraId="081456A9" w14:textId="77777777" w:rsidR="00ED69E2" w:rsidRDefault="00AA39A1">
      <w:pPr>
        <w:spacing w:before="315" w:after="105" w:line="360" w:lineRule="auto"/>
        <w:ind w:left="-30"/>
      </w:pPr>
      <w:bookmarkStart w:id="56" w:name="bm_4_lista_priorizada_de_mejoras"/>
      <w:r>
        <w:rPr>
          <w:rFonts w:eastAsia="Georgia" w:hAnsi="Georgia" w:cs="Georgia"/>
          <w:b/>
          <w:color w:val="000000"/>
          <w:sz w:val="24"/>
        </w:rPr>
        <w:lastRenderedPageBreak/>
        <w:t xml:space="preserve">4. </w:t>
      </w:r>
      <w:r>
        <w:rPr>
          <w:rFonts w:eastAsia="Georgia" w:hAnsi="Georgia" w:cs="Georgia"/>
          <w:b/>
          <w:color w:val="000000"/>
          <w:sz w:val="24"/>
        </w:rPr>
        <w:t>Lista priorizada de mejoras</w:t>
      </w:r>
      <w:bookmarkEnd w:id="56"/>
    </w:p>
    <w:p w14:paraId="081456AA" w14:textId="77777777" w:rsidR="00ED69E2" w:rsidRDefault="00AA39A1">
      <w:pPr>
        <w:numPr>
          <w:ilvl w:val="0"/>
          <w:numId w:val="10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Cerrar los TBD y formalizar parámetros cuantitativos en §11.3</w:t>
      </w:r>
    </w:p>
    <w:p w14:paraId="081456AB" w14:textId="77777777" w:rsidR="00ED69E2" w:rsidRDefault="00AA39A1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Prioritario porque impacta directamente en verificabilidad y planificación de V&amp;V.</w:t>
      </w:r>
    </w:p>
    <w:p w14:paraId="081456AC" w14:textId="77777777" w:rsidR="00ED69E2" w:rsidRDefault="00AA39A1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Incluir en la sección de Performance &amp; Non‑</w:t>
      </w:r>
      <w:proofErr w:type="spellStart"/>
      <w:r>
        <w:rPr>
          <w:rFonts w:eastAsia="Georgia" w:hAnsi="Georgia" w:cs="Georgia"/>
          <w:color w:val="000000"/>
        </w:rPr>
        <w:t>Functional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Requirements</w:t>
      </w:r>
      <w:proofErr w:type="spellEnd"/>
      <w:r>
        <w:rPr>
          <w:rFonts w:eastAsia="Georgia" w:hAnsi="Georgia" w:cs="Georgia"/>
          <w:color w:val="000000"/>
        </w:rPr>
        <w:t xml:space="preserve"> los tiempos de latencia, umbrales de slip, políticas de reintento, </w:t>
      </w:r>
      <w:proofErr w:type="spellStart"/>
      <w:r>
        <w:rPr>
          <w:rFonts w:eastAsia="Georgia" w:hAnsi="Georgia" w:cs="Georgia"/>
          <w:color w:val="000000"/>
        </w:rPr>
        <w:t>timeouts</w:t>
      </w:r>
      <w:proofErr w:type="spellEnd"/>
      <w:r>
        <w:rPr>
          <w:rFonts w:eastAsia="Georgia" w:hAnsi="Georgia" w:cs="Georgia"/>
          <w:color w:val="000000"/>
        </w:rPr>
        <w:t xml:space="preserve"> de enlace, criterios de severidad, etc., cada uno con ID y método de verificación.</w:t>
      </w:r>
      <w:bookmarkStart w:id="57" w:name="fnref1_49"/>
      <w:bookmarkEnd w:id="5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AD" w14:textId="77777777" w:rsidR="00ED69E2" w:rsidRDefault="00AA39A1">
      <w:pPr>
        <w:numPr>
          <w:ilvl w:val="0"/>
          <w:numId w:val="10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Separar nítidamente </w:t>
      </w:r>
      <w:proofErr w:type="spellStart"/>
      <w:r>
        <w:rPr>
          <w:rFonts w:eastAsia="Georgia" w:hAnsi="Georgia" w:cs="Georgia"/>
          <w:b/>
          <w:color w:val="000000"/>
        </w:rPr>
        <w:t>SyRS</w:t>
      </w:r>
      <w:proofErr w:type="spellEnd"/>
      <w:r>
        <w:rPr>
          <w:rFonts w:eastAsia="Georgia" w:hAnsi="Georgia" w:cs="Georgia"/>
          <w:b/>
          <w:color w:val="000000"/>
        </w:rPr>
        <w:t xml:space="preserve"> y SRS (o al menos secciones </w:t>
      </w:r>
      <w:proofErr w:type="spellStart"/>
      <w:r>
        <w:rPr>
          <w:rFonts w:eastAsia="Georgia" w:hAnsi="Georgia" w:cs="Georgia"/>
          <w:b/>
          <w:color w:val="000000"/>
        </w:rPr>
        <w:t>auto‑contenidas</w:t>
      </w:r>
      <w:proofErr w:type="spellEnd"/>
      <w:r>
        <w:rPr>
          <w:rFonts w:eastAsia="Georgia" w:hAnsi="Georgia" w:cs="Georgia"/>
          <w:b/>
          <w:color w:val="000000"/>
        </w:rPr>
        <w:t>)</w:t>
      </w:r>
    </w:p>
    <w:p w14:paraId="081456AE" w14:textId="77777777" w:rsidR="00ED69E2" w:rsidRDefault="00AA39A1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Mantener un capítulo claramente etiquetado como “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 xml:space="preserve"> – System‑Level </w:t>
      </w:r>
      <w:proofErr w:type="spellStart"/>
      <w:r>
        <w:rPr>
          <w:rFonts w:eastAsia="Georgia" w:hAnsi="Georgia" w:cs="Georgia"/>
          <w:color w:val="000000"/>
        </w:rPr>
        <w:t>Requirements</w:t>
      </w:r>
      <w:proofErr w:type="spellEnd"/>
      <w:r>
        <w:rPr>
          <w:rFonts w:eastAsia="Georgia" w:hAnsi="Georgia" w:cs="Georgia"/>
          <w:color w:val="000000"/>
        </w:rPr>
        <w:t xml:space="preserve">” y otro como “SRS – Software‑Level </w:t>
      </w:r>
      <w:proofErr w:type="spellStart"/>
      <w:r>
        <w:rPr>
          <w:rFonts w:eastAsia="Georgia" w:hAnsi="Georgia" w:cs="Georgia"/>
          <w:color w:val="000000"/>
        </w:rPr>
        <w:t>Requirements</w:t>
      </w:r>
      <w:proofErr w:type="spellEnd"/>
      <w:r>
        <w:rPr>
          <w:rFonts w:eastAsia="Georgia" w:hAnsi="Georgia" w:cs="Georgia"/>
          <w:color w:val="000000"/>
        </w:rPr>
        <w:t xml:space="preserve">”, ligados por </w:t>
      </w:r>
      <w:proofErr w:type="gramStart"/>
      <w:r>
        <w:rPr>
          <w:rFonts w:eastAsia="Georgia" w:hAnsi="Georgia" w:cs="Georgia"/>
          <w:color w:val="000000"/>
        </w:rPr>
        <w:t>trazabilidad</w:t>
      </w:r>
      <w:proofErr w:type="gramEnd"/>
      <w:r>
        <w:rPr>
          <w:rFonts w:eastAsia="Georgia" w:hAnsi="Georgia" w:cs="Georgia"/>
          <w:color w:val="000000"/>
        </w:rPr>
        <w:t xml:space="preserve"> pero sin mezclar contenidos.</w:t>
      </w:r>
      <w:bookmarkStart w:id="58" w:name="fnref1_50"/>
      <w:bookmarkEnd w:id="5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AF" w14:textId="77777777" w:rsidR="00ED69E2" w:rsidRDefault="00AA39A1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Facilita a equipos hardware vs software y se alinea mejor con 29148 y prácticas NASA.</w:t>
      </w:r>
    </w:p>
    <w:p w14:paraId="081456B0" w14:textId="77777777" w:rsidR="00ED69E2" w:rsidRDefault="00AA39A1">
      <w:pPr>
        <w:numPr>
          <w:ilvl w:val="0"/>
          <w:numId w:val="10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Extraer y consolidar todos los requisitos RF/RNF/CON dispersos en arquitectura/</w:t>
      </w:r>
      <w:proofErr w:type="spellStart"/>
      <w:r>
        <w:rPr>
          <w:rFonts w:eastAsia="Georgia" w:hAnsi="Georgia" w:cs="Georgia"/>
          <w:b/>
          <w:color w:val="000000"/>
        </w:rPr>
        <w:t>ConOps</w:t>
      </w:r>
      <w:proofErr w:type="spellEnd"/>
      <w:r>
        <w:rPr>
          <w:rFonts w:eastAsia="Georgia" w:hAnsi="Georgia" w:cs="Georgia"/>
          <w:b/>
          <w:color w:val="000000"/>
        </w:rPr>
        <w:t xml:space="preserve"> hacia §11</w:t>
      </w:r>
    </w:p>
    <w:p w14:paraId="081456B1" w14:textId="77777777" w:rsidR="00ED69E2" w:rsidRDefault="00AA39A1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Recorrer secciones 4–9 y transformar afirmaciones prescriptivas en requisitos explícitos, con ID, texto normativo (SHALL) y atributos.</w:t>
      </w:r>
      <w:bookmarkStart w:id="59" w:name="fnref1_51"/>
      <w:bookmarkEnd w:id="5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B2" w14:textId="77777777" w:rsidR="00ED69E2" w:rsidRDefault="00AA39A1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Ejemplo: lo que hoy se menciona como “se añade un canal de e‑stop cableado … para garantizar detención ≤500 ms conforme a PROP‑REQ‑002” debe tener en §11 el requisito textual PROP‑REQ‑002.</w:t>
      </w:r>
    </w:p>
    <w:p w14:paraId="081456B3" w14:textId="77777777" w:rsidR="00ED69E2" w:rsidRDefault="00AA39A1">
      <w:pPr>
        <w:numPr>
          <w:ilvl w:val="0"/>
          <w:numId w:val="10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Refinar la clasificación de requisitos (funcionales vs diseño vs restricciones) y reducir “</w:t>
      </w:r>
      <w:proofErr w:type="spellStart"/>
      <w:r>
        <w:rPr>
          <w:rFonts w:eastAsia="Georgia" w:hAnsi="Georgia" w:cs="Georgia"/>
          <w:b/>
          <w:color w:val="000000"/>
        </w:rPr>
        <w:t>sobre‑especificación</w:t>
      </w:r>
      <w:proofErr w:type="spellEnd"/>
      <w:r>
        <w:rPr>
          <w:rFonts w:eastAsia="Georgia" w:hAnsi="Georgia" w:cs="Georgia"/>
          <w:b/>
          <w:color w:val="000000"/>
        </w:rPr>
        <w:t>” de componentes</w:t>
      </w:r>
    </w:p>
    <w:p w14:paraId="081456B4" w14:textId="77777777" w:rsidR="00ED69E2" w:rsidRDefault="00AA39A1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Definir explícitamente qué parte del uso de Raspberry Pi 5, Arduino Mega, PLA MAX, motores concretos, etc., es requisito de sistema (restricción de COTS o plataforma académica) y qué es una decisión de diseño.</w:t>
      </w:r>
      <w:bookmarkStart w:id="60" w:name="fnref1_52"/>
      <w:bookmarkEnd w:id="6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B5" w14:textId="77777777" w:rsidR="00ED69E2" w:rsidRDefault="00AA39A1">
      <w:pPr>
        <w:numPr>
          <w:ilvl w:val="0"/>
          <w:numId w:val="10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Reforzar requisitos no funcionales de seguridad, confiabilidad, usabilidad y mantenibilidad</w:t>
      </w:r>
    </w:p>
    <w:p w14:paraId="081456B6" w14:textId="77777777" w:rsidR="00ED69E2" w:rsidRDefault="00AA39A1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Derivar de la </w:t>
      </w:r>
      <w:proofErr w:type="spellStart"/>
      <w:r>
        <w:rPr>
          <w:rFonts w:eastAsia="Georgia" w:hAnsi="Georgia" w:cs="Georgia"/>
          <w:color w:val="000000"/>
        </w:rPr>
        <w:t>ConOps</w:t>
      </w:r>
      <w:proofErr w:type="spellEnd"/>
      <w:r>
        <w:rPr>
          <w:rFonts w:eastAsia="Georgia" w:hAnsi="Georgia" w:cs="Georgia"/>
          <w:color w:val="000000"/>
        </w:rPr>
        <w:t xml:space="preserve"> y de los modos </w:t>
      </w:r>
      <w:proofErr w:type="spellStart"/>
      <w:r>
        <w:rPr>
          <w:rFonts w:eastAsia="Georgia" w:hAnsi="Georgia" w:cs="Georgia"/>
          <w:color w:val="000000"/>
        </w:rPr>
        <w:t>SafeMode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HomingRetreat</w:t>
      </w:r>
      <w:proofErr w:type="spellEnd"/>
      <w:r>
        <w:rPr>
          <w:rFonts w:eastAsia="Georgia" w:hAnsi="Georgia" w:cs="Georgia"/>
          <w:color w:val="000000"/>
        </w:rPr>
        <w:t>: tiempos máximos de detección de fallo, tiempos de transición a modo seguro, prioridades de carga, etc.</w:t>
      </w:r>
      <w:bookmarkStart w:id="61" w:name="fnref1_53"/>
      <w:bookmarkEnd w:id="6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B7" w14:textId="77777777" w:rsidR="00ED69E2" w:rsidRDefault="00AA39A1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Establecer requerimientos de </w:t>
      </w:r>
      <w:proofErr w:type="spellStart"/>
      <w:r>
        <w:rPr>
          <w:rFonts w:eastAsia="Georgia" w:hAnsi="Georgia" w:cs="Georgia"/>
          <w:color w:val="000000"/>
        </w:rPr>
        <w:t>logging</w:t>
      </w:r>
      <w:proofErr w:type="spellEnd"/>
      <w:r>
        <w:rPr>
          <w:rFonts w:eastAsia="Georgia" w:hAnsi="Georgia" w:cs="Georgia"/>
          <w:color w:val="000000"/>
        </w:rPr>
        <w:t>, diagnósticos, facilidad de actualización de software, y requisitos mínimos de interfaz para el Operador/GCS.</w:t>
      </w:r>
    </w:p>
    <w:p w14:paraId="081456B8" w14:textId="77777777" w:rsidR="00ED69E2" w:rsidRDefault="00AA39A1">
      <w:pPr>
        <w:numPr>
          <w:ilvl w:val="0"/>
          <w:numId w:val="10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 xml:space="preserve">Completar y mostrar explícitamente matrices de trazabilidad </w:t>
      </w:r>
      <w:proofErr w:type="spellStart"/>
      <w:r>
        <w:rPr>
          <w:rFonts w:eastAsia="Georgia" w:hAnsi="Georgia" w:cs="Georgia"/>
          <w:b/>
          <w:color w:val="000000"/>
        </w:rPr>
        <w:t>SyRS</w:t>
      </w:r>
      <w:proofErr w:type="spellEnd"/>
      <w:r>
        <w:rPr>
          <w:rFonts w:eastAsia="Georgia" w:hAnsi="Georgia" w:cs="Georgia"/>
          <w:b/>
          <w:color w:val="000000"/>
        </w:rPr>
        <w:t xml:space="preserve"> ↔ </w:t>
      </w:r>
      <w:proofErr w:type="spellStart"/>
      <w:r>
        <w:rPr>
          <w:rFonts w:eastAsia="Georgia" w:hAnsi="Georgia" w:cs="Georgia"/>
          <w:b/>
          <w:color w:val="000000"/>
        </w:rPr>
        <w:t>ConOps</w:t>
      </w:r>
      <w:proofErr w:type="spellEnd"/>
      <w:r>
        <w:rPr>
          <w:rFonts w:eastAsia="Georgia" w:hAnsi="Georgia" w:cs="Georgia"/>
          <w:b/>
          <w:color w:val="000000"/>
        </w:rPr>
        <w:t xml:space="preserve"> ↔ Arquitectura ↔ V&amp;V</w:t>
      </w:r>
    </w:p>
    <w:p w14:paraId="081456B9" w14:textId="77777777" w:rsidR="00ED69E2" w:rsidRDefault="00AA39A1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Ya existe una estrategia de trazabilidad y matrices de verificación (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 xml:space="preserve"> y SRS), pero conviene asegurarse de que cada requisito tiene: origen (caso de uso, escenario, </w:t>
      </w:r>
      <w:proofErr w:type="spellStart"/>
      <w:r>
        <w:rPr>
          <w:rFonts w:eastAsia="Georgia" w:hAnsi="Georgia" w:cs="Georgia"/>
          <w:color w:val="000000"/>
        </w:rPr>
        <w:t>stakeholder</w:t>
      </w:r>
      <w:proofErr w:type="spellEnd"/>
      <w:r>
        <w:rPr>
          <w:rFonts w:eastAsia="Georgia" w:hAnsi="Georgia" w:cs="Georgia"/>
          <w:color w:val="000000"/>
        </w:rPr>
        <w:t>), asignación a subsistema y referencia a casos de prueba.</w:t>
      </w:r>
      <w:bookmarkStart w:id="62" w:name="fnref1_54"/>
      <w:bookmarkEnd w:id="6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BA" w14:textId="77777777" w:rsidR="00ED69E2" w:rsidRDefault="00AA39A1">
      <w:pPr>
        <w:numPr>
          <w:ilvl w:val="0"/>
          <w:numId w:val="10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Introducir una sección/tablas de escenarios operacionales</w:t>
      </w:r>
    </w:p>
    <w:p w14:paraId="081456BB" w14:textId="77777777" w:rsidR="00ED69E2" w:rsidRDefault="00AA39A1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Para UC‑01 y otros casos top‑</w:t>
      </w:r>
      <w:proofErr w:type="spellStart"/>
      <w:r>
        <w:rPr>
          <w:rFonts w:eastAsia="Georgia" w:hAnsi="Georgia" w:cs="Georgia"/>
          <w:color w:val="000000"/>
        </w:rPr>
        <w:t>level</w:t>
      </w:r>
      <w:proofErr w:type="spellEnd"/>
      <w:r>
        <w:rPr>
          <w:rFonts w:eastAsia="Georgia" w:hAnsi="Georgia" w:cs="Georgia"/>
          <w:color w:val="000000"/>
        </w:rPr>
        <w:t>, listar escenarios nominales y de contingencia (p.ej., “Exploración con alta latencia”, “Slip extremo”, “Pérdida de enlace prolongada”) con referencia a requisitos que garantizan comportamiento correcto.</w:t>
      </w:r>
      <w:bookmarkStart w:id="63" w:name="fnref1_55"/>
      <w:bookmarkEnd w:id="6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BC" w14:textId="77777777" w:rsidR="00ED69E2" w:rsidRDefault="00AA39A1">
      <w:pPr>
        <w:spacing w:before="315" w:after="105" w:line="360" w:lineRule="auto"/>
        <w:ind w:left="-30"/>
      </w:pPr>
      <w:bookmarkStart w:id="64" w:name="bm_5_ejemplos_concretos_de_requis_4c06c6"/>
      <w:r>
        <w:rPr>
          <w:rFonts w:eastAsia="Georgia" w:hAnsi="Georgia" w:cs="Georgia"/>
          <w:b/>
          <w:color w:val="000000"/>
          <w:sz w:val="24"/>
        </w:rPr>
        <w:t>5. Ejemplos concretos de requisitos mejorados</w:t>
      </w:r>
      <w:bookmarkEnd w:id="64"/>
    </w:p>
    <w:p w14:paraId="081456BD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A partir del estilo actual del documento, aquí hay ejemplos de cómo reforzar requisitos siguiendo 29148:</w:t>
      </w:r>
    </w:p>
    <w:p w14:paraId="081456BE" w14:textId="77777777" w:rsidR="00ED69E2" w:rsidRDefault="00AA39A1">
      <w:pPr>
        <w:spacing w:before="315" w:after="105" w:line="360" w:lineRule="auto"/>
        <w:ind w:left="-30"/>
      </w:pPr>
      <w:bookmarkStart w:id="65" w:name="bm_5_1_requisito_de_latencia_de_c_d41e2d"/>
      <w:r>
        <w:rPr>
          <w:rFonts w:eastAsia="Georgia" w:hAnsi="Georgia" w:cs="Georgia"/>
          <w:b/>
          <w:color w:val="000000"/>
          <w:sz w:val="24"/>
        </w:rPr>
        <w:t>5.1 Requisito de latencia de ciclo de autonomía (RNF‑001)</w:t>
      </w:r>
      <w:bookmarkEnd w:id="65"/>
    </w:p>
    <w:p w14:paraId="081456BF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Texto implícito actual: “RNF‑001 impone una latencia máxima de procesamiento de ≤2 s por ciclo de agente…”</w:t>
      </w:r>
      <w:bookmarkStart w:id="66" w:name="fnref1_56"/>
      <w:bookmarkEnd w:id="6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C0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Versión mejorada:</w:t>
      </w:r>
    </w:p>
    <w:p w14:paraId="081456C1" w14:textId="77777777" w:rsidR="00ED69E2" w:rsidRDefault="00AA39A1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RNF‑001 – Latencia de ciclo de autonomía</w:t>
      </w:r>
      <w:r>
        <w:rPr>
          <w:rFonts w:eastAsia="Georgia" w:hAnsi="Georgia" w:cs="Georgia"/>
          <w:color w:val="000000"/>
        </w:rPr>
        <w:br/>
        <w:t xml:space="preserve">“El sistema SHALL completar cada ciclo de percepción–planificación–control de </w:t>
      </w:r>
      <w:proofErr w:type="spellStart"/>
      <w:r>
        <w:rPr>
          <w:rFonts w:eastAsia="Georgia" w:hAnsi="Georgia" w:cs="Georgia"/>
          <w:color w:val="000000"/>
        </w:rPr>
        <w:t>ELANav</w:t>
      </w:r>
      <w:proofErr w:type="spellEnd"/>
      <w:r>
        <w:rPr>
          <w:rFonts w:eastAsia="Georgia" w:hAnsi="Georgia" w:cs="Georgia"/>
          <w:color w:val="000000"/>
        </w:rPr>
        <w:t xml:space="preserve"> (desde adquisición de datos sensoriales hasta emisión del comando de actuadores correspondiente) en un tiempo ≤ 2,0 s bajo las condiciones operacionales nominales del sitio análogo definidas en §4.4.”</w:t>
      </w:r>
      <w:r>
        <w:rPr>
          <w:rFonts w:eastAsia="Georgia" w:hAnsi="Georgia" w:cs="Georgia"/>
          <w:color w:val="000000"/>
        </w:rPr>
        <w:br/>
        <w:t xml:space="preserve">Atributos sugeridos: Método de verificación = Test; Prioridad = Alta; Fuente = UC‑01, </w:t>
      </w:r>
      <w:proofErr w:type="spellStart"/>
      <w:r>
        <w:rPr>
          <w:rFonts w:eastAsia="Georgia" w:hAnsi="Georgia" w:cs="Georgia"/>
          <w:color w:val="000000"/>
        </w:rPr>
        <w:t>ConOps</w:t>
      </w:r>
      <w:proofErr w:type="spellEnd"/>
      <w:r>
        <w:rPr>
          <w:rFonts w:eastAsia="Georgia" w:hAnsi="Georgia" w:cs="Georgia"/>
          <w:color w:val="000000"/>
        </w:rPr>
        <w:t xml:space="preserve"> §7.3.7.</w:t>
      </w:r>
      <w:bookmarkStart w:id="67" w:name="fnref1_57"/>
      <w:bookmarkEnd w:id="6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C2" w14:textId="77777777" w:rsidR="00ED69E2" w:rsidRDefault="00AA39A1">
      <w:pPr>
        <w:spacing w:before="315" w:after="105" w:line="360" w:lineRule="auto"/>
        <w:ind w:left="-30"/>
      </w:pPr>
      <w:bookmarkStart w:id="68" w:name="bm_5_2_requisito_de_slip_y_fault_8ab65e"/>
      <w:r>
        <w:rPr>
          <w:rFonts w:eastAsia="Georgia" w:hAnsi="Georgia" w:cs="Georgia"/>
          <w:b/>
          <w:color w:val="000000"/>
          <w:sz w:val="24"/>
        </w:rPr>
        <w:t xml:space="preserve">5.2 Requisito de slip y </w:t>
      </w:r>
      <w:proofErr w:type="spellStart"/>
      <w:r>
        <w:rPr>
          <w:rFonts w:eastAsia="Georgia" w:hAnsi="Georgia" w:cs="Georgia"/>
          <w:b/>
          <w:color w:val="000000"/>
          <w:sz w:val="24"/>
        </w:rPr>
        <w:t>fault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stop (RF‑004, RF‑005)</w:t>
      </w:r>
      <w:bookmarkEnd w:id="68"/>
    </w:p>
    <w:p w14:paraId="081456C3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Texto narrativo actual: slip &gt; 20% dispara contingencias de </w:t>
      </w:r>
      <w:proofErr w:type="spellStart"/>
      <w:r>
        <w:rPr>
          <w:rFonts w:eastAsia="Georgia" w:hAnsi="Georgia" w:cs="Georgia"/>
          <w:color w:val="000000"/>
        </w:rPr>
        <w:t>fault</w:t>
      </w:r>
      <w:proofErr w:type="spellEnd"/>
      <w:r>
        <w:rPr>
          <w:rFonts w:eastAsia="Georgia" w:hAnsi="Georgia" w:cs="Georgia"/>
          <w:color w:val="000000"/>
        </w:rPr>
        <w:t xml:space="preserve"> stop.</w:t>
      </w:r>
      <w:bookmarkStart w:id="69" w:name="fnref1_58"/>
      <w:bookmarkEnd w:id="6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C4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Versión mejorada:</w:t>
      </w:r>
    </w:p>
    <w:p w14:paraId="081456C5" w14:textId="77777777" w:rsidR="00ED69E2" w:rsidRDefault="00AA39A1">
      <w:pPr>
        <w:numPr>
          <w:ilvl w:val="0"/>
          <w:numId w:val="12"/>
        </w:numPr>
        <w:spacing w:after="210" w:line="360" w:lineRule="auto"/>
      </w:pPr>
      <w:r>
        <w:rPr>
          <w:rFonts w:eastAsia="Georgia" w:hAnsi="Georgia" w:cs="Georgia"/>
          <w:color w:val="000000"/>
        </w:rPr>
        <w:t>RF‑004 – Detección de slip</w:t>
      </w:r>
      <w:r>
        <w:rPr>
          <w:rFonts w:eastAsia="Georgia" w:hAnsi="Georgia" w:cs="Georgia"/>
          <w:color w:val="000000"/>
        </w:rPr>
        <w:br/>
        <w:t xml:space="preserve">“El sistema SHALL estimar el slip de locomoción comparando velocidad teórica vs velocidad real </w:t>
      </w:r>
      <w:r>
        <w:rPr>
          <w:rFonts w:eastAsia="Georgia" w:hAnsi="Georgia" w:cs="Georgia"/>
          <w:color w:val="000000"/>
        </w:rPr>
        <w:lastRenderedPageBreak/>
        <w:t>(según §8.2.1.2/§9.5) y SHALL generar un evento de slip alto cuando el slip promedio en un intervalo de 5 s consecutivos exceda 20%.”</w:t>
      </w:r>
    </w:p>
    <w:p w14:paraId="081456C6" w14:textId="77777777" w:rsidR="00ED69E2" w:rsidRDefault="00AA39A1">
      <w:pPr>
        <w:numPr>
          <w:ilvl w:val="0"/>
          <w:numId w:val="12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RF‑005 – </w:t>
      </w:r>
      <w:proofErr w:type="spellStart"/>
      <w:r>
        <w:rPr>
          <w:rFonts w:eastAsia="Georgia" w:hAnsi="Georgia" w:cs="Georgia"/>
          <w:color w:val="000000"/>
        </w:rPr>
        <w:t>Fault</w:t>
      </w:r>
      <w:proofErr w:type="spellEnd"/>
      <w:r>
        <w:rPr>
          <w:rFonts w:eastAsia="Georgia" w:hAnsi="Georgia" w:cs="Georgia"/>
          <w:color w:val="000000"/>
        </w:rPr>
        <w:t xml:space="preserve"> stop por slip alto</w:t>
      </w:r>
      <w:r>
        <w:rPr>
          <w:rFonts w:eastAsia="Georgia" w:hAnsi="Georgia" w:cs="Georgia"/>
          <w:color w:val="000000"/>
        </w:rPr>
        <w:br/>
        <w:t xml:space="preserve">“Al recibir un evento de slip alto, el sistema SHALL detener el movimiento de las ruedas y SHALL transitar al modo </w:t>
      </w:r>
      <w:proofErr w:type="spellStart"/>
      <w:r>
        <w:rPr>
          <w:rFonts w:eastAsia="Georgia" w:hAnsi="Georgia" w:cs="Georgia"/>
          <w:color w:val="000000"/>
        </w:rPr>
        <w:t>HomingRetreat</w:t>
      </w:r>
      <w:proofErr w:type="spellEnd"/>
      <w:r>
        <w:rPr>
          <w:rFonts w:eastAsia="Georgia" w:hAnsi="Georgia" w:cs="Georgia"/>
          <w:color w:val="000000"/>
        </w:rPr>
        <w:t xml:space="preserve"> o </w:t>
      </w:r>
      <w:proofErr w:type="spellStart"/>
      <w:r>
        <w:rPr>
          <w:rFonts w:eastAsia="Georgia" w:hAnsi="Georgia" w:cs="Georgia"/>
          <w:color w:val="000000"/>
        </w:rPr>
        <w:t>SafeMode</w:t>
      </w:r>
      <w:proofErr w:type="spellEnd"/>
      <w:r>
        <w:rPr>
          <w:rFonts w:eastAsia="Georgia" w:hAnsi="Georgia" w:cs="Georgia"/>
          <w:color w:val="000000"/>
        </w:rPr>
        <w:t xml:space="preserve"> según la política de severidad definida, en ≤ 1,0 s desde la detección del evento.”</w:t>
      </w:r>
    </w:p>
    <w:p w14:paraId="081456C7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Ambos quedarían trazados al diagrama de actividad y a la máquina de estados de UC‑01.</w:t>
      </w:r>
      <w:bookmarkStart w:id="70" w:name="fnref1_59"/>
      <w:bookmarkEnd w:id="7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C8" w14:textId="77777777" w:rsidR="00ED69E2" w:rsidRDefault="00AA39A1">
      <w:pPr>
        <w:spacing w:before="315" w:after="105" w:line="360" w:lineRule="auto"/>
        <w:ind w:left="-30"/>
      </w:pPr>
      <w:bookmarkStart w:id="71" w:name="bm_5_3_requisito_de_e_stop_mecáni_4565af"/>
      <w:r>
        <w:rPr>
          <w:rFonts w:eastAsia="Georgia" w:hAnsi="Georgia" w:cs="Georgia"/>
          <w:b/>
          <w:color w:val="000000"/>
          <w:sz w:val="24"/>
        </w:rPr>
        <w:t>5.3 Requisito de e‑stop mecánico/eléctrico (PROP‑REQ‑002)</w:t>
      </w:r>
      <w:bookmarkEnd w:id="71"/>
    </w:p>
    <w:p w14:paraId="081456C9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Texto implícito actual: “Se añade un canal de e‑stop cableado… garantiza la detención ≤500 ms conforme a PROP‑REQ‑002.”</w:t>
      </w:r>
      <w:bookmarkStart w:id="72" w:name="fnref1_60"/>
      <w:bookmarkEnd w:id="7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CA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Versión mejorada:</w:t>
      </w:r>
    </w:p>
    <w:p w14:paraId="081456CB" w14:textId="77777777" w:rsidR="00ED69E2" w:rsidRDefault="00AA39A1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PROP‑REQ‑002 – Parada de emergencia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color w:val="000000"/>
        </w:rPr>
        <w:t xml:space="preserve">“El sistema SHALL incorporar un circuito de parada de emergencia (e‑stop) que, al ser activado, SHALL remover la alimentación de los actuadores de propulsión y SHALL asegurar que el </w:t>
      </w:r>
      <w:proofErr w:type="spellStart"/>
      <w:r>
        <w:rPr>
          <w:rFonts w:eastAsia="Georgia" w:hAnsi="Georgia" w:cs="Georgia"/>
          <w:color w:val="000000"/>
        </w:rPr>
        <w:t>rover</w:t>
      </w:r>
      <w:proofErr w:type="spellEnd"/>
      <w:r>
        <w:rPr>
          <w:rFonts w:eastAsia="Georgia" w:hAnsi="Georgia" w:cs="Georgia"/>
          <w:color w:val="000000"/>
        </w:rPr>
        <w:t xml:space="preserve"> detenga completamente su movimiento lineal en ≤ 0,5 s bajo las condiciones de velocidad máxima especificadas en RF‑TRAC‑VEL‑MAX.”</w:t>
      </w:r>
    </w:p>
    <w:p w14:paraId="081456CC" w14:textId="77777777" w:rsidR="00ED69E2" w:rsidRDefault="00AA39A1">
      <w:pPr>
        <w:spacing w:before="315" w:after="105" w:line="360" w:lineRule="auto"/>
        <w:ind w:left="-30"/>
      </w:pPr>
      <w:bookmarkStart w:id="73" w:name="bm_5_4_requisito_de_latencia_de_e_42d49e"/>
      <w:r>
        <w:rPr>
          <w:rFonts w:eastAsia="Georgia" w:hAnsi="Georgia" w:cs="Georgia"/>
          <w:b/>
          <w:color w:val="000000"/>
          <w:sz w:val="24"/>
        </w:rPr>
        <w:t>5.4 Requisito de latencia de enlace (CON‑002)</w:t>
      </w:r>
      <w:bookmarkEnd w:id="73"/>
    </w:p>
    <w:p w14:paraId="081456CD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Texto actual: “CON‑002 (Inyección de latencia): Se impone latencia simulada de 0–5 s…”</w:t>
      </w:r>
      <w:bookmarkStart w:id="74" w:name="fnref1_61"/>
      <w:bookmarkEnd w:id="7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CE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Versión mejorada:</w:t>
      </w:r>
    </w:p>
    <w:p w14:paraId="081456CF" w14:textId="77777777" w:rsidR="00ED69E2" w:rsidRDefault="00AA39A1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CON‑002 – Latencia simulada de enlace</w:t>
      </w:r>
      <w:r>
        <w:rPr>
          <w:rFonts w:eastAsia="Georgia" w:hAnsi="Georgia" w:cs="Georgia"/>
          <w:color w:val="000000"/>
        </w:rPr>
        <w:br/>
        <w:t>“Durante campañas de validación en sitio análogo, el subsistema COMMS SHALL inyectar una latencia adicional, configurable, en el rango [0 s, 5 s] en el canal TM/CMD Rover–GCS, con resolución ≤ 0,1 s, para emular condiciones de enlace remoto.”</w:t>
      </w:r>
    </w:p>
    <w:p w14:paraId="081456D0" w14:textId="77777777" w:rsidR="00ED69E2" w:rsidRDefault="00AA39A1">
      <w:pPr>
        <w:spacing w:before="315" w:after="105" w:line="360" w:lineRule="auto"/>
        <w:ind w:left="-30"/>
      </w:pPr>
      <w:bookmarkStart w:id="75" w:name="bm_5_5_requisito_de_disponibilida_f8db67"/>
      <w:r>
        <w:rPr>
          <w:rFonts w:eastAsia="Georgia" w:hAnsi="Georgia" w:cs="Georgia"/>
          <w:b/>
          <w:color w:val="000000"/>
          <w:sz w:val="24"/>
        </w:rPr>
        <w:t>5.5 Requisito de disponibilidad de TLM (Operador/GCS)</w:t>
      </w:r>
      <w:bookmarkEnd w:id="75"/>
    </w:p>
    <w:p w14:paraId="081456D1" w14:textId="77777777" w:rsidR="00ED69E2" w:rsidRDefault="00AA39A1">
      <w:pPr>
        <w:spacing w:after="210" w:line="360" w:lineRule="auto"/>
      </w:pPr>
      <w:r>
        <w:rPr>
          <w:rFonts w:eastAsia="Georgia" w:hAnsi="Georgia" w:cs="Georgia"/>
          <w:color w:val="000000"/>
        </w:rPr>
        <w:t>Derivado de la necesidad de visibilidad del operador.</w:t>
      </w:r>
      <w:bookmarkStart w:id="76" w:name="fnref1_62"/>
      <w:bookmarkEnd w:id="7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D2" w14:textId="77777777" w:rsidR="00ED69E2" w:rsidRDefault="00AA39A1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UI‑REQ‑001 – Telemetría de estado</w:t>
      </w:r>
      <w:r>
        <w:rPr>
          <w:rFonts w:eastAsia="Georgia" w:hAnsi="Georgia" w:cs="Georgia"/>
          <w:color w:val="000000"/>
        </w:rPr>
        <w:br/>
        <w:t xml:space="preserve">“El sistema SHALL proporcionar al Operador (U1) un conjunto mínimo de telemetría de salud del </w:t>
      </w:r>
      <w:proofErr w:type="spellStart"/>
      <w:r>
        <w:rPr>
          <w:rFonts w:eastAsia="Georgia" w:hAnsi="Georgia" w:cs="Georgia"/>
          <w:color w:val="000000"/>
        </w:rPr>
        <w:t>rover</w:t>
      </w:r>
      <w:proofErr w:type="spellEnd"/>
      <w:r>
        <w:rPr>
          <w:rFonts w:eastAsia="Georgia" w:hAnsi="Georgia" w:cs="Georgia"/>
          <w:color w:val="000000"/>
        </w:rPr>
        <w:t xml:space="preserve"> (estado de energía, estado de enlace, estados de modos de operación, alarmas de slip y </w:t>
      </w:r>
      <w:r>
        <w:rPr>
          <w:rFonts w:eastAsia="Georgia" w:hAnsi="Georgia" w:cs="Georgia"/>
          <w:color w:val="000000"/>
        </w:rPr>
        <w:lastRenderedPageBreak/>
        <w:t>fallas críticas) con un periodo de actualización configurable en el rango [1 s, 30 s], siendo el valor nominal 5 s en operación nominal.”</w:t>
      </w:r>
    </w:p>
    <w:p w14:paraId="081456D3" w14:textId="77777777" w:rsidR="00ED69E2" w:rsidRDefault="00AA39A1">
      <w:pPr>
        <w:spacing w:before="315" w:after="105" w:line="360" w:lineRule="auto"/>
        <w:ind w:left="-30"/>
      </w:pPr>
      <w:bookmarkStart w:id="77" w:name="bm_6_recomendaciones_para_alinear_fdb966"/>
      <w:r>
        <w:rPr>
          <w:rFonts w:eastAsia="Georgia" w:hAnsi="Georgia" w:cs="Georgia"/>
          <w:b/>
          <w:color w:val="000000"/>
          <w:sz w:val="24"/>
        </w:rPr>
        <w:t xml:space="preserve">6. Recomendaciones para alinear completamente el </w:t>
      </w:r>
      <w:proofErr w:type="spellStart"/>
      <w:r>
        <w:rPr>
          <w:rFonts w:eastAsia="Georgia" w:hAnsi="Georgia" w:cs="Georgia"/>
          <w:b/>
          <w:color w:val="000000"/>
          <w:sz w:val="24"/>
        </w:rPr>
        <w:t>SyRS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con ISO/IEC/IEEE 29148</w:t>
      </w:r>
      <w:bookmarkEnd w:id="77"/>
    </w:p>
    <w:p w14:paraId="081456D4" w14:textId="77777777" w:rsidR="00ED69E2" w:rsidRDefault="00AA39A1">
      <w:pPr>
        <w:numPr>
          <w:ilvl w:val="0"/>
          <w:numId w:val="1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Revisión de conformidad seccional con la norma</w:t>
      </w:r>
    </w:p>
    <w:p w14:paraId="081456D5" w14:textId="77777777" w:rsidR="00ED69E2" w:rsidRDefault="00AA39A1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Añadir (o completar) una subtabla de “</w:t>
      </w:r>
      <w:proofErr w:type="spellStart"/>
      <w:r>
        <w:rPr>
          <w:rFonts w:eastAsia="Georgia" w:hAnsi="Georgia" w:cs="Georgia"/>
          <w:color w:val="000000"/>
        </w:rPr>
        <w:t>Compliance</w:t>
      </w:r>
      <w:proofErr w:type="spellEnd"/>
      <w:r>
        <w:rPr>
          <w:rFonts w:eastAsia="Georgia" w:hAnsi="Georgia" w:cs="Georgia"/>
          <w:color w:val="000000"/>
        </w:rPr>
        <w:t xml:space="preserve"> Matrix” donde cada cláusula relevante de 29148 (sobre contenido de SRS/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>, calidad de requisitos, gestión de cambios, etc.) se mapee a secciones del documento (ya está parcialmente sugerido con la referencia a 29148, pero no se ve la matriz explícita).</w:t>
      </w:r>
      <w:bookmarkStart w:id="78" w:name="fnref1_63"/>
      <w:bookmarkEnd w:id="7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D6" w14:textId="77777777" w:rsidR="00ED69E2" w:rsidRPr="00862B07" w:rsidRDefault="00AA39A1">
      <w:pPr>
        <w:numPr>
          <w:ilvl w:val="0"/>
          <w:numId w:val="16"/>
        </w:numPr>
        <w:spacing w:after="210" w:line="360" w:lineRule="auto"/>
        <w:rPr>
          <w:lang w:val="en-US"/>
        </w:rPr>
      </w:pPr>
      <w:r w:rsidRPr="00862B07">
        <w:rPr>
          <w:rFonts w:eastAsia="Georgia" w:hAnsi="Georgia" w:cs="Georgia"/>
          <w:b/>
          <w:color w:val="000000"/>
          <w:lang w:val="en-US"/>
        </w:rPr>
        <w:t>Refuerzo del principio “one requirement–one sentence–one ID”</w:t>
      </w:r>
    </w:p>
    <w:p w14:paraId="081456D7" w14:textId="77777777" w:rsidR="00ED69E2" w:rsidRDefault="00AA39A1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En §11, </w:t>
      </w:r>
      <w:proofErr w:type="gramStart"/>
      <w:r>
        <w:rPr>
          <w:rFonts w:eastAsia="Georgia" w:hAnsi="Georgia" w:cs="Georgia"/>
          <w:color w:val="000000"/>
        </w:rPr>
        <w:t>asegurar</w:t>
      </w:r>
      <w:proofErr w:type="gramEnd"/>
      <w:r>
        <w:rPr>
          <w:rFonts w:eastAsia="Georgia" w:hAnsi="Georgia" w:cs="Georgia"/>
          <w:color w:val="000000"/>
        </w:rPr>
        <w:t xml:space="preserve"> que cada requisito esté:</w:t>
      </w:r>
    </w:p>
    <w:p w14:paraId="081456D8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Formulado con verbo normativo (SHALL),</w:t>
      </w:r>
    </w:p>
    <w:p w14:paraId="081456D9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 una frase simple,</w:t>
      </w:r>
    </w:p>
    <w:p w14:paraId="081456DA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Sin listas internas que combinen múltiples obligaciones.</w:t>
      </w:r>
    </w:p>
    <w:p w14:paraId="081456DB" w14:textId="77777777" w:rsidR="00ED69E2" w:rsidRDefault="00AA39A1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Para elementos compuestos, dividir en RF‑XXX‑A, RF‑XXX‑B, etc.</w:t>
      </w:r>
    </w:p>
    <w:p w14:paraId="081456DC" w14:textId="77777777" w:rsidR="00ED69E2" w:rsidRDefault="00AA39A1">
      <w:pPr>
        <w:numPr>
          <w:ilvl w:val="0"/>
          <w:numId w:val="1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Gestión de TBD y </w:t>
      </w:r>
      <w:proofErr w:type="spellStart"/>
      <w:r>
        <w:rPr>
          <w:rFonts w:eastAsia="Georgia" w:hAnsi="Georgia" w:cs="Georgia"/>
          <w:b/>
          <w:color w:val="000000"/>
        </w:rPr>
        <w:t>baseline</w:t>
      </w:r>
      <w:proofErr w:type="spellEnd"/>
      <w:r>
        <w:rPr>
          <w:rFonts w:eastAsia="Georgia" w:hAnsi="Georgia" w:cs="Georgia"/>
          <w:b/>
          <w:color w:val="000000"/>
        </w:rPr>
        <w:t xml:space="preserve"> de parámetros</w:t>
      </w:r>
    </w:p>
    <w:p w14:paraId="081456DD" w14:textId="77777777" w:rsidR="00ED69E2" w:rsidRDefault="00AA39A1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Introducir una política en §10.1 que establezca que ningún requisito puede permanecer con “TBD” en versiones </w:t>
      </w:r>
      <w:proofErr w:type="spellStart"/>
      <w:r>
        <w:rPr>
          <w:rFonts w:eastAsia="Georgia" w:hAnsi="Georgia" w:cs="Georgia"/>
          <w:color w:val="000000"/>
        </w:rPr>
        <w:t>baselines</w:t>
      </w:r>
      <w:proofErr w:type="spellEnd"/>
      <w:r>
        <w:rPr>
          <w:rFonts w:eastAsia="Georgia" w:hAnsi="Georgia" w:cs="Georgia"/>
          <w:color w:val="000000"/>
        </w:rPr>
        <w:t xml:space="preserve"> de proyecto (v0.1 puede aceptarlo, pero no la versión de diseño).</w:t>
      </w:r>
      <w:bookmarkStart w:id="79" w:name="fnref1_64"/>
      <w:bookmarkEnd w:id="7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DE" w14:textId="77777777" w:rsidR="00ED69E2" w:rsidRDefault="00AA39A1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Para todos los TBD (guardas de severidad, </w:t>
      </w:r>
      <w:proofErr w:type="spellStart"/>
      <w:r>
        <w:rPr>
          <w:rFonts w:eastAsia="Georgia" w:hAnsi="Georgia" w:cs="Georgia"/>
          <w:color w:val="000000"/>
        </w:rPr>
        <w:t>timeouts</w:t>
      </w:r>
      <w:proofErr w:type="spellEnd"/>
      <w:r>
        <w:rPr>
          <w:rFonts w:eastAsia="Georgia" w:hAnsi="Georgia" w:cs="Georgia"/>
          <w:color w:val="000000"/>
        </w:rPr>
        <w:t>, umbrales) crear un apéndice de “</w:t>
      </w:r>
      <w:proofErr w:type="spellStart"/>
      <w:r>
        <w:rPr>
          <w:rFonts w:eastAsia="Georgia" w:hAnsi="Georgia" w:cs="Georgia"/>
          <w:color w:val="000000"/>
        </w:rPr>
        <w:t>Parameter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Baseline</w:t>
      </w:r>
      <w:proofErr w:type="spellEnd"/>
      <w:r>
        <w:rPr>
          <w:rFonts w:eastAsia="Georgia" w:hAnsi="Georgia" w:cs="Georgia"/>
          <w:color w:val="000000"/>
        </w:rPr>
        <w:t>” con valores por defecto y referencia a los requisitos que los usan.</w:t>
      </w:r>
    </w:p>
    <w:p w14:paraId="081456DF" w14:textId="77777777" w:rsidR="00ED69E2" w:rsidRDefault="00AA39A1">
      <w:pPr>
        <w:numPr>
          <w:ilvl w:val="0"/>
          <w:numId w:val="1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Clarificación de restricciones de diseño vs requisitos de sistema</w:t>
      </w:r>
    </w:p>
    <w:p w14:paraId="081456E0" w14:textId="77777777" w:rsidR="00ED69E2" w:rsidRDefault="00AA39A1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 §11.4 (</w:t>
      </w:r>
      <w:proofErr w:type="spellStart"/>
      <w:r>
        <w:rPr>
          <w:rFonts w:eastAsia="Georgia" w:hAnsi="Georgia" w:cs="Georgia"/>
          <w:color w:val="000000"/>
        </w:rPr>
        <w:t>Design</w:t>
      </w:r>
      <w:proofErr w:type="spellEnd"/>
      <w:r>
        <w:rPr>
          <w:rFonts w:eastAsia="Georgia" w:hAnsi="Georgia" w:cs="Georgia"/>
          <w:color w:val="000000"/>
        </w:rPr>
        <w:t xml:space="preserve"> and </w:t>
      </w:r>
      <w:proofErr w:type="spellStart"/>
      <w:r>
        <w:rPr>
          <w:rFonts w:eastAsia="Georgia" w:hAnsi="Georgia" w:cs="Georgia"/>
          <w:color w:val="000000"/>
        </w:rPr>
        <w:t>Implementation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Constraints</w:t>
      </w:r>
      <w:proofErr w:type="spellEnd"/>
      <w:r>
        <w:rPr>
          <w:rFonts w:eastAsia="Georgia" w:hAnsi="Georgia" w:cs="Georgia"/>
          <w:color w:val="000000"/>
        </w:rPr>
        <w:t>), listar explícitamente:</w:t>
      </w:r>
    </w:p>
    <w:p w14:paraId="081456E1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Requisito de uso de hardware COTS,</w:t>
      </w:r>
    </w:p>
    <w:p w14:paraId="081456E2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Uso de Raspberry Pi/Arduino como </w:t>
      </w:r>
      <w:proofErr w:type="gramStart"/>
      <w:r>
        <w:rPr>
          <w:rFonts w:eastAsia="Georgia" w:hAnsi="Georgia" w:cs="Georgia"/>
          <w:color w:val="000000"/>
        </w:rPr>
        <w:t>restricciones justificada</w:t>
      </w:r>
      <w:proofErr w:type="gramEnd"/>
      <w:r>
        <w:rPr>
          <w:rFonts w:eastAsia="Georgia" w:hAnsi="Georgia" w:cs="Georgia"/>
          <w:color w:val="000000"/>
        </w:rPr>
        <w:t xml:space="preserve"> (por ejemplo, debido a contexto académico),</w:t>
      </w:r>
    </w:p>
    <w:p w14:paraId="081456E3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Material PLA MAX como restricción de manufactura.</w:t>
      </w:r>
    </w:p>
    <w:p w14:paraId="081456E4" w14:textId="77777777" w:rsidR="00ED69E2" w:rsidRDefault="00AA39A1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Esto ayuda a separar el “qué” (requisitos funcionales y de desempeño) del “cómo” (elecciones COTS específicas).</w:t>
      </w:r>
    </w:p>
    <w:p w14:paraId="081456E5" w14:textId="77777777" w:rsidR="00ED69E2" w:rsidRDefault="00AA39A1">
      <w:pPr>
        <w:numPr>
          <w:ilvl w:val="0"/>
          <w:numId w:val="1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Fortalecimiento de la trazabilidad bidireccional</w:t>
      </w:r>
    </w:p>
    <w:p w14:paraId="081456E6" w14:textId="77777777" w:rsidR="00ED69E2" w:rsidRDefault="00AA39A1">
      <w:pPr>
        <w:numPr>
          <w:ilvl w:val="1"/>
          <w:numId w:val="16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Asegurar</w:t>
      </w:r>
      <w:proofErr w:type="gramEnd"/>
      <w:r>
        <w:rPr>
          <w:rFonts w:eastAsia="Georgia" w:hAnsi="Georgia" w:cs="Georgia"/>
          <w:color w:val="000000"/>
        </w:rPr>
        <w:t xml:space="preserve"> que en la matriz de trazabilidad:</w:t>
      </w:r>
    </w:p>
    <w:p w14:paraId="081456E7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Cada requisito 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 xml:space="preserve"> tenga un origen (</w:t>
      </w:r>
      <w:proofErr w:type="spellStart"/>
      <w:r>
        <w:rPr>
          <w:rFonts w:eastAsia="Georgia" w:hAnsi="Georgia" w:cs="Georgia"/>
          <w:color w:val="000000"/>
        </w:rPr>
        <w:t>stakeholder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ConOps</w:t>
      </w:r>
      <w:proofErr w:type="spellEnd"/>
      <w:r>
        <w:rPr>
          <w:rFonts w:eastAsia="Georgia" w:hAnsi="Georgia" w:cs="Georgia"/>
          <w:color w:val="000000"/>
        </w:rPr>
        <w:t>, UC, entorno, estándar externo),</w:t>
      </w:r>
    </w:p>
    <w:p w14:paraId="081456E8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Cada elemento de arquitectura funcional/física y cada caso de prueba esté mapeado hacia uno o más requisitos.</w:t>
      </w:r>
    </w:p>
    <w:p w14:paraId="081456E9" w14:textId="77777777" w:rsidR="00ED69E2" w:rsidRDefault="00AA39A1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Idealmente, presentar al menos una tabla 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 xml:space="preserve"> ↔ Use Cases y otra </w:t>
      </w:r>
      <w:proofErr w:type="spellStart"/>
      <w:r>
        <w:rPr>
          <w:rFonts w:eastAsia="Georgia" w:hAnsi="Georgia" w:cs="Georgia"/>
          <w:color w:val="000000"/>
        </w:rPr>
        <w:t>SyRS</w:t>
      </w:r>
      <w:proofErr w:type="spellEnd"/>
      <w:r>
        <w:rPr>
          <w:rFonts w:eastAsia="Georgia" w:hAnsi="Georgia" w:cs="Georgia"/>
          <w:color w:val="000000"/>
        </w:rPr>
        <w:t xml:space="preserve"> ↔ Architecture ↔ V&amp;V.</w:t>
      </w:r>
      <w:bookmarkStart w:id="80" w:name="fnref1_65"/>
      <w:bookmarkEnd w:id="8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EA" w14:textId="77777777" w:rsidR="00ED69E2" w:rsidRDefault="00AA39A1">
      <w:pPr>
        <w:numPr>
          <w:ilvl w:val="0"/>
          <w:numId w:val="1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Complementar documentación de escenarios y manejo de errores</w:t>
      </w:r>
    </w:p>
    <w:p w14:paraId="081456EB" w14:textId="77777777" w:rsidR="00ED69E2" w:rsidRDefault="00AA39A1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Añadir tablas tipo “</w:t>
      </w:r>
      <w:proofErr w:type="spellStart"/>
      <w:r>
        <w:rPr>
          <w:rFonts w:eastAsia="Georgia" w:hAnsi="Georgia" w:cs="Georgia"/>
          <w:color w:val="000000"/>
        </w:rPr>
        <w:t>Operational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Scenario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Description</w:t>
      </w:r>
      <w:proofErr w:type="spellEnd"/>
      <w:r>
        <w:rPr>
          <w:rFonts w:eastAsia="Georgia" w:hAnsi="Georgia" w:cs="Georgia"/>
          <w:color w:val="000000"/>
        </w:rPr>
        <w:t>” para:</w:t>
      </w:r>
    </w:p>
    <w:p w14:paraId="081456EC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Escenario nominal de UC‑01,</w:t>
      </w:r>
    </w:p>
    <w:p w14:paraId="081456ED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Escenario con alta latencia,</w:t>
      </w:r>
    </w:p>
    <w:p w14:paraId="081456EE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Escenario con pérdida de enlace prolongada,</w:t>
      </w:r>
    </w:p>
    <w:p w14:paraId="081456EF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Escenario con slip extremo,</w:t>
      </w:r>
    </w:p>
    <w:p w14:paraId="081456F0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Escenario de transición a </w:t>
      </w:r>
      <w:proofErr w:type="spellStart"/>
      <w:r>
        <w:rPr>
          <w:rFonts w:eastAsia="Georgia" w:hAnsi="Georgia" w:cs="Georgia"/>
          <w:color w:val="000000"/>
        </w:rPr>
        <w:t>SafeMode</w:t>
      </w:r>
      <w:proofErr w:type="spellEnd"/>
      <w:r>
        <w:rPr>
          <w:rFonts w:eastAsia="Georgia" w:hAnsi="Georgia" w:cs="Georgia"/>
          <w:color w:val="000000"/>
        </w:rPr>
        <w:t>/EOM.</w:t>
      </w:r>
    </w:p>
    <w:p w14:paraId="081456F1" w14:textId="77777777" w:rsidR="00ED69E2" w:rsidRDefault="00AA39A1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Para cada escenario, enlazar a requisitos RF/RNF/CON y a casos de prueba V&amp;V.</w:t>
      </w:r>
      <w:bookmarkStart w:id="81" w:name="fnref1_66"/>
      <w:bookmarkEnd w:id="8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81456F2" w14:textId="77777777" w:rsidR="00ED69E2" w:rsidRDefault="00AA39A1">
      <w:pPr>
        <w:numPr>
          <w:ilvl w:val="0"/>
          <w:numId w:val="1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Criterios de aceptación bien amarrados a requisitos</w:t>
      </w:r>
    </w:p>
    <w:p w14:paraId="081456F3" w14:textId="77777777" w:rsidR="00ED69E2" w:rsidRDefault="00AA39A1">
      <w:pPr>
        <w:numPr>
          <w:ilvl w:val="1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Sección 13 ya incluye criterios y estudios de V&amp;V, pero conviene que para cada requisito en §11 exista una referencia explícita a:</w:t>
      </w:r>
    </w:p>
    <w:p w14:paraId="081456F4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Método de verificación (T/A/D/I),</w:t>
      </w:r>
    </w:p>
    <w:p w14:paraId="081456F5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Caso(s) de prueba asociado(s),</w:t>
      </w:r>
    </w:p>
    <w:p w14:paraId="081456F6" w14:textId="77777777" w:rsidR="00ED69E2" w:rsidRDefault="00AA39A1">
      <w:pPr>
        <w:numPr>
          <w:ilvl w:val="2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Criterio de aceptación cuantitativo específico.</w:t>
      </w:r>
    </w:p>
    <w:p w14:paraId="081456F9" w14:textId="03F5BE55" w:rsidR="00ED69E2" w:rsidRDefault="00ED69E2">
      <w:pPr>
        <w:spacing w:line="360" w:lineRule="auto"/>
      </w:pPr>
    </w:p>
    <w:p w14:paraId="081456FA" w14:textId="77777777" w:rsidR="00ED69E2" w:rsidRDefault="00AA39A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1456F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1456FB" w14:textId="77777777" w:rsidR="00ED69E2" w:rsidRDefault="00AA39A1">
      <w:pPr>
        <w:numPr>
          <w:ilvl w:val="0"/>
          <w:numId w:val="18"/>
        </w:numPr>
        <w:spacing w:after="210" w:line="360" w:lineRule="auto"/>
      </w:pPr>
      <w:bookmarkStart w:id="82" w:name="fn1"/>
      <w:bookmarkEnd w:id="82"/>
      <w:r>
        <w:rPr>
          <w:rFonts w:eastAsia="Georgia" w:hAnsi="Georgia" w:cs="Georgia"/>
          <w:color w:val="000000"/>
          <w:sz w:val="18"/>
        </w:rPr>
        <w:t xml:space="preserve">ELANAV-Olympus-SysRS_v0.1.pdf                                                                   </w:t>
      </w:r>
    </w:p>
    <w:sectPr w:rsidR="00ED69E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0F1D"/>
    <w:multiLevelType w:val="hybridMultilevel"/>
    <w:tmpl w:val="B836682C"/>
    <w:lvl w:ilvl="0" w:tplc="E4AE6C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AC4B9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6EEE1C4">
      <w:numFmt w:val="decimal"/>
      <w:lvlText w:val=""/>
      <w:lvlJc w:val="left"/>
    </w:lvl>
    <w:lvl w:ilvl="3" w:tplc="9DEE4494">
      <w:numFmt w:val="decimal"/>
      <w:lvlText w:val=""/>
      <w:lvlJc w:val="left"/>
    </w:lvl>
    <w:lvl w:ilvl="4" w:tplc="7278C076">
      <w:numFmt w:val="decimal"/>
      <w:lvlText w:val=""/>
      <w:lvlJc w:val="left"/>
    </w:lvl>
    <w:lvl w:ilvl="5" w:tplc="E1CE2ECA">
      <w:numFmt w:val="decimal"/>
      <w:lvlText w:val=""/>
      <w:lvlJc w:val="left"/>
    </w:lvl>
    <w:lvl w:ilvl="6" w:tplc="4A4E09AE">
      <w:numFmt w:val="decimal"/>
      <w:lvlText w:val=""/>
      <w:lvlJc w:val="left"/>
    </w:lvl>
    <w:lvl w:ilvl="7" w:tplc="AD9CE29A">
      <w:numFmt w:val="decimal"/>
      <w:lvlText w:val=""/>
      <w:lvlJc w:val="left"/>
    </w:lvl>
    <w:lvl w:ilvl="8" w:tplc="BF86FA8E">
      <w:numFmt w:val="decimal"/>
      <w:lvlText w:val=""/>
      <w:lvlJc w:val="left"/>
    </w:lvl>
  </w:abstractNum>
  <w:abstractNum w:abstractNumId="1" w15:restartNumberingAfterBreak="0">
    <w:nsid w:val="13DE544D"/>
    <w:multiLevelType w:val="hybridMultilevel"/>
    <w:tmpl w:val="94ECA028"/>
    <w:lvl w:ilvl="0" w:tplc="95265F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2C5A36">
      <w:numFmt w:val="decimal"/>
      <w:lvlText w:val=""/>
      <w:lvlJc w:val="left"/>
    </w:lvl>
    <w:lvl w:ilvl="2" w:tplc="1D8CE5A4">
      <w:numFmt w:val="decimal"/>
      <w:lvlText w:val=""/>
      <w:lvlJc w:val="left"/>
    </w:lvl>
    <w:lvl w:ilvl="3" w:tplc="6678849A">
      <w:numFmt w:val="decimal"/>
      <w:lvlText w:val=""/>
      <w:lvlJc w:val="left"/>
    </w:lvl>
    <w:lvl w:ilvl="4" w:tplc="8194A5BE">
      <w:numFmt w:val="decimal"/>
      <w:lvlText w:val=""/>
      <w:lvlJc w:val="left"/>
    </w:lvl>
    <w:lvl w:ilvl="5" w:tplc="EA288E8A">
      <w:numFmt w:val="decimal"/>
      <w:lvlText w:val=""/>
      <w:lvlJc w:val="left"/>
    </w:lvl>
    <w:lvl w:ilvl="6" w:tplc="C55012CA">
      <w:numFmt w:val="decimal"/>
      <w:lvlText w:val=""/>
      <w:lvlJc w:val="left"/>
    </w:lvl>
    <w:lvl w:ilvl="7" w:tplc="2E140AA6">
      <w:numFmt w:val="decimal"/>
      <w:lvlText w:val=""/>
      <w:lvlJc w:val="left"/>
    </w:lvl>
    <w:lvl w:ilvl="8" w:tplc="FC7CA950">
      <w:numFmt w:val="decimal"/>
      <w:lvlText w:val=""/>
      <w:lvlJc w:val="left"/>
    </w:lvl>
  </w:abstractNum>
  <w:abstractNum w:abstractNumId="2" w15:restartNumberingAfterBreak="0">
    <w:nsid w:val="33656A1E"/>
    <w:multiLevelType w:val="hybridMultilevel"/>
    <w:tmpl w:val="893E8F40"/>
    <w:lvl w:ilvl="0" w:tplc="0E7AAD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1258B6">
      <w:numFmt w:val="decimal"/>
      <w:lvlText w:val=""/>
      <w:lvlJc w:val="left"/>
    </w:lvl>
    <w:lvl w:ilvl="2" w:tplc="BD444E60">
      <w:numFmt w:val="decimal"/>
      <w:lvlText w:val=""/>
      <w:lvlJc w:val="left"/>
    </w:lvl>
    <w:lvl w:ilvl="3" w:tplc="172EAC6C">
      <w:numFmt w:val="decimal"/>
      <w:lvlText w:val=""/>
      <w:lvlJc w:val="left"/>
    </w:lvl>
    <w:lvl w:ilvl="4" w:tplc="5748C1CA">
      <w:numFmt w:val="decimal"/>
      <w:lvlText w:val=""/>
      <w:lvlJc w:val="left"/>
    </w:lvl>
    <w:lvl w:ilvl="5" w:tplc="F9E21448">
      <w:numFmt w:val="decimal"/>
      <w:lvlText w:val=""/>
      <w:lvlJc w:val="left"/>
    </w:lvl>
    <w:lvl w:ilvl="6" w:tplc="4DE4A4F0">
      <w:numFmt w:val="decimal"/>
      <w:lvlText w:val=""/>
      <w:lvlJc w:val="left"/>
    </w:lvl>
    <w:lvl w:ilvl="7" w:tplc="0FCA104E">
      <w:numFmt w:val="decimal"/>
      <w:lvlText w:val=""/>
      <w:lvlJc w:val="left"/>
    </w:lvl>
    <w:lvl w:ilvl="8" w:tplc="0712A0EA">
      <w:numFmt w:val="decimal"/>
      <w:lvlText w:val=""/>
      <w:lvlJc w:val="left"/>
    </w:lvl>
  </w:abstractNum>
  <w:abstractNum w:abstractNumId="3" w15:restartNumberingAfterBreak="0">
    <w:nsid w:val="36C6179F"/>
    <w:multiLevelType w:val="hybridMultilevel"/>
    <w:tmpl w:val="C63465A6"/>
    <w:lvl w:ilvl="0" w:tplc="089C99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A291D2">
      <w:numFmt w:val="decimal"/>
      <w:lvlText w:val=""/>
      <w:lvlJc w:val="left"/>
    </w:lvl>
    <w:lvl w:ilvl="2" w:tplc="C5CA5820">
      <w:numFmt w:val="decimal"/>
      <w:lvlText w:val=""/>
      <w:lvlJc w:val="left"/>
    </w:lvl>
    <w:lvl w:ilvl="3" w:tplc="397A7D9C">
      <w:numFmt w:val="decimal"/>
      <w:lvlText w:val=""/>
      <w:lvlJc w:val="left"/>
    </w:lvl>
    <w:lvl w:ilvl="4" w:tplc="3ED85572">
      <w:numFmt w:val="decimal"/>
      <w:lvlText w:val=""/>
      <w:lvlJc w:val="left"/>
    </w:lvl>
    <w:lvl w:ilvl="5" w:tplc="7F3A58EA">
      <w:numFmt w:val="decimal"/>
      <w:lvlText w:val=""/>
      <w:lvlJc w:val="left"/>
    </w:lvl>
    <w:lvl w:ilvl="6" w:tplc="9D649FEE">
      <w:numFmt w:val="decimal"/>
      <w:lvlText w:val=""/>
      <w:lvlJc w:val="left"/>
    </w:lvl>
    <w:lvl w:ilvl="7" w:tplc="06924980">
      <w:numFmt w:val="decimal"/>
      <w:lvlText w:val=""/>
      <w:lvlJc w:val="left"/>
    </w:lvl>
    <w:lvl w:ilvl="8" w:tplc="347CD182">
      <w:numFmt w:val="decimal"/>
      <w:lvlText w:val=""/>
      <w:lvlJc w:val="left"/>
    </w:lvl>
  </w:abstractNum>
  <w:abstractNum w:abstractNumId="4" w15:restartNumberingAfterBreak="0">
    <w:nsid w:val="3E352D7E"/>
    <w:multiLevelType w:val="hybridMultilevel"/>
    <w:tmpl w:val="F63888E4"/>
    <w:lvl w:ilvl="0" w:tplc="01902A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C4A49E">
      <w:numFmt w:val="decimal"/>
      <w:lvlText w:val=""/>
      <w:lvlJc w:val="left"/>
    </w:lvl>
    <w:lvl w:ilvl="2" w:tplc="C910F956">
      <w:numFmt w:val="decimal"/>
      <w:lvlText w:val=""/>
      <w:lvlJc w:val="left"/>
    </w:lvl>
    <w:lvl w:ilvl="3" w:tplc="1CDA278A">
      <w:numFmt w:val="decimal"/>
      <w:lvlText w:val=""/>
      <w:lvlJc w:val="left"/>
    </w:lvl>
    <w:lvl w:ilvl="4" w:tplc="36E42D26">
      <w:numFmt w:val="decimal"/>
      <w:lvlText w:val=""/>
      <w:lvlJc w:val="left"/>
    </w:lvl>
    <w:lvl w:ilvl="5" w:tplc="6AC8F84A">
      <w:numFmt w:val="decimal"/>
      <w:lvlText w:val=""/>
      <w:lvlJc w:val="left"/>
    </w:lvl>
    <w:lvl w:ilvl="6" w:tplc="DB68E008">
      <w:numFmt w:val="decimal"/>
      <w:lvlText w:val=""/>
      <w:lvlJc w:val="left"/>
    </w:lvl>
    <w:lvl w:ilvl="7" w:tplc="4438AAC0">
      <w:numFmt w:val="decimal"/>
      <w:lvlText w:val=""/>
      <w:lvlJc w:val="left"/>
    </w:lvl>
    <w:lvl w:ilvl="8" w:tplc="002C19BE">
      <w:numFmt w:val="decimal"/>
      <w:lvlText w:val=""/>
      <w:lvlJc w:val="left"/>
    </w:lvl>
  </w:abstractNum>
  <w:abstractNum w:abstractNumId="5" w15:restartNumberingAfterBreak="0">
    <w:nsid w:val="3E8A7B3C"/>
    <w:multiLevelType w:val="hybridMultilevel"/>
    <w:tmpl w:val="2076AFB4"/>
    <w:lvl w:ilvl="0" w:tplc="026A1D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CC4BE4">
      <w:numFmt w:val="decimal"/>
      <w:lvlText w:val=""/>
      <w:lvlJc w:val="left"/>
    </w:lvl>
    <w:lvl w:ilvl="2" w:tplc="F6C44C28">
      <w:numFmt w:val="decimal"/>
      <w:lvlText w:val=""/>
      <w:lvlJc w:val="left"/>
    </w:lvl>
    <w:lvl w:ilvl="3" w:tplc="0E18F6E8">
      <w:numFmt w:val="decimal"/>
      <w:lvlText w:val=""/>
      <w:lvlJc w:val="left"/>
    </w:lvl>
    <w:lvl w:ilvl="4" w:tplc="A8FE9ABA">
      <w:numFmt w:val="decimal"/>
      <w:lvlText w:val=""/>
      <w:lvlJc w:val="left"/>
    </w:lvl>
    <w:lvl w:ilvl="5" w:tplc="5A3407B0">
      <w:numFmt w:val="decimal"/>
      <w:lvlText w:val=""/>
      <w:lvlJc w:val="left"/>
    </w:lvl>
    <w:lvl w:ilvl="6" w:tplc="411C354E">
      <w:numFmt w:val="decimal"/>
      <w:lvlText w:val=""/>
      <w:lvlJc w:val="left"/>
    </w:lvl>
    <w:lvl w:ilvl="7" w:tplc="833AD4C2">
      <w:numFmt w:val="decimal"/>
      <w:lvlText w:val=""/>
      <w:lvlJc w:val="left"/>
    </w:lvl>
    <w:lvl w:ilvl="8" w:tplc="C518CEB8">
      <w:numFmt w:val="decimal"/>
      <w:lvlText w:val=""/>
      <w:lvlJc w:val="left"/>
    </w:lvl>
  </w:abstractNum>
  <w:abstractNum w:abstractNumId="6" w15:restartNumberingAfterBreak="0">
    <w:nsid w:val="3FD059BB"/>
    <w:multiLevelType w:val="hybridMultilevel"/>
    <w:tmpl w:val="64580474"/>
    <w:lvl w:ilvl="0" w:tplc="49E6647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722EA5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71A8BF0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F68E267C">
      <w:numFmt w:val="decimal"/>
      <w:lvlText w:val=""/>
      <w:lvlJc w:val="left"/>
    </w:lvl>
    <w:lvl w:ilvl="4" w:tplc="ABD8147E">
      <w:numFmt w:val="decimal"/>
      <w:lvlText w:val=""/>
      <w:lvlJc w:val="left"/>
    </w:lvl>
    <w:lvl w:ilvl="5" w:tplc="78B2D256">
      <w:numFmt w:val="decimal"/>
      <w:lvlText w:val=""/>
      <w:lvlJc w:val="left"/>
    </w:lvl>
    <w:lvl w:ilvl="6" w:tplc="D2489BA0">
      <w:numFmt w:val="decimal"/>
      <w:lvlText w:val=""/>
      <w:lvlJc w:val="left"/>
    </w:lvl>
    <w:lvl w:ilvl="7" w:tplc="EA8A4C76">
      <w:numFmt w:val="decimal"/>
      <w:lvlText w:val=""/>
      <w:lvlJc w:val="left"/>
    </w:lvl>
    <w:lvl w:ilvl="8" w:tplc="AA82CBF2">
      <w:numFmt w:val="decimal"/>
      <w:lvlText w:val=""/>
      <w:lvlJc w:val="left"/>
    </w:lvl>
  </w:abstractNum>
  <w:abstractNum w:abstractNumId="7" w15:restartNumberingAfterBreak="0">
    <w:nsid w:val="4CFA511D"/>
    <w:multiLevelType w:val="hybridMultilevel"/>
    <w:tmpl w:val="0DE429D4"/>
    <w:lvl w:ilvl="0" w:tplc="21CCFD9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04C9C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7F8E7DC">
      <w:numFmt w:val="decimal"/>
      <w:lvlText w:val=""/>
      <w:lvlJc w:val="left"/>
    </w:lvl>
    <w:lvl w:ilvl="3" w:tplc="66AEB700">
      <w:numFmt w:val="decimal"/>
      <w:lvlText w:val=""/>
      <w:lvlJc w:val="left"/>
    </w:lvl>
    <w:lvl w:ilvl="4" w:tplc="EFC871EC">
      <w:numFmt w:val="decimal"/>
      <w:lvlText w:val=""/>
      <w:lvlJc w:val="left"/>
    </w:lvl>
    <w:lvl w:ilvl="5" w:tplc="04E4E7EA">
      <w:numFmt w:val="decimal"/>
      <w:lvlText w:val=""/>
      <w:lvlJc w:val="left"/>
    </w:lvl>
    <w:lvl w:ilvl="6" w:tplc="C114BA2A">
      <w:numFmt w:val="decimal"/>
      <w:lvlText w:val=""/>
      <w:lvlJc w:val="left"/>
    </w:lvl>
    <w:lvl w:ilvl="7" w:tplc="58AAF308">
      <w:numFmt w:val="decimal"/>
      <w:lvlText w:val=""/>
      <w:lvlJc w:val="left"/>
    </w:lvl>
    <w:lvl w:ilvl="8" w:tplc="35AC56D4">
      <w:numFmt w:val="decimal"/>
      <w:lvlText w:val=""/>
      <w:lvlJc w:val="left"/>
    </w:lvl>
  </w:abstractNum>
  <w:abstractNum w:abstractNumId="8" w15:restartNumberingAfterBreak="0">
    <w:nsid w:val="4FB05D9B"/>
    <w:multiLevelType w:val="hybridMultilevel"/>
    <w:tmpl w:val="96BAF01E"/>
    <w:lvl w:ilvl="0" w:tplc="557A8F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72C472">
      <w:numFmt w:val="decimal"/>
      <w:lvlText w:val=""/>
      <w:lvlJc w:val="left"/>
    </w:lvl>
    <w:lvl w:ilvl="2" w:tplc="D9868C2C">
      <w:numFmt w:val="decimal"/>
      <w:lvlText w:val=""/>
      <w:lvlJc w:val="left"/>
    </w:lvl>
    <w:lvl w:ilvl="3" w:tplc="123A8910">
      <w:numFmt w:val="decimal"/>
      <w:lvlText w:val=""/>
      <w:lvlJc w:val="left"/>
    </w:lvl>
    <w:lvl w:ilvl="4" w:tplc="8BB40924">
      <w:numFmt w:val="decimal"/>
      <w:lvlText w:val=""/>
      <w:lvlJc w:val="left"/>
    </w:lvl>
    <w:lvl w:ilvl="5" w:tplc="E3CEE6A8">
      <w:numFmt w:val="decimal"/>
      <w:lvlText w:val=""/>
      <w:lvlJc w:val="left"/>
    </w:lvl>
    <w:lvl w:ilvl="6" w:tplc="4DFAC402">
      <w:numFmt w:val="decimal"/>
      <w:lvlText w:val=""/>
      <w:lvlJc w:val="left"/>
    </w:lvl>
    <w:lvl w:ilvl="7" w:tplc="13805C7E">
      <w:numFmt w:val="decimal"/>
      <w:lvlText w:val=""/>
      <w:lvlJc w:val="left"/>
    </w:lvl>
    <w:lvl w:ilvl="8" w:tplc="B2028AA8">
      <w:numFmt w:val="decimal"/>
      <w:lvlText w:val=""/>
      <w:lvlJc w:val="left"/>
    </w:lvl>
  </w:abstractNum>
  <w:abstractNum w:abstractNumId="9" w15:restartNumberingAfterBreak="0">
    <w:nsid w:val="54E807AA"/>
    <w:multiLevelType w:val="hybridMultilevel"/>
    <w:tmpl w:val="5BE24924"/>
    <w:lvl w:ilvl="0" w:tplc="587029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86ED4E">
      <w:numFmt w:val="decimal"/>
      <w:lvlText w:val=""/>
      <w:lvlJc w:val="left"/>
    </w:lvl>
    <w:lvl w:ilvl="2" w:tplc="5652F47A">
      <w:numFmt w:val="decimal"/>
      <w:lvlText w:val=""/>
      <w:lvlJc w:val="left"/>
    </w:lvl>
    <w:lvl w:ilvl="3" w:tplc="92E048AE">
      <w:numFmt w:val="decimal"/>
      <w:lvlText w:val=""/>
      <w:lvlJc w:val="left"/>
    </w:lvl>
    <w:lvl w:ilvl="4" w:tplc="9DD4473C">
      <w:numFmt w:val="decimal"/>
      <w:lvlText w:val=""/>
      <w:lvlJc w:val="left"/>
    </w:lvl>
    <w:lvl w:ilvl="5" w:tplc="25C45028">
      <w:numFmt w:val="decimal"/>
      <w:lvlText w:val=""/>
      <w:lvlJc w:val="left"/>
    </w:lvl>
    <w:lvl w:ilvl="6" w:tplc="9154CA74">
      <w:numFmt w:val="decimal"/>
      <w:lvlText w:val=""/>
      <w:lvlJc w:val="left"/>
    </w:lvl>
    <w:lvl w:ilvl="7" w:tplc="5FC22812">
      <w:numFmt w:val="decimal"/>
      <w:lvlText w:val=""/>
      <w:lvlJc w:val="left"/>
    </w:lvl>
    <w:lvl w:ilvl="8" w:tplc="897E4F94">
      <w:numFmt w:val="decimal"/>
      <w:lvlText w:val=""/>
      <w:lvlJc w:val="left"/>
    </w:lvl>
  </w:abstractNum>
  <w:abstractNum w:abstractNumId="10" w15:restartNumberingAfterBreak="0">
    <w:nsid w:val="58B26A2C"/>
    <w:multiLevelType w:val="hybridMultilevel"/>
    <w:tmpl w:val="E482DCD0"/>
    <w:lvl w:ilvl="0" w:tplc="A1C20AAA">
      <w:numFmt w:val="decimal"/>
      <w:lvlText w:val=""/>
      <w:lvlJc w:val="left"/>
    </w:lvl>
    <w:lvl w:ilvl="1" w:tplc="7406A932">
      <w:numFmt w:val="decimal"/>
      <w:lvlText w:val=""/>
      <w:lvlJc w:val="left"/>
    </w:lvl>
    <w:lvl w:ilvl="2" w:tplc="940616C4">
      <w:numFmt w:val="decimal"/>
      <w:lvlText w:val=""/>
      <w:lvlJc w:val="left"/>
    </w:lvl>
    <w:lvl w:ilvl="3" w:tplc="C8D40830">
      <w:numFmt w:val="decimal"/>
      <w:lvlText w:val=""/>
      <w:lvlJc w:val="left"/>
    </w:lvl>
    <w:lvl w:ilvl="4" w:tplc="5C9AF898">
      <w:numFmt w:val="decimal"/>
      <w:lvlText w:val=""/>
      <w:lvlJc w:val="left"/>
    </w:lvl>
    <w:lvl w:ilvl="5" w:tplc="921A8790">
      <w:numFmt w:val="decimal"/>
      <w:lvlText w:val=""/>
      <w:lvlJc w:val="left"/>
    </w:lvl>
    <w:lvl w:ilvl="6" w:tplc="1D3E3C3E">
      <w:numFmt w:val="decimal"/>
      <w:lvlText w:val=""/>
      <w:lvlJc w:val="left"/>
    </w:lvl>
    <w:lvl w:ilvl="7" w:tplc="6380B1DE">
      <w:numFmt w:val="decimal"/>
      <w:lvlText w:val=""/>
      <w:lvlJc w:val="left"/>
    </w:lvl>
    <w:lvl w:ilvl="8" w:tplc="2E025562">
      <w:numFmt w:val="decimal"/>
      <w:lvlText w:val=""/>
      <w:lvlJc w:val="left"/>
    </w:lvl>
  </w:abstractNum>
  <w:abstractNum w:abstractNumId="11" w15:restartNumberingAfterBreak="0">
    <w:nsid w:val="59F0132A"/>
    <w:multiLevelType w:val="hybridMultilevel"/>
    <w:tmpl w:val="DEF03D6E"/>
    <w:lvl w:ilvl="0" w:tplc="0CA0D8F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ED410B2">
      <w:numFmt w:val="decimal"/>
      <w:lvlText w:val=""/>
      <w:lvlJc w:val="left"/>
    </w:lvl>
    <w:lvl w:ilvl="2" w:tplc="F19460FC">
      <w:numFmt w:val="decimal"/>
      <w:lvlText w:val=""/>
      <w:lvlJc w:val="left"/>
    </w:lvl>
    <w:lvl w:ilvl="3" w:tplc="238E4366">
      <w:numFmt w:val="decimal"/>
      <w:lvlText w:val=""/>
      <w:lvlJc w:val="left"/>
    </w:lvl>
    <w:lvl w:ilvl="4" w:tplc="189C5DA2">
      <w:numFmt w:val="decimal"/>
      <w:lvlText w:val=""/>
      <w:lvlJc w:val="left"/>
    </w:lvl>
    <w:lvl w:ilvl="5" w:tplc="A2F417DA">
      <w:numFmt w:val="decimal"/>
      <w:lvlText w:val=""/>
      <w:lvlJc w:val="left"/>
    </w:lvl>
    <w:lvl w:ilvl="6" w:tplc="70DC06BE">
      <w:numFmt w:val="decimal"/>
      <w:lvlText w:val=""/>
      <w:lvlJc w:val="left"/>
    </w:lvl>
    <w:lvl w:ilvl="7" w:tplc="26085A4E">
      <w:numFmt w:val="decimal"/>
      <w:lvlText w:val=""/>
      <w:lvlJc w:val="left"/>
    </w:lvl>
    <w:lvl w:ilvl="8" w:tplc="FE80159E">
      <w:numFmt w:val="decimal"/>
      <w:lvlText w:val=""/>
      <w:lvlJc w:val="left"/>
    </w:lvl>
  </w:abstractNum>
  <w:abstractNum w:abstractNumId="12" w15:restartNumberingAfterBreak="0">
    <w:nsid w:val="5B3A1AF1"/>
    <w:multiLevelType w:val="hybridMultilevel"/>
    <w:tmpl w:val="6BA89264"/>
    <w:lvl w:ilvl="0" w:tplc="96526C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CCFBB6">
      <w:numFmt w:val="decimal"/>
      <w:lvlText w:val=""/>
      <w:lvlJc w:val="left"/>
    </w:lvl>
    <w:lvl w:ilvl="2" w:tplc="217CFB60">
      <w:numFmt w:val="decimal"/>
      <w:lvlText w:val=""/>
      <w:lvlJc w:val="left"/>
    </w:lvl>
    <w:lvl w:ilvl="3" w:tplc="38AA3F98">
      <w:numFmt w:val="decimal"/>
      <w:lvlText w:val=""/>
      <w:lvlJc w:val="left"/>
    </w:lvl>
    <w:lvl w:ilvl="4" w:tplc="3E8AA336">
      <w:numFmt w:val="decimal"/>
      <w:lvlText w:val=""/>
      <w:lvlJc w:val="left"/>
    </w:lvl>
    <w:lvl w:ilvl="5" w:tplc="CDCA6A42">
      <w:numFmt w:val="decimal"/>
      <w:lvlText w:val=""/>
      <w:lvlJc w:val="left"/>
    </w:lvl>
    <w:lvl w:ilvl="6" w:tplc="CA6E6F68">
      <w:numFmt w:val="decimal"/>
      <w:lvlText w:val=""/>
      <w:lvlJc w:val="left"/>
    </w:lvl>
    <w:lvl w:ilvl="7" w:tplc="604EF0EC">
      <w:numFmt w:val="decimal"/>
      <w:lvlText w:val=""/>
      <w:lvlJc w:val="left"/>
    </w:lvl>
    <w:lvl w:ilvl="8" w:tplc="3A8A1B10">
      <w:numFmt w:val="decimal"/>
      <w:lvlText w:val=""/>
      <w:lvlJc w:val="left"/>
    </w:lvl>
  </w:abstractNum>
  <w:abstractNum w:abstractNumId="13" w15:restartNumberingAfterBreak="0">
    <w:nsid w:val="5C4800E3"/>
    <w:multiLevelType w:val="hybridMultilevel"/>
    <w:tmpl w:val="5D8AF466"/>
    <w:lvl w:ilvl="0" w:tplc="797AB6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0A98B4">
      <w:numFmt w:val="decimal"/>
      <w:lvlText w:val=""/>
      <w:lvlJc w:val="left"/>
    </w:lvl>
    <w:lvl w:ilvl="2" w:tplc="A904A928">
      <w:numFmt w:val="decimal"/>
      <w:lvlText w:val=""/>
      <w:lvlJc w:val="left"/>
    </w:lvl>
    <w:lvl w:ilvl="3" w:tplc="E1E6DE44">
      <w:numFmt w:val="decimal"/>
      <w:lvlText w:val=""/>
      <w:lvlJc w:val="left"/>
    </w:lvl>
    <w:lvl w:ilvl="4" w:tplc="675CBADE">
      <w:numFmt w:val="decimal"/>
      <w:lvlText w:val=""/>
      <w:lvlJc w:val="left"/>
    </w:lvl>
    <w:lvl w:ilvl="5" w:tplc="5CD82132">
      <w:numFmt w:val="decimal"/>
      <w:lvlText w:val=""/>
      <w:lvlJc w:val="left"/>
    </w:lvl>
    <w:lvl w:ilvl="6" w:tplc="CC1ABE00">
      <w:numFmt w:val="decimal"/>
      <w:lvlText w:val=""/>
      <w:lvlJc w:val="left"/>
    </w:lvl>
    <w:lvl w:ilvl="7" w:tplc="82A0AF08">
      <w:numFmt w:val="decimal"/>
      <w:lvlText w:val=""/>
      <w:lvlJc w:val="left"/>
    </w:lvl>
    <w:lvl w:ilvl="8" w:tplc="65E47C92">
      <w:numFmt w:val="decimal"/>
      <w:lvlText w:val=""/>
      <w:lvlJc w:val="left"/>
    </w:lvl>
  </w:abstractNum>
  <w:abstractNum w:abstractNumId="14" w15:restartNumberingAfterBreak="0">
    <w:nsid w:val="615B271B"/>
    <w:multiLevelType w:val="hybridMultilevel"/>
    <w:tmpl w:val="CB181186"/>
    <w:lvl w:ilvl="0" w:tplc="A8649F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827F24">
      <w:numFmt w:val="decimal"/>
      <w:lvlText w:val=""/>
      <w:lvlJc w:val="left"/>
    </w:lvl>
    <w:lvl w:ilvl="2" w:tplc="EFBEE526">
      <w:numFmt w:val="decimal"/>
      <w:lvlText w:val=""/>
      <w:lvlJc w:val="left"/>
    </w:lvl>
    <w:lvl w:ilvl="3" w:tplc="99167FC0">
      <w:numFmt w:val="decimal"/>
      <w:lvlText w:val=""/>
      <w:lvlJc w:val="left"/>
    </w:lvl>
    <w:lvl w:ilvl="4" w:tplc="86B2D17A">
      <w:numFmt w:val="decimal"/>
      <w:lvlText w:val=""/>
      <w:lvlJc w:val="left"/>
    </w:lvl>
    <w:lvl w:ilvl="5" w:tplc="ACCE01EC">
      <w:numFmt w:val="decimal"/>
      <w:lvlText w:val=""/>
      <w:lvlJc w:val="left"/>
    </w:lvl>
    <w:lvl w:ilvl="6" w:tplc="1E342060">
      <w:numFmt w:val="decimal"/>
      <w:lvlText w:val=""/>
      <w:lvlJc w:val="left"/>
    </w:lvl>
    <w:lvl w:ilvl="7" w:tplc="6668FC6A">
      <w:numFmt w:val="decimal"/>
      <w:lvlText w:val=""/>
      <w:lvlJc w:val="left"/>
    </w:lvl>
    <w:lvl w:ilvl="8" w:tplc="0D000FEA">
      <w:numFmt w:val="decimal"/>
      <w:lvlText w:val=""/>
      <w:lvlJc w:val="left"/>
    </w:lvl>
  </w:abstractNum>
  <w:abstractNum w:abstractNumId="15" w15:restartNumberingAfterBreak="0">
    <w:nsid w:val="74996616"/>
    <w:multiLevelType w:val="hybridMultilevel"/>
    <w:tmpl w:val="51827C16"/>
    <w:lvl w:ilvl="0" w:tplc="C9C05E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54EAF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97A02FE">
      <w:numFmt w:val="decimal"/>
      <w:lvlText w:val=""/>
      <w:lvlJc w:val="left"/>
    </w:lvl>
    <w:lvl w:ilvl="3" w:tplc="4D60E226">
      <w:numFmt w:val="decimal"/>
      <w:lvlText w:val=""/>
      <w:lvlJc w:val="left"/>
    </w:lvl>
    <w:lvl w:ilvl="4" w:tplc="8A08D278">
      <w:numFmt w:val="decimal"/>
      <w:lvlText w:val=""/>
      <w:lvlJc w:val="left"/>
    </w:lvl>
    <w:lvl w:ilvl="5" w:tplc="FE24675E">
      <w:numFmt w:val="decimal"/>
      <w:lvlText w:val=""/>
      <w:lvlJc w:val="left"/>
    </w:lvl>
    <w:lvl w:ilvl="6" w:tplc="05EA49D2">
      <w:numFmt w:val="decimal"/>
      <w:lvlText w:val=""/>
      <w:lvlJc w:val="left"/>
    </w:lvl>
    <w:lvl w:ilvl="7" w:tplc="55BC8CD0">
      <w:numFmt w:val="decimal"/>
      <w:lvlText w:val=""/>
      <w:lvlJc w:val="left"/>
    </w:lvl>
    <w:lvl w:ilvl="8" w:tplc="A35EDB3C">
      <w:numFmt w:val="decimal"/>
      <w:lvlText w:val=""/>
      <w:lvlJc w:val="left"/>
    </w:lvl>
  </w:abstractNum>
  <w:abstractNum w:abstractNumId="16" w15:restartNumberingAfterBreak="0">
    <w:nsid w:val="7C297DA7"/>
    <w:multiLevelType w:val="hybridMultilevel"/>
    <w:tmpl w:val="81901214"/>
    <w:lvl w:ilvl="0" w:tplc="E1005A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884478">
      <w:numFmt w:val="decimal"/>
      <w:lvlText w:val=""/>
      <w:lvlJc w:val="left"/>
    </w:lvl>
    <w:lvl w:ilvl="2" w:tplc="0AF49714">
      <w:numFmt w:val="decimal"/>
      <w:lvlText w:val=""/>
      <w:lvlJc w:val="left"/>
    </w:lvl>
    <w:lvl w:ilvl="3" w:tplc="4DA63450">
      <w:numFmt w:val="decimal"/>
      <w:lvlText w:val=""/>
      <w:lvlJc w:val="left"/>
    </w:lvl>
    <w:lvl w:ilvl="4" w:tplc="30208A9C">
      <w:numFmt w:val="decimal"/>
      <w:lvlText w:val=""/>
      <w:lvlJc w:val="left"/>
    </w:lvl>
    <w:lvl w:ilvl="5" w:tplc="2BB29D30">
      <w:numFmt w:val="decimal"/>
      <w:lvlText w:val=""/>
      <w:lvlJc w:val="left"/>
    </w:lvl>
    <w:lvl w:ilvl="6" w:tplc="D8781594">
      <w:numFmt w:val="decimal"/>
      <w:lvlText w:val=""/>
      <w:lvlJc w:val="left"/>
    </w:lvl>
    <w:lvl w:ilvl="7" w:tplc="3FF40130">
      <w:numFmt w:val="decimal"/>
      <w:lvlText w:val=""/>
      <w:lvlJc w:val="left"/>
    </w:lvl>
    <w:lvl w:ilvl="8" w:tplc="0CE4E6B6">
      <w:numFmt w:val="decimal"/>
      <w:lvlText w:val=""/>
      <w:lvlJc w:val="left"/>
    </w:lvl>
  </w:abstractNum>
  <w:abstractNum w:abstractNumId="17" w15:restartNumberingAfterBreak="0">
    <w:nsid w:val="7D4109A1"/>
    <w:multiLevelType w:val="hybridMultilevel"/>
    <w:tmpl w:val="255479E8"/>
    <w:lvl w:ilvl="0" w:tplc="46B4FE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6CD910">
      <w:numFmt w:val="decimal"/>
      <w:lvlText w:val=""/>
      <w:lvlJc w:val="left"/>
    </w:lvl>
    <w:lvl w:ilvl="2" w:tplc="F2A09B9E">
      <w:numFmt w:val="decimal"/>
      <w:lvlText w:val=""/>
      <w:lvlJc w:val="left"/>
    </w:lvl>
    <w:lvl w:ilvl="3" w:tplc="8FDC86F0">
      <w:numFmt w:val="decimal"/>
      <w:lvlText w:val=""/>
      <w:lvlJc w:val="left"/>
    </w:lvl>
    <w:lvl w:ilvl="4" w:tplc="2258D596">
      <w:numFmt w:val="decimal"/>
      <w:lvlText w:val=""/>
      <w:lvlJc w:val="left"/>
    </w:lvl>
    <w:lvl w:ilvl="5" w:tplc="6DC21CEA">
      <w:numFmt w:val="decimal"/>
      <w:lvlText w:val=""/>
      <w:lvlJc w:val="left"/>
    </w:lvl>
    <w:lvl w:ilvl="6" w:tplc="9684D2E2">
      <w:numFmt w:val="decimal"/>
      <w:lvlText w:val=""/>
      <w:lvlJc w:val="left"/>
    </w:lvl>
    <w:lvl w:ilvl="7" w:tplc="C3C04EDC">
      <w:numFmt w:val="decimal"/>
      <w:lvlText w:val=""/>
      <w:lvlJc w:val="left"/>
    </w:lvl>
    <w:lvl w:ilvl="8" w:tplc="CDC0C014">
      <w:numFmt w:val="decimal"/>
      <w:lvlText w:val=""/>
      <w:lvlJc w:val="left"/>
    </w:lvl>
  </w:abstractNum>
  <w:num w:numId="1" w16cid:durableId="1576087703">
    <w:abstractNumId w:val="0"/>
  </w:num>
  <w:num w:numId="2" w16cid:durableId="661353371">
    <w:abstractNumId w:val="12"/>
  </w:num>
  <w:num w:numId="3" w16cid:durableId="862086342">
    <w:abstractNumId w:val="2"/>
  </w:num>
  <w:num w:numId="4" w16cid:durableId="819077242">
    <w:abstractNumId w:val="14"/>
  </w:num>
  <w:num w:numId="5" w16cid:durableId="1494687700">
    <w:abstractNumId w:val="16"/>
  </w:num>
  <w:num w:numId="6" w16cid:durableId="1728992838">
    <w:abstractNumId w:val="17"/>
  </w:num>
  <w:num w:numId="7" w16cid:durableId="381179708">
    <w:abstractNumId w:val="9"/>
  </w:num>
  <w:num w:numId="8" w16cid:durableId="926503947">
    <w:abstractNumId w:val="1"/>
  </w:num>
  <w:num w:numId="9" w16cid:durableId="106396101">
    <w:abstractNumId w:val="15"/>
  </w:num>
  <w:num w:numId="10" w16cid:durableId="137457528">
    <w:abstractNumId w:val="7"/>
  </w:num>
  <w:num w:numId="11" w16cid:durableId="1226574282">
    <w:abstractNumId w:val="8"/>
  </w:num>
  <w:num w:numId="12" w16cid:durableId="1085035639">
    <w:abstractNumId w:val="3"/>
  </w:num>
  <w:num w:numId="13" w16cid:durableId="1590775689">
    <w:abstractNumId w:val="4"/>
  </w:num>
  <w:num w:numId="14" w16cid:durableId="1554074832">
    <w:abstractNumId w:val="13"/>
  </w:num>
  <w:num w:numId="15" w16cid:durableId="1998067719">
    <w:abstractNumId w:val="5"/>
  </w:num>
  <w:num w:numId="16" w16cid:durableId="136649428">
    <w:abstractNumId w:val="6"/>
  </w:num>
  <w:num w:numId="17" w16cid:durableId="977805095">
    <w:abstractNumId w:val="10"/>
  </w:num>
  <w:num w:numId="18" w16cid:durableId="464952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9E2"/>
    <w:rsid w:val="000520CA"/>
    <w:rsid w:val="005B538E"/>
    <w:rsid w:val="00862B07"/>
    <w:rsid w:val="00A143FB"/>
    <w:rsid w:val="00AA39A1"/>
    <w:rsid w:val="00DC3162"/>
    <w:rsid w:val="00ED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8145663"/>
  <w15:docId w15:val="{56AD5712-E1EF-4696-B027-47E53703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2871</Words>
  <Characters>17114</Characters>
  <Application>Microsoft Office Word</Application>
  <DocSecurity>0</DocSecurity>
  <Lines>305</Lines>
  <Paragraphs>183</Paragraphs>
  <ScaleCrop>false</ScaleCrop>
  <Company/>
  <LinksUpToDate>false</LinksUpToDate>
  <CharactersWithSpaces>19802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Johan Carvajal Godínez</cp:lastModifiedBy>
  <cp:revision>5</cp:revision>
  <dcterms:created xsi:type="dcterms:W3CDTF">2026-03-11T21:01:00Z</dcterms:created>
  <dcterms:modified xsi:type="dcterms:W3CDTF">2026-03-11T21:05:00Z</dcterms:modified>
</cp:coreProperties>
</file>