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4825E" w14:textId="77777777" w:rsidR="002926EF" w:rsidRDefault="00B75564" w:rsidP="00C16E91">
      <w:pPr>
        <w:pStyle w:val="Textoindependiente"/>
        <w:ind w:left="1440" w:hanging="1440"/>
        <w:rPr>
          <w:rFonts w:ascii="Times New Roman"/>
          <w:sz w:val="20"/>
        </w:rPr>
      </w:pPr>
      <w:bookmarkStart w:id="0" w:name="_Hlk47287176"/>
      <w:bookmarkEnd w:id="0"/>
      <w:r>
        <w:rPr>
          <w:noProof/>
        </w:rPr>
        <w:drawing>
          <wp:anchor distT="0" distB="0" distL="0" distR="0" simplePos="0" relativeHeight="487127040" behindDoc="1" locked="0" layoutInCell="1" allowOverlap="1" wp14:anchorId="7CF6EDC3" wp14:editId="280C4F59">
            <wp:simplePos x="0" y="0"/>
            <wp:positionH relativeFrom="page">
              <wp:posOffset>287201</wp:posOffset>
            </wp:positionH>
            <wp:positionV relativeFrom="page">
              <wp:posOffset>256638</wp:posOffset>
            </wp:positionV>
            <wp:extent cx="7279309" cy="9550199"/>
            <wp:effectExtent l="0" t="0" r="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stretch>
                      <a:fillRect/>
                    </a:stretch>
                  </pic:blipFill>
                  <pic:spPr>
                    <a:xfrm>
                      <a:off x="0" y="0"/>
                      <a:ext cx="7279309" cy="9550199"/>
                    </a:xfrm>
                    <a:prstGeom prst="rect">
                      <a:avLst/>
                    </a:prstGeom>
                  </pic:spPr>
                </pic:pic>
              </a:graphicData>
            </a:graphic>
          </wp:anchor>
        </w:drawing>
      </w:r>
    </w:p>
    <w:p w14:paraId="708A2FC2" w14:textId="77777777" w:rsidR="002926EF" w:rsidRDefault="002926EF">
      <w:pPr>
        <w:pStyle w:val="Textoindependiente"/>
        <w:rPr>
          <w:rFonts w:ascii="Times New Roman"/>
          <w:sz w:val="20"/>
        </w:rPr>
      </w:pPr>
    </w:p>
    <w:p w14:paraId="00570DA2" w14:textId="77777777" w:rsidR="002926EF" w:rsidRDefault="002926EF">
      <w:pPr>
        <w:pStyle w:val="Textoindependiente"/>
        <w:rPr>
          <w:rFonts w:ascii="Times New Roman"/>
          <w:sz w:val="20"/>
        </w:rPr>
      </w:pPr>
    </w:p>
    <w:p w14:paraId="26B29F8C" w14:textId="77777777" w:rsidR="002926EF" w:rsidRDefault="002926EF">
      <w:pPr>
        <w:pStyle w:val="Textoindependiente"/>
        <w:rPr>
          <w:rFonts w:ascii="Times New Roman"/>
          <w:sz w:val="20"/>
        </w:rPr>
      </w:pPr>
    </w:p>
    <w:p w14:paraId="2D9F9155" w14:textId="77777777" w:rsidR="002926EF" w:rsidRDefault="002926EF">
      <w:pPr>
        <w:pStyle w:val="Textoindependiente"/>
        <w:rPr>
          <w:rFonts w:ascii="Times New Roman"/>
          <w:sz w:val="20"/>
        </w:rPr>
      </w:pPr>
    </w:p>
    <w:p w14:paraId="5D973914" w14:textId="77777777" w:rsidR="002926EF" w:rsidRDefault="002926EF">
      <w:pPr>
        <w:pStyle w:val="Textoindependiente"/>
        <w:rPr>
          <w:rFonts w:ascii="Times New Roman"/>
          <w:sz w:val="20"/>
        </w:rPr>
      </w:pPr>
    </w:p>
    <w:p w14:paraId="0D758DE2" w14:textId="77777777" w:rsidR="002926EF" w:rsidRDefault="002926EF">
      <w:pPr>
        <w:pStyle w:val="Textoindependiente"/>
        <w:rPr>
          <w:rFonts w:ascii="Times New Roman"/>
          <w:sz w:val="20"/>
        </w:rPr>
      </w:pPr>
    </w:p>
    <w:p w14:paraId="71D0D3DE" w14:textId="77777777" w:rsidR="002926EF" w:rsidRDefault="002926EF">
      <w:pPr>
        <w:pStyle w:val="Textoindependiente"/>
        <w:rPr>
          <w:rFonts w:ascii="Times New Roman"/>
          <w:sz w:val="20"/>
        </w:rPr>
      </w:pPr>
    </w:p>
    <w:p w14:paraId="735CD166" w14:textId="77777777" w:rsidR="002926EF" w:rsidRDefault="002926EF">
      <w:pPr>
        <w:pStyle w:val="Textoindependiente"/>
        <w:rPr>
          <w:rFonts w:ascii="Times New Roman"/>
          <w:sz w:val="20"/>
        </w:rPr>
      </w:pPr>
    </w:p>
    <w:p w14:paraId="4ADA29AB" w14:textId="77777777" w:rsidR="002926EF" w:rsidRDefault="002926EF">
      <w:pPr>
        <w:pStyle w:val="Textoindependiente"/>
        <w:rPr>
          <w:rFonts w:ascii="Times New Roman"/>
          <w:sz w:val="20"/>
        </w:rPr>
      </w:pPr>
    </w:p>
    <w:p w14:paraId="2E7D6974" w14:textId="77777777" w:rsidR="002926EF" w:rsidRDefault="002926EF">
      <w:pPr>
        <w:pStyle w:val="Textoindependiente"/>
        <w:rPr>
          <w:rFonts w:ascii="Times New Roman"/>
          <w:sz w:val="20"/>
        </w:rPr>
      </w:pPr>
    </w:p>
    <w:p w14:paraId="1C4342F0" w14:textId="77777777" w:rsidR="002926EF" w:rsidRDefault="002926EF">
      <w:pPr>
        <w:pStyle w:val="Textoindependiente"/>
        <w:rPr>
          <w:rFonts w:ascii="Times New Roman"/>
          <w:sz w:val="20"/>
        </w:rPr>
      </w:pPr>
    </w:p>
    <w:p w14:paraId="5B6BA2B7" w14:textId="77777777" w:rsidR="002926EF" w:rsidRDefault="002926EF">
      <w:pPr>
        <w:pStyle w:val="Textoindependiente"/>
        <w:rPr>
          <w:rFonts w:ascii="Times New Roman"/>
          <w:sz w:val="20"/>
        </w:rPr>
      </w:pPr>
    </w:p>
    <w:p w14:paraId="4B4E22CB" w14:textId="77777777" w:rsidR="002926EF" w:rsidRDefault="002926EF">
      <w:pPr>
        <w:pStyle w:val="Textoindependiente"/>
        <w:rPr>
          <w:rFonts w:ascii="Times New Roman"/>
          <w:sz w:val="20"/>
        </w:rPr>
      </w:pPr>
    </w:p>
    <w:p w14:paraId="0F999732" w14:textId="77777777" w:rsidR="002926EF" w:rsidRDefault="002926EF">
      <w:pPr>
        <w:pStyle w:val="Textoindependiente"/>
        <w:rPr>
          <w:rFonts w:ascii="Times New Roman"/>
          <w:sz w:val="20"/>
        </w:rPr>
      </w:pPr>
    </w:p>
    <w:p w14:paraId="124A1DA7" w14:textId="77777777" w:rsidR="002926EF" w:rsidRDefault="002926EF">
      <w:pPr>
        <w:pStyle w:val="Textoindependiente"/>
        <w:rPr>
          <w:rFonts w:ascii="Times New Roman"/>
          <w:sz w:val="20"/>
        </w:rPr>
      </w:pPr>
    </w:p>
    <w:p w14:paraId="406043E5" w14:textId="77777777" w:rsidR="002926EF" w:rsidRDefault="002926EF">
      <w:pPr>
        <w:pStyle w:val="Textoindependiente"/>
        <w:rPr>
          <w:rFonts w:ascii="Times New Roman"/>
          <w:sz w:val="20"/>
        </w:rPr>
      </w:pPr>
    </w:p>
    <w:p w14:paraId="481972D2" w14:textId="77777777" w:rsidR="002926EF" w:rsidRDefault="002926EF">
      <w:pPr>
        <w:pStyle w:val="Textoindependiente"/>
        <w:rPr>
          <w:rFonts w:ascii="Times New Roman"/>
          <w:sz w:val="20"/>
        </w:rPr>
      </w:pPr>
    </w:p>
    <w:p w14:paraId="1356B8D6" w14:textId="77777777" w:rsidR="002926EF" w:rsidRDefault="002926EF">
      <w:pPr>
        <w:pStyle w:val="Textoindependiente"/>
        <w:spacing w:before="3"/>
        <w:rPr>
          <w:rFonts w:ascii="Times New Roman"/>
          <w:sz w:val="27"/>
        </w:rPr>
      </w:pPr>
    </w:p>
    <w:p>
      <w:pPr>
        <w:pStyle w:val="Ttulo"/>
      </w:pPr>
      <w:r>
        <w:rPr>
          <w:color w:val="585858"/>
        </w:rPr>
        <w:t xml:space="preserve">MINUTA SOBRE LA METODOLOGÍA DE MÍNIMO CAMINO ELÉCTRICO PARA MEDIOS DE GENERACIÓN DE PEQUEÑA ESCALA</w:t>
      </w:r>
    </w:p>
    <w:p w14:paraId="03EDE754" w14:textId="77777777" w:rsidR="002926EF" w:rsidRDefault="002926EF">
      <w:pPr>
        <w:pStyle w:val="Textoindependiente"/>
        <w:rPr>
          <w:sz w:val="20"/>
        </w:rPr>
      </w:pPr>
    </w:p>
    <w:p w14:paraId="58D033E7" w14:textId="77777777" w:rsidR="002926EF" w:rsidRDefault="002926EF">
      <w:pPr>
        <w:pStyle w:val="Textoindependiente"/>
        <w:rPr>
          <w:sz w:val="20"/>
        </w:rPr>
      </w:pPr>
    </w:p>
    <w:p w14:paraId="466417D2" w14:textId="77777777" w:rsidR="002926EF" w:rsidRDefault="002926EF">
      <w:pPr>
        <w:pStyle w:val="Textoindependiente"/>
        <w:rPr>
          <w:sz w:val="20"/>
        </w:rPr>
      </w:pPr>
    </w:p>
    <w:p w14:paraId="08F2AEDB" w14:textId="77777777" w:rsidR="002926EF" w:rsidRDefault="002926EF">
      <w:pPr>
        <w:pStyle w:val="Textoindependiente"/>
        <w:rPr>
          <w:sz w:val="20"/>
        </w:rPr>
      </w:pPr>
    </w:p>
    <w:p w14:paraId="612AB9AF" w14:textId="77777777" w:rsidR="002926EF" w:rsidRDefault="002926EF">
      <w:pPr>
        <w:pStyle w:val="Textoindependiente"/>
        <w:rPr>
          <w:sz w:val="20"/>
        </w:rPr>
      </w:pPr>
    </w:p>
    <w:p w14:paraId="3F225C45" w14:textId="77777777" w:rsidR="00B75564" w:rsidRDefault="00B75564" w:rsidP="00B75564">
      <w:pPr>
        <w:spacing w:before="164"/>
        <w:ind w:left="1418" w:right="1368" w:hanging="125"/>
        <w:jc w:val="center"/>
        <w:rPr>
          <w:color w:val="30849B"/>
          <w:sz w:val="32"/>
        </w:rPr>
      </w:pPr>
      <w:r>
        <w:rPr>
          <w:color w:val="30849B"/>
          <w:sz w:val="32"/>
        </w:rPr>
        <w:t>Departamento de Transferencias de Potencia y Cargos de Transmisión</w:t>
      </w:r>
    </w:p>
    <w:p w14:paraId="243A99E9" w14:textId="77777777" w:rsidR="002926EF" w:rsidRPr="000974B3" w:rsidRDefault="00B75564" w:rsidP="000974B3">
      <w:pPr>
        <w:spacing w:before="164"/>
        <w:ind w:left="1418" w:right="1368" w:hanging="125"/>
        <w:jc w:val="center"/>
        <w:rPr>
          <w:color w:val="30849B"/>
          <w:sz w:val="32"/>
        </w:rPr>
      </w:pPr>
      <w:r>
        <w:rPr>
          <w:color w:val="30849B"/>
          <w:sz w:val="32"/>
        </w:rPr>
        <w:t>Coordinador Eléctrico Nacional</w:t>
      </w:r>
    </w:p>
    <w:p w14:paraId="772F4720" w14:textId="77777777" w:rsidR="002926EF" w:rsidRPr="000974B3" w:rsidRDefault="002926EF" w:rsidP="000974B3">
      <w:pPr>
        <w:spacing w:before="164"/>
        <w:ind w:left="1418" w:right="1368" w:hanging="125"/>
        <w:jc w:val="center"/>
        <w:rPr>
          <w:color w:val="30849B"/>
          <w:sz w:val="32"/>
        </w:rPr>
        <w:sectPr w:rsidR="002926EF" w:rsidRPr="000974B3" w:rsidSect="00CC6FB6">
          <w:type w:val="continuous"/>
          <w:pgSz w:w="12240" w:h="15840"/>
          <w:pgMar w:top="1500" w:right="1021" w:bottom="280" w:left="1021" w:header="720" w:footer="720" w:gutter="0"/>
          <w:cols w:space="720"/>
        </w:sectPr>
      </w:pPr>
    </w:p>
    <w:p w14:paraId="5F599D1A" w14:textId="30D709FC" w:rsidR="00F43104" w:rsidRDefault="00B75564" w:rsidP="00F43104">
      <w:pPr>
        <w:pStyle w:val="Ttulo1"/>
        <w:numPr>
          <w:ilvl w:val="0"/>
          <w:numId w:val="8"/>
        </w:numPr>
        <w:tabs>
          <w:tab w:val="left" w:pos="572"/>
          <w:tab w:val="left" w:pos="573"/>
        </w:tabs>
        <w:spacing w:before="0" w:after="18"/>
      </w:pPr>
      <w:bookmarkStart w:id="103" w:name="_bookmark101"/>
      <w:bookmarkStart w:id="104" w:name="_Toc1029049"/>
      <w:bookmarkEnd w:id="103"/>
      <w:r>
        <w:t>INTRODUCCIÓN</w:t>
      </w:r>
      <w:bookmarkEnd w:id="104"/>
    </w:p>
    <w:p w14:paraId="04E20E73"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9A34D214" wp14:editId="2AF97D57">
                <wp:extent cx="6438900" cy="6350"/>
                <wp:effectExtent l="635" t="0" r="0" b="5080"/>
                <wp:docPr id="201"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2"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0D3C86EC"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Los decretos de precios de nudo establecen que las inyecciones de los medios de generación de pequeña escala se valorizan al precio de nudo de la subestación del Sistema de Transmisión Nacional más cercana, y que dicha subestación se determina mediante el criterio de mínima distancia eléctrica, también denominado mínimo camino eléctrico, cuya aplicación corresponde al Coordinador.</w:t>
      </w:r>
    </w:p>
    <w:p>
      <w:pPr>
        <w:pStyle w:val="Textoindependiente"/>
        <w:spacing w:after="200" w:line="276" w:lineRule="auto"/>
        <w:ind w:left="140" w:right="272"/>
        <w:jc w:val="both"/>
      </w:pPr>
      <w:r>
        <w:t xml:space="preserve">Como fuente de la metodología descrita en esta minuta se utiliza el siguiente extracto, contenido en el numeral 2.2 de los decretos de precios de nudo:</w:t>
      </w:r>
    </w:p>
    <w:p>
      <w:pPr>
        <w:pStyle w:val="Textoindependiente"/>
        <w:spacing w:after="200" w:line="276" w:lineRule="auto"/>
        <w:ind w:left="700" w:right="700"/>
        <w:jc w:val="both"/>
      </w:pPr>
      <w:r>
        <w:rPr>
          <w:i/>
          <w:iCs/>
        </w:rPr>
        <w:t xml:space="preserve">“2.2 Precio de Nudo aplicables a las Inyecciones de Medios de generación de pequeña escala. Tanto el precio de nudo de energía como el precio de nudo de potencia aplicables a las inyecciones efectuadas por los medios de generación de pequeña escala a que se refiere el artículo segundo transitorio del decreto Nº 88/2019, del Ministerio de Energía, corresponderán al precio de nudo de la subestación del Sistema de Transmisión Nacional más cercana. A estos efectos, la subestación del Sistema de Transmisión Nacional más cercana corresponderá a la que se encuentre a la mínima distancia eléctrica entre el punto de inyección y la subestación respectiva del Sistema de Transmisión Nacional, determinada por el Coordinador.”</w:t>
      </w:r>
    </w:p>
    <w:p>
      <w:pPr>
        <w:pStyle w:val="Textoindependiente"/>
        <w:spacing w:after="200" w:line="276" w:lineRule="auto"/>
        <w:ind w:left="140" w:right="272"/>
        <w:jc w:val="both"/>
      </w:pPr>
      <w:r>
        <w:t xml:space="preserve">La presente minuta describe brevemente la lógica de la metodología de mínimo camino eléctrico y expone, mediante un caso específico, un efecto no deseado de su aplicación: la asignación de una barra troncal alejada de la barra analizada porque el camino directo, de menor longitud, contiene un transformador de alta reactancia que la metodología prefiere rodear. Asimismo, se describe la práctica histórica de asociación manual de barras que se ha aplicado para evitar este efecto.</w:t>
      </w:r>
    </w:p>
    <w:p>
      <w:pPr>
        <w:pStyle w:val="Textoindependiente"/>
        <w:spacing w:after="0"/>
      </w:pPr>
    </w:p>
    <w:p w14:paraId="606FDE23" w14:textId="30D709FC" w:rsidR="00F43104" w:rsidRDefault="00B75564" w:rsidP="00F43104">
      <w:pPr>
        <w:pStyle w:val="Ttulo1"/>
        <w:numPr>
          <w:ilvl w:val="0"/>
          <w:numId w:val="8"/>
        </w:numPr>
        <w:tabs>
          <w:tab w:val="left" w:pos="572"/>
          <w:tab w:val="left" w:pos="573"/>
        </w:tabs>
        <w:spacing w:before="0" w:after="18"/>
      </w:pPr>
      <w:bookmarkStart w:id="107" w:name="_bookmark105"/>
      <w:bookmarkStart w:id="108" w:name="_Toc1069049"/>
      <w:bookmarkEnd w:id="107"/>
      <w:r>
        <w:t>METODOLOGÍA DEL MÍNIMO CAMINO ELÉCTRICO</w:t>
      </w:r>
      <w:bookmarkEnd w:id="108"/>
    </w:p>
    <w:p w14:paraId="7777336B"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63DACD07" wp14:editId="2AF97D57">
                <wp:extent cx="6438900" cy="6350"/>
                <wp:effectExtent l="635" t="0" r="0" b="5080"/>
                <wp:docPr id="203"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4"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E1915D14"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La metodología representa el sistema de transmisión como una red en la que las barras corresponden a nodos y las líneas y transformadores a tramos que las conectan. Cada tramo se caracteriza por sus barras extremas, su tensión nominal y su reactancia X, expresada en ohm, de acuerdo con los parámetros de la base de instalaciones que utiliza el Coordinador para el Balance de Potencia. Los tramos paralelos entre las mismas dos barras, sean circuitos de una línea o unidades de transformación, se combinan en un único tramo de reactancia equivalente (1/Xeq = Σ 1/Xi).</w:t>
      </w:r>
    </w:p>
    <w:p>
      <w:pPr>
        <w:pStyle w:val="Textoindependiente"/>
        <w:spacing w:after="200" w:line="276" w:lineRule="auto"/>
        <w:ind w:left="140" w:right="272"/>
        <w:jc w:val="both"/>
      </w:pPr>
      <w:r>
        <w:t xml:space="preserve">La “distancia” que considera el decreto no es la longitud geográfica que separa la barra analizada de la subestación, sino su distancia eléctrica, representada por la reactancia de los tramos que las vinculan. De este modo, la distancia eléctrica de un camino entre dos barras corresponde a la suma de las reactancias de los tramos que lo componen, y el mínimo camino eléctrico entre la barra analizada y una subestación es aquel que minimiza dicha suma entre todas las rutas posibles de la red.</w:t>
      </w:r>
    </w:p>
    <w:p>
      <w:pPr>
        <w:pStyle w:val="Textoindependiente"/>
        <w:spacing w:after="200" w:line="276" w:lineRule="auto"/>
        <w:ind w:left="140" w:right="272"/>
        <w:jc w:val="both"/>
      </w:pPr>
      <w:r>
        <w:t xml:space="preserve">En consecuencia, la determinación de la barra troncal más cercana a una barra analizada se efectúa de la siguiente forma:</w:t>
      </w:r>
    </w:p>
    <w:p>
      <w:pPr>
        <w:pStyle w:val="Textoindependiente"/>
        <w:numPr>
          <w:ilvl w:val="0"/>
          <w:numId w:val="15"/>
        </w:numPr>
        <w:spacing w:after="100" w:line="276" w:lineRule="auto"/>
        <w:ind w:right="272"/>
        <w:jc w:val="both"/>
      </w:pPr>
      <w:r>
        <w:t xml:space="preserve">Se identifica la barra analizada en la red y el subsistema al que pertenece.</w:t>
      </w:r>
    </w:p>
    <w:p>
      <w:pPr>
        <w:pStyle w:val="Textoindependiente"/>
        <w:numPr>
          <w:ilvl w:val="0"/>
          <w:numId w:val="15"/>
        </w:numPr>
        <w:spacing w:after="100" w:line="276" w:lineRule="auto"/>
        <w:ind w:right="272"/>
        <w:jc w:val="both"/>
      </w:pPr>
      <w:r>
        <w:t xml:space="preserve">Se identifican las barras troncales de precio de nudo, que son los destinos candidatos a ser asignados.</w:t>
      </w:r>
    </w:p>
    <w:p>
      <w:pPr>
        <w:pStyle w:val="Textoindependiente"/>
        <w:numPr>
          <w:ilvl w:val="0"/>
          <w:numId w:val="15"/>
        </w:numPr>
        <w:spacing w:after="100" w:line="276" w:lineRule="auto"/>
        <w:ind w:right="272"/>
        <w:jc w:val="both"/>
      </w:pPr>
      <w:r>
        <w:t xml:space="preserve">Para cada barra troncal del mismo subsistema se determina el camino de mínima reactancia acumulada desde la barra analizada.</w:t>
      </w:r>
    </w:p>
    <w:p>
      <w:pPr>
        <w:pStyle w:val="Textoindependiente"/>
        <w:numPr>
          <w:ilvl w:val="0"/>
          <w:numId w:val="15"/>
        </w:numPr>
        <w:spacing w:after="100" w:line="276" w:lineRule="auto"/>
        <w:ind w:right="272"/>
        <w:jc w:val="both"/>
      </w:pPr>
      <w:r>
        <w:t xml:space="preserve">Se asigna la barra troncal cuya distancia eléctrica resulta menor, y su precio de nudo se aplica a las inyecciones de la barra analizada.</w:t>
      </w:r>
    </w:p>
    <w:p>
      <w:pPr>
        <w:pStyle w:val="Textoindependiente"/>
        <w:spacing w:after="200" w:line="276" w:lineRule="auto"/>
        <w:ind w:left="140" w:right="272"/>
        <w:jc w:val="both"/>
      </w:pPr>
      <w:r>
        <w:t xml:space="preserve">La Figura 1 ilustra el criterio con un ejemplo conceptual: aunque la barra analizada está vinculada a dos barras troncales, se asigna la barra A, por cuanto la suma de reactancias del camino que conduce a ella es menor.</w:t>
      </w:r>
    </w:p>
    <w:p>
      <w:pPr>
        <w:pStyle w:val="Textoindependiente"/>
        <w:spacing w:before="120"/>
        <w:jc w:val="center"/>
      </w:pPr>
      <w:r>
        <w:rPr>
          <w:noProof/>
        </w:rPr>
        <w:drawing>
          <wp:inline distT="0" distB="0" distL="0" distR="0">
            <wp:extent cx="4937760" cy="2208323"/>
            <wp:effectExtent l="0" t="0" r="0" b="0"/>
            <wp:docPr id="205" name="image_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image_fig1.png"/>
                    <pic:cNvPicPr/>
                  </pic:nvPicPr>
                  <pic:blipFill>
                    <a:blip r:embed="rIdFig1"/>
                    <a:stretch>
                      <a:fillRect/>
                    </a:stretch>
                  </pic:blipFill>
                  <pic:spPr>
                    <a:xfrm>
                      <a:off x="0" y="0"/>
                      <a:ext cx="4937760" cy="2208323"/>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1. Criterio de mínima distancia eléctrica: la barra troncal asignada es la de menor suma de reactancias.</w:t>
      </w:r>
    </w:p>
    <w:p>
      <w:pPr>
        <w:pStyle w:val="Textoindependiente"/>
        <w:spacing w:after="200" w:line="276" w:lineRule="auto"/>
        <w:ind w:left="140" w:right="272"/>
        <w:jc w:val="both"/>
      </w:pPr>
      <w:r>
        <w:t xml:space="preserve">Cabe destacar que, como la reactancia de una línea es proporcional a su longitud, en una red compuesta solo por líneas la distancia eléctrica y la longitud del camino suelen coincidir. Sin embargo, los transformadores tienen longitud nula y una reactancia que puede equivaler a decenas o cientos de kilómetros de línea, por lo que un camino directo que atraviese un transformador de alta reactancia puede resultar eléctricamente más largo que un rodeo de muchos kilómetros por la red, como se muestra en el caso siguiente.</w:t>
      </w:r>
    </w:p>
    <w:p>
      <w:pPr>
        <w:pStyle w:val="Textoindependiente"/>
        <w:spacing w:after="200" w:line="276" w:lineRule="auto"/>
        <w:ind w:left="140" w:right="272"/>
        <w:jc w:val="both"/>
      </w:pPr>
      <w:r>
        <w:t xml:space="preserve">Para evitar este efecto, históricamente en el proceso se ha asociado de forma manual la barra de 66 kV a la barra de 220 kV de la misma subestación, de modo que el cálculo no considere el transformador que las une y la barra quede asignada a la barra troncal de su propio emplazamiento. Esta asociación no tiene respaldo en el cálculo ni en un criterio documentado: se basa únicamente en la práctica histórica del proceso, y por tanto no es verificable ni se aplica necesariamente de manera uniforme a todos los casos equivalentes.</w:t>
      </w:r>
    </w:p>
    <w:p>
      <w:pPr>
        <w:pStyle w:val="Textoindependiente"/>
        <w:spacing w:after="0"/>
      </w:pPr>
    </w:p>
    <w:p w14:paraId="7013693E" w14:textId="30D709FC" w:rsidR="00F43104" w:rsidRDefault="00B75564" w:rsidP="00F43104">
      <w:pPr>
        <w:pStyle w:val="Ttulo1"/>
        <w:numPr>
          <w:ilvl w:val="0"/>
          <w:numId w:val="8"/>
        </w:numPr>
        <w:tabs>
          <w:tab w:val="left" w:pos="572"/>
          <w:tab w:val="left" w:pos="573"/>
        </w:tabs>
        <w:spacing w:before="0" w:after="18"/>
      </w:pPr>
      <w:bookmarkStart w:id="111" w:name="_bookmark109"/>
      <w:bookmarkStart w:id="112" w:name="_Toc1109049"/>
      <w:bookmarkEnd w:id="111"/>
      <w:r>
        <w:t>EJEMPLO: BARRA LA PALMA 13 kV</w:t>
      </w:r>
      <w:bookmarkEnd w:id="112"/>
    </w:p>
    <w:p w14:paraId="497B2B40"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24F238A6" wp14:editId="2AF97D57">
                <wp:extent cx="6438900" cy="6350"/>
                <wp:effectExtent l="635" t="0" r="0" b="5080"/>
                <wp:docPr id="206"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7"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4473DF6D"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El efecto descrito se observa en la barra La Palma 13 kV, en la comuna de San Javier, Región del Maule. La barra troncal más cercana en distancia es Ancoa 220 kV, a unos 32 km en línea recta, y el camino directo hacia ella pasa por los transformadores de Itahue. Sin embargo, el transformador Itahue 154/66 kV tiene una reactancia equivalente de 85,7 ohm, comparable a más de 200 km de línea de 66 kV, por lo que el mínimo camino eléctrico lo rodea por la red de 66 kV hasta San Fernando y termina asignando Candelaria 220 kV, en la Región Metropolitana, como se ve a continuación:</w:t>
      </w:r>
    </w:p>
    <w:p>
      <w:pPr>
        <w:pStyle w:val="Textoindependiente"/>
        <w:spacing w:before="120"/>
        <w:jc w:val="center"/>
      </w:pPr>
      <w:r>
        <w:rPr>
          <w:noProof/>
        </w:rPr>
        <w:drawing>
          <wp:inline distT="0" distB="0" distL="0" distR="0">
            <wp:extent cx="5669280" cy="3076834"/>
            <wp:effectExtent l="0" t="0" r="0" b="0"/>
            <wp:docPr id="208" name="image_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image_fig2.png"/>
                    <pic:cNvPicPr/>
                  </pic:nvPicPr>
                  <pic:blipFill>
                    <a:blip r:embed="rIdFig2"/>
                    <a:stretch>
                      <a:fillRect/>
                    </a:stretch>
                  </pic:blipFill>
                  <pic:spPr>
                    <a:xfrm>
                      <a:off x="0" y="0"/>
                      <a:ext cx="5669280" cy="3076834"/>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2. Caminos eléctricos desde la barra La Palma 13 kV: camino directo por los transformadores de Itahue (segmentado) y camino de mínima distancia eléctrica por San Fernando hasta Candelaria 220 kV (continuo). Reactancias equivalentes con paralelos combinados; longitudes geográficas entre barras.</w:t>
      </w:r>
    </w:p>
    <w:tbl>
      <w:tblPr>
        <w:tblW w:w="9300" w:type="dxa"/>
        <w:tblInd w:w="449" w:type="dxa"/>
        <w:tblCellMar>
          <w:left w:w="70" w:type="dxa"/>
          <w:right w:w="70" w:type="dxa"/>
        </w:tblCellMar>
        <w:tblLook w:val="04A0"/>
      </w:tblPr>
      <w:tblGrid>
        <w:gridCol w:w="5300"/>
        <w:gridCol w:w="1300"/>
        <w:gridCol w:w="1200"/>
        <w:gridCol w:w="1500"/>
      </w:tblGrid>
      <w:tr>
        <w:trPr>
          <w:trHeight w:val="300"/>
        </w:trPr>
        <w:tc>
          <w:tcPr>
            <w:tcW w:w="53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Camino</w:t>
            </w:r>
          </w:p>
        </w:tc>
        <w:tc>
          <w:tcPr>
            <w:tcW w:w="13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Longitud [km]</w:t>
            </w:r>
          </w:p>
        </w:tc>
        <w:tc>
          <w:tcPr>
            <w:tcW w:w="12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X [ohm]</w:t>
            </w:r>
          </w:p>
        </w:tc>
        <w:tc>
          <w:tcPr>
            <w:tcW w:w="15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Resultado</w:t>
            </w:r>
          </w:p>
        </w:tc>
      </w:tr>
      <w:tr>
        <w:trPr>
          <w:trHeight w:val="300"/>
        </w:trPr>
        <w:tc>
          <w:tcPr>
            <w:tcW w:w="5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Directo a Itahue 220 kV, por los transformadores de Itahue</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58,8</w:t>
            </w:r>
          </w:p>
        </w:tc>
        <w:tc>
          <w:tcPr>
            <w:tcW w:w="12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206,0</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Descartado</w:t>
            </w:r>
          </w:p>
        </w:tc>
      </w:tr>
      <w:tr>
        <w:trPr>
          <w:trHeight w:val="300"/>
        </w:trPr>
        <w:tc>
          <w:tcPr>
            <w:tcW w:w="5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Directo a Ancoa 220 kV, el anterior más la línea Itahue – Ancoa</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119,1</w:t>
            </w:r>
          </w:p>
        </w:tc>
        <w:tc>
          <w:tcPr>
            <w:tcW w:w="12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222,0</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Descartado</w:t>
            </w:r>
          </w:p>
        </w:tc>
      </w:tr>
      <w:tr>
        <w:trPr>
          <w:trHeight w:val="300"/>
        </w:trPr>
        <w:tc>
          <w:tcPr>
            <w:tcW w:w="5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Rodeo a Candelaria 220 kV, por San Fernando y Tinguiririca</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223,9</w:t>
            </w:r>
          </w:p>
        </w:tc>
        <w:tc>
          <w:tcPr>
            <w:tcW w:w="12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150,7</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Seleccionado</w:t>
            </w:r>
          </w:p>
        </w:tc>
      </w:tr>
    </w:tbl>
    <w:p>
      <w:pPr>
        <w:pStyle w:val="Textoindependiente"/>
        <w:spacing w:after="0"/>
      </w:pPr>
    </w:p>
    <w:p>
      <w:pPr>
        <w:pStyle w:val="Textoindependiente"/>
        <w:spacing w:after="200" w:line="276" w:lineRule="auto"/>
        <w:ind w:left="140" w:right="272"/>
        <w:jc w:val="both"/>
      </w:pPr>
      <w:r>
        <w:t xml:space="preserve">La barra asignada es Candelaria 220 kV, a 223,9 km de recorrido y 150,7 ohm, y no Ancoa 220 kV ni Itahue 220 kV, que se encuentran a menos de la mitad de la distancia pero cuyo camino directo pasa por el transformador de alta reactancia (Figura 3). Incluso el mejor camino eléctrico hacia Ancoa, que sigue la misma ruta hasta Puente Negro y continúa por Colbún, suma 156,6 ohm, levemente más que Candelaria.</w:t>
      </w:r>
    </w:p>
    <w:p>
      <w:pPr>
        <w:pStyle w:val="Textoindependiente"/>
        <w:spacing w:before="120"/>
        <w:jc w:val="center"/>
      </w:pPr>
      <w:r>
        <w:rPr>
          <w:noProof/>
        </w:rPr>
        <w:drawing>
          <wp:inline distT="0" distB="0" distL="0" distR="0">
            <wp:extent cx="5120640" cy="1852303"/>
            <wp:effectExtent l="0" t="0" r="0" b="0"/>
            <wp:docPr id="209" name="image_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image_fig3.png"/>
                    <pic:cNvPicPr/>
                  </pic:nvPicPr>
                  <pic:blipFill>
                    <a:blip r:embed="rIdFig3"/>
                    <a:stretch>
                      <a:fillRect/>
                    </a:stretch>
                  </pic:blipFill>
                  <pic:spPr>
                    <a:xfrm>
                      <a:off x="0" y="0"/>
                      <a:ext cx="5120640" cy="1852303"/>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3. Longitud y distancia eléctrica de los caminos desde La Palma 13 kV hacia las barras troncales Itahue, Ancoa y Candelaria 220 kV.</w:t>
      </w:r>
    </w:p>
    <w:p>
      <w:pPr>
        <w:pStyle w:val="Textoindependiente"/>
        <w:spacing w:after="200" w:line="276" w:lineRule="auto"/>
        <w:ind w:left="140" w:right="272"/>
        <w:jc w:val="both"/>
      </w:pPr>
      <w:r>
        <w:t xml:space="preserve">Lo anterior genera los siguientes problemas en la aplicación de la metodología:</w:t>
      </w:r>
    </w:p>
    <w:p>
      <w:pPr>
        <w:pStyle w:val="Textoindependiente"/>
        <w:numPr>
          <w:ilvl w:val="0"/>
          <w:numId w:val="15"/>
        </w:numPr>
        <w:spacing w:after="100" w:line="276" w:lineRule="auto"/>
        <w:ind w:right="272"/>
        <w:jc w:val="both"/>
      </w:pPr>
      <w:r>
        <w:rPr>
          <w:b/>
          <w:bCs/>
        </w:rPr>
        <w:t xml:space="preserve">Resultados contraintuitivos para los coordinados:</w:t>
      </w:r>
      <w:r>
        <w:t xml:space="preserve"> la barra analizada se ubica a unos 32 km de la subestación Ancoa y, pese a ello, se le asigna una barra a unos 199 km, en otra región, cuyo precio de nudo es distinto. Esta situación es difícil de explicar y motiva observaciones y discrepancias en los procesos de valorización.</w:t>
      </w:r>
    </w:p>
    <w:p>
      <w:pPr>
        <w:pStyle w:val="Textoindependiente"/>
        <w:numPr>
          <w:ilvl w:val="0"/>
          <w:numId w:val="15"/>
        </w:numPr>
        <w:spacing w:after="100" w:line="276" w:lineRule="auto"/>
        <w:ind w:right="272"/>
        <w:jc w:val="both"/>
      </w:pPr>
      <w:r>
        <w:rPr>
          <w:b/>
          <w:bCs/>
        </w:rPr>
        <w:t xml:space="preserve">Dependencia de un único parámetro:</w:t>
      </w:r>
      <w:r>
        <w:t xml:space="preserve"> la asignación queda determinada por la reactancia registrada para un solo tramo, el transformador Itahue 154/66 kV. Un valor elevado, sea por las características reales de las unidades o por un error en la base de instalaciones, basta para que el camino directo quede descartado, incluso después de combinar en paralelo las dos unidades existentes.</w:t>
      </w:r>
    </w:p>
    <w:p>
      <w:pPr>
        <w:pStyle w:val="Textoindependiente"/>
        <w:numPr>
          <w:ilvl w:val="0"/>
          <w:numId w:val="15"/>
        </w:numPr>
        <w:spacing w:after="100" w:line="276" w:lineRule="auto"/>
        <w:ind w:right="272"/>
        <w:jc w:val="both"/>
      </w:pPr>
      <w:r>
        <w:rPr>
          <w:b/>
          <w:bCs/>
        </w:rPr>
        <w:t xml:space="preserve">Inestabilidad del resultado en el tiempo:</w:t>
      </w:r>
      <w:r>
        <w:t xml:space="preserve"> la corrección del parámetro, el reemplazo del transformador o la entrada en operación de una nueva instalación pueden cambiar la barra asignada de un período a otro. En este mismo caso, la entrada en operación de la subestación Nueva Nirivilo, con su transformador 220/66 kV de 67,9 ohm y las líneas de 220 kV hacia Mataquito e Itahue, hace que la barra más cercana pase a ser Itahue 220 kV, con 148,1 ohm, y Candelaria deje de ser la asignada, con el consiguiente cambio del precio de nudo aplicado a las inyecciones.</w:t>
      </w:r>
    </w:p>
    <w:p>
      <w:pPr>
        <w:pStyle w:val="Textoindependiente"/>
        <w:numPr>
          <w:ilvl w:val="0"/>
          <w:numId w:val="15"/>
        </w:numPr>
        <w:spacing w:after="100" w:line="276" w:lineRule="auto"/>
        <w:ind w:right="272"/>
        <w:jc w:val="both"/>
      </w:pPr>
      <w:r>
        <w:rPr>
          <w:b/>
          <w:bCs/>
        </w:rPr>
        <w:t xml:space="preserve">Asociación manual sin respaldo:</w:t>
      </w:r>
      <w:r>
        <w:t xml:space="preserve"> en casos equivalentes se ha evitado este efecto asociando manualmente la barra de 66 kV a la barra de 220 kV de la misma subestación, según se describió en la sección anterior. Como esa asociación se basa solo en la práctica histórica, existen casos en que la barra asignada no corresponde al resultado del cálculo y casos, como el de La Palma, en que sí corresponde a pesar de ser contraintuitivo, lo que dificulta la trazabilidad del proceso y puede generar desconfianza en los coordinados.</w:t>
      </w:r>
    </w:p>
    <w:p>
      <w:pPr>
        <w:pStyle w:val="Textoindependiente"/>
        <w:spacing w:after="0"/>
      </w:pPr>
    </w:p>
    <w:p w14:paraId="6AE74D28" w14:textId="30D709FC" w:rsidR="00F43104" w:rsidRDefault="00B75564" w:rsidP="00F43104">
      <w:pPr>
        <w:pStyle w:val="Ttulo1"/>
        <w:numPr>
          <w:ilvl w:val="0"/>
          <w:numId w:val="8"/>
        </w:numPr>
        <w:tabs>
          <w:tab w:val="left" w:pos="572"/>
          <w:tab w:val="left" w:pos="573"/>
        </w:tabs>
        <w:spacing w:before="0" w:after="18"/>
      </w:pPr>
      <w:bookmarkStart w:id="115" w:name="_bookmark113"/>
      <w:bookmarkStart w:id="116" w:name="_Toc1149049"/>
      <w:bookmarkEnd w:id="115"/>
      <w:r>
        <w:t>ALTERNATIVAS</w:t>
      </w:r>
      <w:bookmarkEnd w:id="116"/>
    </w:p>
    <w:p w14:paraId="2F20E2AC"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2F660444" wp14:editId="2AF97D57">
                <wp:extent cx="6438900" cy="6350"/>
                <wp:effectExtent l="635" t="0" r="0" b="5080"/>
                <wp:docPr id="210"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11"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4E26E562"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Con el objeto de reducir el impacto del efecto descrito, se identifican las siguientes alternativas, no excluyentes entre sí:</w:t>
      </w:r>
    </w:p>
    <w:p>
      <w:pPr>
        <w:pStyle w:val="Textoindependiente"/>
        <w:numPr>
          <w:ilvl w:val="0"/>
          <w:numId w:val="15"/>
        </w:numPr>
        <w:spacing w:after="100" w:line="276" w:lineRule="auto"/>
        <w:ind w:right="272"/>
        <w:jc w:val="both"/>
      </w:pPr>
      <w:r>
        <w:t xml:space="preserve">Publicar, junto con la barra troncal asignada a cada barra analizada, el camino eléctrico considerado y la distancia eléctrica a las barras troncales candidatas más próximas, de modo que los coordinados puedan verificar el resultado y anticipar las observaciones.</w:t>
      </w:r>
    </w:p>
    <w:p>
      <w:pPr>
        <w:pStyle w:val="Textoindependiente"/>
        <w:numPr>
          <w:ilvl w:val="0"/>
          <w:numId w:val="15"/>
        </w:numPr>
        <w:spacing w:after="100" w:line="276" w:lineRule="auto"/>
        <w:ind w:right="272"/>
        <w:jc w:val="both"/>
      </w:pPr>
      <w:r>
        <w:t xml:space="preserve">Validar los valores de reactancia de los transformadores de la base de instalaciones, en particular los de alta reactancia, como Itahue 154/66 kV, por ser estos los parámetros que determinan la asignación.</w:t>
      </w:r>
    </w:p>
    <w:p>
      <w:pPr>
        <w:pStyle w:val="Textoindependiente"/>
        <w:numPr>
          <w:ilvl w:val="0"/>
          <w:numId w:val="15"/>
        </w:numPr>
        <w:spacing w:after="100" w:line="276" w:lineRule="auto"/>
        <w:ind w:right="272"/>
        <w:jc w:val="both"/>
      </w:pPr>
      <w:r>
        <w:t xml:space="preserve">Formalizar y documentar el criterio con que históricamente se asocia manualmente la barra de 66 kV a la barra de 220 kV de la misma subestación, de modo que la regla sea explícita, forme parte del cálculo, se aplique de manera uniforme a todos los casos equivalentes y pueda ser verificada por los coordinados, en lugar de depender de ajustes caso a caso.</w:t>
      </w:r>
    </w:p>
    <w:p>
      <w:pPr>
        <w:pStyle w:val="Textoindependiente"/>
        <w:numPr>
          <w:ilvl w:val="0"/>
          <w:numId w:val="15"/>
        </w:numPr>
        <w:spacing w:after="100" w:line="276" w:lineRule="auto"/>
        <w:ind w:right="272"/>
        <w:jc w:val="both"/>
      </w:pPr>
      <w:r>
        <w:t xml:space="preserve">Evaluar la incorporación de un criterio complementario para los casos en que el camino seleccionado rodee un camino directo de longitud notoriamente menor, por ejemplo privilegiando la barra troncal más cercana en distancia cuando la diferencia de distancia eléctrica respecto del camino seleccionado se explique únicamente por un transformador.</w:t>
      </w:r>
    </w:p>
    <w:p>
      <w:pPr>
        <w:pStyle w:val="Textoindependiente"/>
        <w:numPr>
          <w:ilvl w:val="0"/>
          <w:numId w:val="15"/>
        </w:numPr>
        <w:spacing w:after="100" w:line="276" w:lineRule="auto"/>
        <w:ind w:right="272"/>
        <w:jc w:val="both"/>
      </w:pPr>
      <w:r>
        <w:t xml:space="preserve">Documentar y comunicar a los coordinados el criterio de distancia eléctrica y su diferencia con la distancia geográfica, a fin de reducir las discrepancias originadas en la interpretación del concepto de subestación más cercana.</w:t>
      </w:r>
    </w:p>
    <w:sectPr w:rsidR="00F43104" w:rsidRPr="001A06AA" w:rsidSect="00E4237C">
      <w:headerReference w:type="default" r:id="rId9"/>
      <w:footerReference w:type="default" r:id="rId10"/>
      <w:pgSz w:w="12240" w:h="15840"/>
      <w:pgMar w:top="1740" w:right="1021" w:bottom="1276" w:left="1021" w:header="438" w:footer="49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09637" w14:textId="77777777" w:rsidR="00B07233" w:rsidRDefault="00B07233">
      <w:r>
        <w:separator/>
      </w:r>
    </w:p>
  </w:endnote>
  <w:endnote w:type="continuationSeparator" w:id="0">
    <w:p w14:paraId="45F9712B" w14:textId="77777777" w:rsidR="00B07233" w:rsidRDefault="00B072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rlito">
    <w:altName w:val="Calibri"/>
    <w:charset w:val="00"/>
    <w:family w:val="swiss"/>
    <w:pitch w:val="variable"/>
  </w:font>
  <w:font w:name="Arial">
    <w:altName w:val="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C4E63" w14:textId="0ADD472A" w:rsidR="00F15603" w:rsidRDefault="00F15603">
    <w:pPr>
      <w:pStyle w:val="Textoindependiente"/>
      <w:spacing w:line="14" w:lineRule="auto"/>
      <w:rPr>
        <w:sz w:val="20"/>
      </w:rPr>
    </w:pPr>
    <w:r>
      <w:rPr>
        <w:noProof/>
      </w:rPr>
      <mc:AlternateContent>
        <mc:Choice Requires="wps">
          <w:drawing>
            <wp:anchor distT="0" distB="0" distL="114300" distR="114300" simplePos="0" relativeHeight="487127552" behindDoc="1" locked="0" layoutInCell="1" allowOverlap="1" wp14:anchorId="5F0232AB" wp14:editId="65FFBAD2">
              <wp:simplePos x="0" y="0"/>
              <wp:positionH relativeFrom="page">
                <wp:posOffset>685800</wp:posOffset>
              </wp:positionH>
              <wp:positionV relativeFrom="page">
                <wp:posOffset>9566275</wp:posOffset>
              </wp:positionV>
              <wp:extent cx="6402070" cy="208915"/>
              <wp:effectExtent l="0" t="0" r="0" b="0"/>
              <wp:wrapNone/>
              <wp:docPr id="20"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402070" cy="208915"/>
                      </a:xfrm>
                      <a:custGeom>
                        <a:avLst/>
                        <a:gdLst>
                          <a:gd name="T0" fmla="+- 0 1090 1080"/>
                          <a:gd name="T1" fmla="*/ T0 w 10082"/>
                          <a:gd name="T2" fmla="+- 0 15065 15065"/>
                          <a:gd name="T3" fmla="*/ 15065 h 329"/>
                          <a:gd name="T4" fmla="+- 0 1080 1080"/>
                          <a:gd name="T5" fmla="*/ T4 w 10082"/>
                          <a:gd name="T6" fmla="+- 0 15065 15065"/>
                          <a:gd name="T7" fmla="*/ 15065 h 329"/>
                          <a:gd name="T8" fmla="+- 0 1080 1080"/>
                          <a:gd name="T9" fmla="*/ T8 w 10082"/>
                          <a:gd name="T10" fmla="+- 0 15384 15065"/>
                          <a:gd name="T11" fmla="*/ 15384 h 329"/>
                          <a:gd name="T12" fmla="+- 0 1090 1080"/>
                          <a:gd name="T13" fmla="*/ T12 w 10082"/>
                          <a:gd name="T14" fmla="+- 0 15384 15065"/>
                          <a:gd name="T15" fmla="*/ 15384 h 329"/>
                          <a:gd name="T16" fmla="+- 0 1090 1080"/>
                          <a:gd name="T17" fmla="*/ T16 w 10082"/>
                          <a:gd name="T18" fmla="+- 0 15065 15065"/>
                          <a:gd name="T19" fmla="*/ 15065 h 329"/>
                          <a:gd name="T20" fmla="+- 0 10075 1080"/>
                          <a:gd name="T21" fmla="*/ T20 w 10082"/>
                          <a:gd name="T22" fmla="+- 0 15065 15065"/>
                          <a:gd name="T23" fmla="*/ 15065 h 329"/>
                          <a:gd name="T24" fmla="+- 0 10065 1080"/>
                          <a:gd name="T25" fmla="*/ T24 w 10082"/>
                          <a:gd name="T26" fmla="+- 0 15065 15065"/>
                          <a:gd name="T27" fmla="*/ 15065 h 329"/>
                          <a:gd name="T28" fmla="+- 0 1090 1080"/>
                          <a:gd name="T29" fmla="*/ T28 w 10082"/>
                          <a:gd name="T30" fmla="+- 0 15065 15065"/>
                          <a:gd name="T31" fmla="*/ 15065 h 329"/>
                          <a:gd name="T32" fmla="+- 0 1090 1080"/>
                          <a:gd name="T33" fmla="*/ T32 w 10082"/>
                          <a:gd name="T34" fmla="+- 0 15074 15065"/>
                          <a:gd name="T35" fmla="*/ 15074 h 329"/>
                          <a:gd name="T36" fmla="+- 0 10065 1080"/>
                          <a:gd name="T37" fmla="*/ T36 w 10082"/>
                          <a:gd name="T38" fmla="+- 0 15074 15065"/>
                          <a:gd name="T39" fmla="*/ 15074 h 329"/>
                          <a:gd name="T40" fmla="+- 0 10075 1080"/>
                          <a:gd name="T41" fmla="*/ T40 w 10082"/>
                          <a:gd name="T42" fmla="+- 0 15074 15065"/>
                          <a:gd name="T43" fmla="*/ 15074 h 329"/>
                          <a:gd name="T44" fmla="+- 0 10075 1080"/>
                          <a:gd name="T45" fmla="*/ T44 w 10082"/>
                          <a:gd name="T46" fmla="+- 0 15065 15065"/>
                          <a:gd name="T47" fmla="*/ 15065 h 329"/>
                          <a:gd name="T48" fmla="+- 0 11162 1080"/>
                          <a:gd name="T49" fmla="*/ T48 w 10082"/>
                          <a:gd name="T50" fmla="+- 0 15384 15065"/>
                          <a:gd name="T51" fmla="*/ 15384 h 329"/>
                          <a:gd name="T52" fmla="+- 0 11152 1080"/>
                          <a:gd name="T53" fmla="*/ T52 w 10082"/>
                          <a:gd name="T54" fmla="+- 0 15384 15065"/>
                          <a:gd name="T55" fmla="*/ 15384 h 329"/>
                          <a:gd name="T56" fmla="+- 0 10065 1080"/>
                          <a:gd name="T57" fmla="*/ T56 w 10082"/>
                          <a:gd name="T58" fmla="+- 0 15384 15065"/>
                          <a:gd name="T59" fmla="*/ 15384 h 329"/>
                          <a:gd name="T60" fmla="+- 0 10060 1080"/>
                          <a:gd name="T61" fmla="*/ T60 w 10082"/>
                          <a:gd name="T62" fmla="+- 0 15384 15065"/>
                          <a:gd name="T63" fmla="*/ 15384 h 329"/>
                          <a:gd name="T64" fmla="+- 0 10060 1080"/>
                          <a:gd name="T65" fmla="*/ T64 w 10082"/>
                          <a:gd name="T66" fmla="+- 0 15384 15065"/>
                          <a:gd name="T67" fmla="*/ 15384 h 329"/>
                          <a:gd name="T68" fmla="+- 0 10051 1080"/>
                          <a:gd name="T69" fmla="*/ T68 w 10082"/>
                          <a:gd name="T70" fmla="+- 0 15384 15065"/>
                          <a:gd name="T71" fmla="*/ 15384 h 329"/>
                          <a:gd name="T72" fmla="+- 0 1090 1080"/>
                          <a:gd name="T73" fmla="*/ T72 w 10082"/>
                          <a:gd name="T74" fmla="+- 0 15384 15065"/>
                          <a:gd name="T75" fmla="*/ 15384 h 329"/>
                          <a:gd name="T76" fmla="+- 0 1080 1080"/>
                          <a:gd name="T77" fmla="*/ T76 w 10082"/>
                          <a:gd name="T78" fmla="+- 0 15384 15065"/>
                          <a:gd name="T79" fmla="*/ 15384 h 329"/>
                          <a:gd name="T80" fmla="+- 0 1080 1080"/>
                          <a:gd name="T81" fmla="*/ T80 w 10082"/>
                          <a:gd name="T82" fmla="+- 0 15394 15065"/>
                          <a:gd name="T83" fmla="*/ 15394 h 329"/>
                          <a:gd name="T84" fmla="+- 0 1090 1080"/>
                          <a:gd name="T85" fmla="*/ T84 w 10082"/>
                          <a:gd name="T86" fmla="+- 0 15394 15065"/>
                          <a:gd name="T87" fmla="*/ 15394 h 329"/>
                          <a:gd name="T88" fmla="+- 0 10051 1080"/>
                          <a:gd name="T89" fmla="*/ T88 w 10082"/>
                          <a:gd name="T90" fmla="+- 0 15394 15065"/>
                          <a:gd name="T91" fmla="*/ 15394 h 329"/>
                          <a:gd name="T92" fmla="+- 0 10060 1080"/>
                          <a:gd name="T93" fmla="*/ T92 w 10082"/>
                          <a:gd name="T94" fmla="+- 0 15394 15065"/>
                          <a:gd name="T95" fmla="*/ 15394 h 329"/>
                          <a:gd name="T96" fmla="+- 0 10060 1080"/>
                          <a:gd name="T97" fmla="*/ T96 w 10082"/>
                          <a:gd name="T98" fmla="+- 0 15394 15065"/>
                          <a:gd name="T99" fmla="*/ 15394 h 329"/>
                          <a:gd name="T100" fmla="+- 0 10065 1080"/>
                          <a:gd name="T101" fmla="*/ T100 w 10082"/>
                          <a:gd name="T102" fmla="+- 0 15394 15065"/>
                          <a:gd name="T103" fmla="*/ 15394 h 329"/>
                          <a:gd name="T104" fmla="+- 0 11152 1080"/>
                          <a:gd name="T105" fmla="*/ T104 w 10082"/>
                          <a:gd name="T106" fmla="+- 0 15394 15065"/>
                          <a:gd name="T107" fmla="*/ 15394 h 329"/>
                          <a:gd name="T108" fmla="+- 0 11162 1080"/>
                          <a:gd name="T109" fmla="*/ T108 w 10082"/>
                          <a:gd name="T110" fmla="+- 0 15394 15065"/>
                          <a:gd name="T111" fmla="*/ 15394 h 329"/>
                          <a:gd name="T112" fmla="+- 0 11162 1080"/>
                          <a:gd name="T113" fmla="*/ T112 w 10082"/>
                          <a:gd name="T114" fmla="+- 0 15384 15065"/>
                          <a:gd name="T115" fmla="*/ 15384 h 329"/>
                          <a:gd name="T116" fmla="+- 0 11162 1080"/>
                          <a:gd name="T117" fmla="*/ T116 w 10082"/>
                          <a:gd name="T118" fmla="+- 0 15065 15065"/>
                          <a:gd name="T119" fmla="*/ 15065 h 329"/>
                          <a:gd name="T120" fmla="+- 0 11152 1080"/>
                          <a:gd name="T121" fmla="*/ T120 w 10082"/>
                          <a:gd name="T122" fmla="+- 0 15065 15065"/>
                          <a:gd name="T123" fmla="*/ 15065 h 329"/>
                          <a:gd name="T124" fmla="+- 0 11152 1080"/>
                          <a:gd name="T125" fmla="*/ T124 w 10082"/>
                          <a:gd name="T126" fmla="+- 0 15065 15065"/>
                          <a:gd name="T127" fmla="*/ 15065 h 329"/>
                          <a:gd name="T128" fmla="+- 0 10075 1080"/>
                          <a:gd name="T129" fmla="*/ T128 w 10082"/>
                          <a:gd name="T130" fmla="+- 0 15065 15065"/>
                          <a:gd name="T131" fmla="*/ 15065 h 329"/>
                          <a:gd name="T132" fmla="+- 0 10075 1080"/>
                          <a:gd name="T133" fmla="*/ T132 w 10082"/>
                          <a:gd name="T134" fmla="+- 0 15074 15065"/>
                          <a:gd name="T135" fmla="*/ 15074 h 329"/>
                          <a:gd name="T136" fmla="+- 0 11152 1080"/>
                          <a:gd name="T137" fmla="*/ T136 w 10082"/>
                          <a:gd name="T138" fmla="+- 0 15074 15065"/>
                          <a:gd name="T139" fmla="*/ 15074 h 329"/>
                          <a:gd name="T140" fmla="+- 0 11152 1080"/>
                          <a:gd name="T141" fmla="*/ T140 w 10082"/>
                          <a:gd name="T142" fmla="+- 0 15384 15065"/>
                          <a:gd name="T143" fmla="*/ 15384 h 329"/>
                          <a:gd name="T144" fmla="+- 0 11162 1080"/>
                          <a:gd name="T145" fmla="*/ T144 w 10082"/>
                          <a:gd name="T146" fmla="+- 0 15384 15065"/>
                          <a:gd name="T147" fmla="*/ 15384 h 329"/>
                          <a:gd name="T148" fmla="+- 0 11162 1080"/>
                          <a:gd name="T149" fmla="*/ T148 w 10082"/>
                          <a:gd name="T150" fmla="+- 0 15065 15065"/>
                          <a:gd name="T151" fmla="*/ 15065 h 32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Lst>
                        <a:rect l="0" t="0" r="r" b="b"/>
                        <a:pathLst>
                          <a:path w="10082" h="329">
                            <a:moveTo>
                              <a:pt x="10" y="0"/>
                            </a:moveTo>
                            <a:lnTo>
                              <a:pt x="0" y="0"/>
                            </a:lnTo>
                            <a:lnTo>
                              <a:pt x="0" y="319"/>
                            </a:lnTo>
                            <a:lnTo>
                              <a:pt x="10" y="319"/>
                            </a:lnTo>
                            <a:lnTo>
                              <a:pt x="10" y="0"/>
                            </a:lnTo>
                            <a:close/>
                            <a:moveTo>
                              <a:pt x="8995" y="0"/>
                            </a:moveTo>
                            <a:lnTo>
                              <a:pt x="8985" y="0"/>
                            </a:lnTo>
                            <a:lnTo>
                              <a:pt x="10" y="0"/>
                            </a:lnTo>
                            <a:lnTo>
                              <a:pt x="10" y="9"/>
                            </a:lnTo>
                            <a:lnTo>
                              <a:pt x="8985" y="9"/>
                            </a:lnTo>
                            <a:lnTo>
                              <a:pt x="8995" y="9"/>
                            </a:lnTo>
                            <a:lnTo>
                              <a:pt x="8995" y="0"/>
                            </a:lnTo>
                            <a:close/>
                            <a:moveTo>
                              <a:pt x="10082" y="319"/>
                            </a:moveTo>
                            <a:lnTo>
                              <a:pt x="10072" y="319"/>
                            </a:lnTo>
                            <a:lnTo>
                              <a:pt x="8985" y="319"/>
                            </a:lnTo>
                            <a:lnTo>
                              <a:pt x="8980" y="319"/>
                            </a:lnTo>
                            <a:lnTo>
                              <a:pt x="8971" y="319"/>
                            </a:lnTo>
                            <a:lnTo>
                              <a:pt x="10" y="319"/>
                            </a:lnTo>
                            <a:lnTo>
                              <a:pt x="0" y="319"/>
                            </a:lnTo>
                            <a:lnTo>
                              <a:pt x="0" y="329"/>
                            </a:lnTo>
                            <a:lnTo>
                              <a:pt x="10" y="329"/>
                            </a:lnTo>
                            <a:lnTo>
                              <a:pt x="8971" y="329"/>
                            </a:lnTo>
                            <a:lnTo>
                              <a:pt x="8980" y="329"/>
                            </a:lnTo>
                            <a:lnTo>
                              <a:pt x="8985" y="329"/>
                            </a:lnTo>
                            <a:lnTo>
                              <a:pt x="10072" y="329"/>
                            </a:lnTo>
                            <a:lnTo>
                              <a:pt x="10082" y="329"/>
                            </a:lnTo>
                            <a:lnTo>
                              <a:pt x="10082" y="319"/>
                            </a:lnTo>
                            <a:close/>
                            <a:moveTo>
                              <a:pt x="10082" y="0"/>
                            </a:moveTo>
                            <a:lnTo>
                              <a:pt x="10072" y="0"/>
                            </a:lnTo>
                            <a:lnTo>
                              <a:pt x="8995" y="0"/>
                            </a:lnTo>
                            <a:lnTo>
                              <a:pt x="8995" y="9"/>
                            </a:lnTo>
                            <a:lnTo>
                              <a:pt x="10072" y="9"/>
                            </a:lnTo>
                            <a:lnTo>
                              <a:pt x="10072" y="319"/>
                            </a:lnTo>
                            <a:lnTo>
                              <a:pt x="10082" y="319"/>
                            </a:lnTo>
                            <a:lnTo>
                              <a:pt x="10082" y="0"/>
                            </a:lnTo>
                            <a:close/>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4A5314" id="AutoShape 12" o:spid="_x0000_s1026" style="position:absolute;margin-left:54pt;margin-top:753.25pt;width:504.1pt;height:16.45pt;z-index:-16188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0082,3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" path="m10,l,,,319r10,l10,xm8995,r-10,l10,r,9l8985,9r10,l8995,xm10082,319r-10,l8985,319r-5,l8971,319,10,319,,319r,10l10,329r8961,l8980,329r5,l10072,329r10,l10082,319xm10082,r-10,l8995,r,9l10072,9r,310l10082,319r,-319xe" fillcolor="#006fc0" stroked="f">
              <v:path arrowok="t" o:connecttype="custom" o:connectlocs="6350,9566275;0,9566275;0,9768840;6350,9768840;6350,9566275;5711825,9566275;5705475,9566275;6350,9566275;6350,9571990;5705475,9571990;5711825,9571990;5711825,9566275;6402070,9768840;6395720,9768840;5705475,9768840;5702300,9768840;5702300,9768840;5696585,9768840;6350,9768840;0,9768840;0,9775190;6350,9775190;5696585,9775190;5702300,9775190;5702300,9775190;5705475,9775190;6395720,9775190;6402070,9775190;6402070,9768840;6402070,9566275;6395720,9566275;6395720,9566275;5711825,9566275;5711825,9571990;6395720,9571990;6395720,9768840;6402070,9768840;6402070,9566275" o:connectangles="0,0,0,0,0,0,0,0,0,0,0,0,0,0,0,0,0,0,0,0,0,0,0,0,0,0,0,0,0,0,0,0,0,0,0,0,0,0"/>
              <w10:wrap anchorx="page" anchory="page"/>
            </v:shape>
          </w:pict>
        </mc:Fallback>
      </mc:AlternateContent>
    </w:r>
    <w:r>
      <w:rPr>
        <w:noProof/>
      </w:rPr>
      <mc:AlternateContent>
        <mc:Choice Requires="wps">
          <w:drawing>
            <wp:anchor distT="0" distB="0" distL="114300" distR="114300" simplePos="0" relativeHeight="487128576" behindDoc="1" locked="0" layoutInCell="1" allowOverlap="1" wp14:anchorId="353D7519" wp14:editId="1772C2D2">
              <wp:simplePos x="0" y="0"/>
              <wp:positionH relativeFrom="page">
                <wp:posOffset>6667500</wp:posOffset>
              </wp:positionH>
              <wp:positionV relativeFrom="page">
                <wp:posOffset>9562465</wp:posOffset>
              </wp:positionV>
              <wp:extent cx="140335" cy="153670"/>
              <wp:effectExtent l="0" t="0" r="0" b="0"/>
              <wp:wrapNone/>
              <wp:docPr id="18"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335"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048D31" w14:textId="77777777" w:rsidR="00F15603" w:rsidRDefault="00F15603">
                          <w:pPr>
                            <w:spacing w:before="14"/>
                            <w:ind w:left="60"/>
                            <w:rPr>
                              <w:rFonts w:ascii="Arial"/>
                              <w:sz w:val="18"/>
                            </w:rPr>
                          </w:pPr>
                          <w:r>
                            <w:fldChar w:fldCharType="begin"/>
                          </w:r>
                          <w:r>
                            <w:rPr>
                              <w:rFonts w:ascii="Arial"/>
                              <w:color w:val="808080"/>
                              <w:w w:val="99"/>
                              <w:sz w:val="18"/>
                            </w:rPr>
                            <w:instrText xml:space="preserve"> PAGE </w:instrText>
                          </w:r>
                          <w:r>
                            <w:fldChar w:fldCharType="separate"/>
                          </w:r>
                          <w:r>
                            <w:t>2</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3D7519" id="_x0000_t202" coordsize="21600,21600" o:spt="202" path="m,l,21600r21600,l21600,xe">
              <v:stroke joinstyle="miter"/>
              <v:path gradientshapeok="t" o:connecttype="rect"/>
            </v:shapetype>
            <v:shape id="Text Box 10" o:spid="_x0000_s1026" type="#_x0000_t202" style="position:absolute;margin-left:525pt;margin-top:752.95pt;width:11.05pt;height:12.1pt;z-index:-16187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" filled="f" stroked="f">
              <v:textbox inset="0,0,0,0">
                <w:txbxContent>
                  <w:p w14:paraId="44048D31" w14:textId="77777777" w:rsidR="00F15603" w:rsidRDefault="00F15603">
                    <w:pPr>
                      <w:spacing w:before="14"/>
                      <w:ind w:left="60"/>
                      <w:rPr>
                        <w:rFonts w:ascii="Arial"/>
                        <w:sz w:val="18"/>
                      </w:rPr>
                    </w:pPr>
                    <w:r>
                      <w:fldChar w:fldCharType="begin"/>
                    </w:r>
                    <w:r>
                      <w:rPr>
                        <w:rFonts w:ascii="Arial"/>
                        <w:color w:val="808080"/>
                        <w:w w:val="99"/>
                        <w:sz w:val="18"/>
                      </w:rPr>
                      <w:instrText xml:space="preserve"> PAGE </w:instrText>
                    </w:r>
                    <w:r>
                      <w:fldChar w:fldCharType="separate"/>
                    </w:r>
                    <w:r>
                      <w:t>2</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7BD77D" w14:textId="77777777" w:rsidR="00B07233" w:rsidRDefault="00B07233">
      <w:r>
        <w:separator/>
      </w:r>
    </w:p>
  </w:footnote>
  <w:footnote w:type="continuationSeparator" w:id="0">
    <w:p w14:paraId="19EEBE8B" w14:textId="77777777" w:rsidR="00B07233" w:rsidRDefault="00B072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DF205" w14:textId="77777777" w:rsidR="00F15603" w:rsidRDefault="00F15603">
    <w:pPr>
      <w:pStyle w:val="Textoindependiente"/>
      <w:spacing w:line="14" w:lineRule="auto"/>
      <w:rPr>
        <w:sz w:val="20"/>
      </w:rPr>
    </w:pPr>
    <w:r>
      <w:rPr>
        <w:noProof/>
      </w:rPr>
      <w:drawing>
        <wp:anchor distT="0" distB="0" distL="0" distR="0" simplePos="0" relativeHeight="487127040" behindDoc="1" locked="0" layoutInCell="1" allowOverlap="1" wp14:anchorId="73C835A4" wp14:editId="62BED6BA">
          <wp:simplePos x="0" y="0"/>
          <wp:positionH relativeFrom="page">
            <wp:posOffset>5713016</wp:posOffset>
          </wp:positionH>
          <wp:positionV relativeFrom="page">
            <wp:posOffset>277985</wp:posOffset>
          </wp:positionV>
          <wp:extent cx="1324527" cy="832502"/>
          <wp:effectExtent l="0" t="0" r="0" b="0"/>
          <wp:wrapNone/>
          <wp:docPr id="1024371557" name="Imagen 1024371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1" cstate="print"/>
                  <a:stretch>
                    <a:fillRect/>
                  </a:stretch>
                </pic:blipFill>
                <pic:spPr>
                  <a:xfrm>
                    <a:off x="0" y="0"/>
                    <a:ext cx="1324527" cy="832502"/>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2659F"/>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1" w15:restartNumberingAfterBreak="0">
    <w:nsid w:val="05041E85"/>
    <w:multiLevelType w:val="hybridMultilevel"/>
    <w:tmpl w:val="23281F64"/>
    <w:lvl w:ilvl="0" w:tplc="835AA648">
      <w:numFmt w:val="bullet"/>
      <w:lvlText w:val="o"/>
      <w:lvlJc w:val="left"/>
      <w:pPr>
        <w:ind w:left="1580" w:hanging="360"/>
      </w:pPr>
      <w:rPr>
        <w:rFonts w:ascii="Courier New" w:eastAsia="Courier New" w:hAnsi="Courier New" w:cs="Courier New" w:hint="default"/>
        <w:w w:val="100"/>
        <w:sz w:val="22"/>
        <w:szCs w:val="22"/>
        <w:lang w:val="es-ES" w:eastAsia="en-US" w:bidi="ar-SA"/>
      </w:rPr>
    </w:lvl>
    <w:lvl w:ilvl="1" w:tplc="C5D4D62E">
      <w:numFmt w:val="bullet"/>
      <w:lvlText w:val=""/>
      <w:lvlJc w:val="left"/>
      <w:pPr>
        <w:ind w:left="2300" w:hanging="360"/>
      </w:pPr>
      <w:rPr>
        <w:rFonts w:ascii="Wingdings" w:eastAsia="Wingdings" w:hAnsi="Wingdings" w:cs="Wingdings" w:hint="default"/>
        <w:w w:val="100"/>
        <w:sz w:val="22"/>
        <w:szCs w:val="22"/>
        <w:lang w:val="es-ES" w:eastAsia="en-US" w:bidi="ar-SA"/>
      </w:rPr>
    </w:lvl>
    <w:lvl w:ilvl="2" w:tplc="2C504FAE">
      <w:numFmt w:val="bullet"/>
      <w:lvlText w:val=""/>
      <w:lvlJc w:val="left"/>
      <w:pPr>
        <w:ind w:left="3021" w:hanging="361"/>
      </w:pPr>
      <w:rPr>
        <w:rFonts w:ascii="Symbol" w:eastAsia="Symbol" w:hAnsi="Symbol" w:cs="Symbol" w:hint="default"/>
        <w:w w:val="100"/>
        <w:sz w:val="22"/>
        <w:szCs w:val="22"/>
        <w:lang w:val="es-ES" w:eastAsia="en-US" w:bidi="ar-SA"/>
      </w:rPr>
    </w:lvl>
    <w:lvl w:ilvl="3" w:tplc="31889078">
      <w:numFmt w:val="bullet"/>
      <w:lvlText w:val="•"/>
      <w:lvlJc w:val="left"/>
      <w:pPr>
        <w:ind w:left="3947" w:hanging="361"/>
      </w:pPr>
      <w:rPr>
        <w:rFonts w:hint="default"/>
        <w:lang w:val="es-ES" w:eastAsia="en-US" w:bidi="ar-SA"/>
      </w:rPr>
    </w:lvl>
    <w:lvl w:ilvl="4" w:tplc="F634C3F6">
      <w:numFmt w:val="bullet"/>
      <w:lvlText w:val="•"/>
      <w:lvlJc w:val="left"/>
      <w:pPr>
        <w:ind w:left="4875" w:hanging="361"/>
      </w:pPr>
      <w:rPr>
        <w:rFonts w:hint="default"/>
        <w:lang w:val="es-ES" w:eastAsia="en-US" w:bidi="ar-SA"/>
      </w:rPr>
    </w:lvl>
    <w:lvl w:ilvl="5" w:tplc="6CC09186">
      <w:numFmt w:val="bullet"/>
      <w:lvlText w:val="•"/>
      <w:lvlJc w:val="left"/>
      <w:pPr>
        <w:ind w:left="5802" w:hanging="361"/>
      </w:pPr>
      <w:rPr>
        <w:rFonts w:hint="default"/>
        <w:lang w:val="es-ES" w:eastAsia="en-US" w:bidi="ar-SA"/>
      </w:rPr>
    </w:lvl>
    <w:lvl w:ilvl="6" w:tplc="29785B6A">
      <w:numFmt w:val="bullet"/>
      <w:lvlText w:val="•"/>
      <w:lvlJc w:val="left"/>
      <w:pPr>
        <w:ind w:left="6730" w:hanging="361"/>
      </w:pPr>
      <w:rPr>
        <w:rFonts w:hint="default"/>
        <w:lang w:val="es-ES" w:eastAsia="en-US" w:bidi="ar-SA"/>
      </w:rPr>
    </w:lvl>
    <w:lvl w:ilvl="7" w:tplc="867CB296">
      <w:numFmt w:val="bullet"/>
      <w:lvlText w:val="•"/>
      <w:lvlJc w:val="left"/>
      <w:pPr>
        <w:ind w:left="7657" w:hanging="361"/>
      </w:pPr>
      <w:rPr>
        <w:rFonts w:hint="default"/>
        <w:lang w:val="es-ES" w:eastAsia="en-US" w:bidi="ar-SA"/>
      </w:rPr>
    </w:lvl>
    <w:lvl w:ilvl="8" w:tplc="ADB8F65A">
      <w:numFmt w:val="bullet"/>
      <w:lvlText w:val="•"/>
      <w:lvlJc w:val="left"/>
      <w:pPr>
        <w:ind w:left="8585" w:hanging="361"/>
      </w:pPr>
      <w:rPr>
        <w:rFonts w:hint="default"/>
        <w:lang w:val="es-ES" w:eastAsia="en-US" w:bidi="ar-SA"/>
      </w:rPr>
    </w:lvl>
  </w:abstractNum>
  <w:abstractNum w:abstractNumId="2" w15:restartNumberingAfterBreak="0">
    <w:nsid w:val="07155F46"/>
    <w:multiLevelType w:val="multilevel"/>
    <w:tmpl w:val="CF5486D2"/>
    <w:lvl w:ilvl="0">
      <w:start w:val="5"/>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5"/>
        <w:w w:val="99"/>
        <w:sz w:val="24"/>
        <w:szCs w:val="24"/>
        <w:lang w:val="es-ES" w:eastAsia="en-US" w:bidi="ar-SA"/>
      </w:rPr>
    </w:lvl>
    <w:lvl w:ilvl="2">
      <w:start w:val="1"/>
      <w:numFmt w:val="decimal"/>
      <w:lvlText w:val="%3."/>
      <w:lvlJc w:val="left"/>
      <w:pPr>
        <w:ind w:left="860" w:hanging="360"/>
      </w:pPr>
      <w:rPr>
        <w:rFonts w:ascii="Carlito" w:eastAsia="Carlito" w:hAnsi="Carlito" w:cs="Carlito" w:hint="default"/>
        <w:b w:val="0"/>
        <w:bCs/>
        <w:w w:val="100"/>
        <w:sz w:val="22"/>
        <w:szCs w:val="22"/>
        <w:lang w:val="es-ES" w:eastAsia="en-US" w:bidi="ar-SA"/>
      </w:rPr>
    </w:lvl>
    <w:lvl w:ilvl="3">
      <w:numFmt w:val="bullet"/>
      <w:lvlText w:val="•"/>
      <w:lvlJc w:val="left"/>
      <w:pPr>
        <w:ind w:left="2988" w:hanging="360"/>
      </w:pPr>
      <w:rPr>
        <w:rFonts w:hint="default"/>
        <w:lang w:val="es-ES" w:eastAsia="en-US" w:bidi="ar-SA"/>
      </w:rPr>
    </w:lvl>
    <w:lvl w:ilvl="4">
      <w:numFmt w:val="bullet"/>
      <w:lvlText w:val="•"/>
      <w:lvlJc w:val="left"/>
      <w:pPr>
        <w:ind w:left="4053" w:hanging="360"/>
      </w:pPr>
      <w:rPr>
        <w:rFonts w:hint="default"/>
        <w:lang w:val="es-ES" w:eastAsia="en-US" w:bidi="ar-SA"/>
      </w:rPr>
    </w:lvl>
    <w:lvl w:ilvl="5">
      <w:numFmt w:val="bullet"/>
      <w:lvlText w:val="•"/>
      <w:lvlJc w:val="left"/>
      <w:pPr>
        <w:ind w:left="5117" w:hanging="360"/>
      </w:pPr>
      <w:rPr>
        <w:rFonts w:hint="default"/>
        <w:lang w:val="es-ES" w:eastAsia="en-US" w:bidi="ar-SA"/>
      </w:rPr>
    </w:lvl>
    <w:lvl w:ilvl="6">
      <w:numFmt w:val="bullet"/>
      <w:lvlText w:val="•"/>
      <w:lvlJc w:val="left"/>
      <w:pPr>
        <w:ind w:left="6182" w:hanging="360"/>
      </w:pPr>
      <w:rPr>
        <w:rFonts w:hint="default"/>
        <w:lang w:val="es-ES" w:eastAsia="en-US" w:bidi="ar-SA"/>
      </w:rPr>
    </w:lvl>
    <w:lvl w:ilvl="7">
      <w:numFmt w:val="bullet"/>
      <w:lvlText w:val="•"/>
      <w:lvlJc w:val="left"/>
      <w:pPr>
        <w:ind w:left="7246" w:hanging="360"/>
      </w:pPr>
      <w:rPr>
        <w:rFonts w:hint="default"/>
        <w:lang w:val="es-ES" w:eastAsia="en-US" w:bidi="ar-SA"/>
      </w:rPr>
    </w:lvl>
    <w:lvl w:ilvl="8">
      <w:numFmt w:val="bullet"/>
      <w:lvlText w:val="•"/>
      <w:lvlJc w:val="left"/>
      <w:pPr>
        <w:ind w:left="8311" w:hanging="360"/>
      </w:pPr>
      <w:rPr>
        <w:rFonts w:hint="default"/>
        <w:lang w:val="es-ES" w:eastAsia="en-US" w:bidi="ar-SA"/>
      </w:rPr>
    </w:lvl>
  </w:abstractNum>
  <w:abstractNum w:abstractNumId="3" w15:restartNumberingAfterBreak="0">
    <w:nsid w:val="0CCD3471"/>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4" w15:restartNumberingAfterBreak="0">
    <w:nsid w:val="0D510205"/>
    <w:multiLevelType w:val="hybridMultilevel"/>
    <w:tmpl w:val="C2AA83D2"/>
    <w:lvl w:ilvl="0" w:tplc="1CF2C02A">
      <w:start w:val="1"/>
      <w:numFmt w:val="decimal"/>
      <w:lvlText w:val="%1."/>
      <w:lvlJc w:val="left"/>
      <w:pPr>
        <w:ind w:left="1065" w:hanging="705"/>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7B779D3"/>
    <w:multiLevelType w:val="multilevel"/>
    <w:tmpl w:val="AE0C779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lowerLetter"/>
      <w:lvlText w:val="%4."/>
      <w:lvlJc w:val="left"/>
      <w:pPr>
        <w:ind w:left="860" w:hanging="471"/>
      </w:pPr>
      <w:rPr>
        <w:rFonts w:ascii="Carlito" w:eastAsia="Carlito" w:hAnsi="Carlito" w:cs="Carlito"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6" w15:restartNumberingAfterBreak="0">
    <w:nsid w:val="1B053B13"/>
    <w:multiLevelType w:val="hybridMultilevel"/>
    <w:tmpl w:val="F872F0C8"/>
    <w:lvl w:ilvl="0" w:tplc="340A0001">
      <w:start w:val="1"/>
      <w:numFmt w:val="bullet"/>
      <w:lvlText w:val=""/>
      <w:lvlJc w:val="left"/>
      <w:pPr>
        <w:ind w:left="860" w:hanging="360"/>
      </w:pPr>
      <w:rPr>
        <w:rFonts w:ascii="Symbol" w:hAnsi="Symbol" w:hint="default"/>
      </w:rPr>
    </w:lvl>
    <w:lvl w:ilvl="1" w:tplc="340A0003" w:tentative="1">
      <w:start w:val="1"/>
      <w:numFmt w:val="bullet"/>
      <w:lvlText w:val="o"/>
      <w:lvlJc w:val="left"/>
      <w:pPr>
        <w:ind w:left="1580" w:hanging="360"/>
      </w:pPr>
      <w:rPr>
        <w:rFonts w:ascii="Courier New" w:hAnsi="Courier New" w:cs="Courier New" w:hint="default"/>
      </w:rPr>
    </w:lvl>
    <w:lvl w:ilvl="2" w:tplc="340A0005" w:tentative="1">
      <w:start w:val="1"/>
      <w:numFmt w:val="bullet"/>
      <w:lvlText w:val=""/>
      <w:lvlJc w:val="left"/>
      <w:pPr>
        <w:ind w:left="2300" w:hanging="360"/>
      </w:pPr>
      <w:rPr>
        <w:rFonts w:ascii="Wingdings" w:hAnsi="Wingdings" w:hint="default"/>
      </w:rPr>
    </w:lvl>
    <w:lvl w:ilvl="3" w:tplc="340A0001" w:tentative="1">
      <w:start w:val="1"/>
      <w:numFmt w:val="bullet"/>
      <w:lvlText w:val=""/>
      <w:lvlJc w:val="left"/>
      <w:pPr>
        <w:ind w:left="3020" w:hanging="360"/>
      </w:pPr>
      <w:rPr>
        <w:rFonts w:ascii="Symbol" w:hAnsi="Symbol" w:hint="default"/>
      </w:rPr>
    </w:lvl>
    <w:lvl w:ilvl="4" w:tplc="340A0003" w:tentative="1">
      <w:start w:val="1"/>
      <w:numFmt w:val="bullet"/>
      <w:lvlText w:val="o"/>
      <w:lvlJc w:val="left"/>
      <w:pPr>
        <w:ind w:left="3740" w:hanging="360"/>
      </w:pPr>
      <w:rPr>
        <w:rFonts w:ascii="Courier New" w:hAnsi="Courier New" w:cs="Courier New" w:hint="default"/>
      </w:rPr>
    </w:lvl>
    <w:lvl w:ilvl="5" w:tplc="340A0005" w:tentative="1">
      <w:start w:val="1"/>
      <w:numFmt w:val="bullet"/>
      <w:lvlText w:val=""/>
      <w:lvlJc w:val="left"/>
      <w:pPr>
        <w:ind w:left="4460" w:hanging="360"/>
      </w:pPr>
      <w:rPr>
        <w:rFonts w:ascii="Wingdings" w:hAnsi="Wingdings" w:hint="default"/>
      </w:rPr>
    </w:lvl>
    <w:lvl w:ilvl="6" w:tplc="340A0001" w:tentative="1">
      <w:start w:val="1"/>
      <w:numFmt w:val="bullet"/>
      <w:lvlText w:val=""/>
      <w:lvlJc w:val="left"/>
      <w:pPr>
        <w:ind w:left="5180" w:hanging="360"/>
      </w:pPr>
      <w:rPr>
        <w:rFonts w:ascii="Symbol" w:hAnsi="Symbol" w:hint="default"/>
      </w:rPr>
    </w:lvl>
    <w:lvl w:ilvl="7" w:tplc="340A0003" w:tentative="1">
      <w:start w:val="1"/>
      <w:numFmt w:val="bullet"/>
      <w:lvlText w:val="o"/>
      <w:lvlJc w:val="left"/>
      <w:pPr>
        <w:ind w:left="5900" w:hanging="360"/>
      </w:pPr>
      <w:rPr>
        <w:rFonts w:ascii="Courier New" w:hAnsi="Courier New" w:cs="Courier New" w:hint="default"/>
      </w:rPr>
    </w:lvl>
    <w:lvl w:ilvl="8" w:tplc="340A0005" w:tentative="1">
      <w:start w:val="1"/>
      <w:numFmt w:val="bullet"/>
      <w:lvlText w:val=""/>
      <w:lvlJc w:val="left"/>
      <w:pPr>
        <w:ind w:left="6620" w:hanging="360"/>
      </w:pPr>
      <w:rPr>
        <w:rFonts w:ascii="Wingdings" w:hAnsi="Wingdings" w:hint="default"/>
      </w:rPr>
    </w:lvl>
  </w:abstractNum>
  <w:abstractNum w:abstractNumId="7" w15:restartNumberingAfterBreak="0">
    <w:nsid w:val="255D2692"/>
    <w:multiLevelType w:val="hybridMultilevel"/>
    <w:tmpl w:val="A3BCE3EA"/>
    <w:lvl w:ilvl="0" w:tplc="24DC5F6A">
      <w:start w:val="1"/>
      <w:numFmt w:val="decimal"/>
      <w:lvlText w:val="%1."/>
      <w:lvlJc w:val="left"/>
      <w:pPr>
        <w:ind w:left="1210" w:hanging="711"/>
      </w:pPr>
      <w:rPr>
        <w:rFonts w:ascii="Carlito" w:eastAsia="Carlito" w:hAnsi="Carlito" w:cs="Carlito" w:hint="default"/>
        <w:b w:val="0"/>
        <w:bCs w:val="0"/>
        <w:w w:val="100"/>
        <w:sz w:val="22"/>
        <w:szCs w:val="22"/>
        <w:lang w:val="es-ES" w:eastAsia="en-US" w:bidi="ar-SA"/>
      </w:rPr>
    </w:lvl>
    <w:lvl w:ilvl="1" w:tplc="31D2D338">
      <w:numFmt w:val="bullet"/>
      <w:lvlText w:val="•"/>
      <w:lvlJc w:val="left"/>
      <w:pPr>
        <w:ind w:left="2142" w:hanging="711"/>
      </w:pPr>
      <w:rPr>
        <w:rFonts w:hint="default"/>
        <w:lang w:val="es-ES" w:eastAsia="en-US" w:bidi="ar-SA"/>
      </w:rPr>
    </w:lvl>
    <w:lvl w:ilvl="2" w:tplc="946EB7C8">
      <w:numFmt w:val="bullet"/>
      <w:lvlText w:val="•"/>
      <w:lvlJc w:val="left"/>
      <w:pPr>
        <w:ind w:left="3064" w:hanging="711"/>
      </w:pPr>
      <w:rPr>
        <w:rFonts w:hint="default"/>
        <w:lang w:val="es-ES" w:eastAsia="en-US" w:bidi="ar-SA"/>
      </w:rPr>
    </w:lvl>
    <w:lvl w:ilvl="3" w:tplc="F57C32B2">
      <w:numFmt w:val="bullet"/>
      <w:lvlText w:val="•"/>
      <w:lvlJc w:val="left"/>
      <w:pPr>
        <w:ind w:left="3986" w:hanging="711"/>
      </w:pPr>
      <w:rPr>
        <w:rFonts w:hint="default"/>
        <w:lang w:val="es-ES" w:eastAsia="en-US" w:bidi="ar-SA"/>
      </w:rPr>
    </w:lvl>
    <w:lvl w:ilvl="4" w:tplc="2842E1C2">
      <w:numFmt w:val="bullet"/>
      <w:lvlText w:val="•"/>
      <w:lvlJc w:val="left"/>
      <w:pPr>
        <w:ind w:left="4908" w:hanging="711"/>
      </w:pPr>
      <w:rPr>
        <w:rFonts w:hint="default"/>
        <w:lang w:val="es-ES" w:eastAsia="en-US" w:bidi="ar-SA"/>
      </w:rPr>
    </w:lvl>
    <w:lvl w:ilvl="5" w:tplc="5E04150E">
      <w:numFmt w:val="bullet"/>
      <w:lvlText w:val="•"/>
      <w:lvlJc w:val="left"/>
      <w:pPr>
        <w:ind w:left="5830" w:hanging="711"/>
      </w:pPr>
      <w:rPr>
        <w:rFonts w:hint="default"/>
        <w:lang w:val="es-ES" w:eastAsia="en-US" w:bidi="ar-SA"/>
      </w:rPr>
    </w:lvl>
    <w:lvl w:ilvl="6" w:tplc="FABC8D92">
      <w:numFmt w:val="bullet"/>
      <w:lvlText w:val="•"/>
      <w:lvlJc w:val="left"/>
      <w:pPr>
        <w:ind w:left="6752" w:hanging="711"/>
      </w:pPr>
      <w:rPr>
        <w:rFonts w:hint="default"/>
        <w:lang w:val="es-ES" w:eastAsia="en-US" w:bidi="ar-SA"/>
      </w:rPr>
    </w:lvl>
    <w:lvl w:ilvl="7" w:tplc="A7748766">
      <w:numFmt w:val="bullet"/>
      <w:lvlText w:val="•"/>
      <w:lvlJc w:val="left"/>
      <w:pPr>
        <w:ind w:left="7674" w:hanging="711"/>
      </w:pPr>
      <w:rPr>
        <w:rFonts w:hint="default"/>
        <w:lang w:val="es-ES" w:eastAsia="en-US" w:bidi="ar-SA"/>
      </w:rPr>
    </w:lvl>
    <w:lvl w:ilvl="8" w:tplc="B8A4E392">
      <w:numFmt w:val="bullet"/>
      <w:lvlText w:val="•"/>
      <w:lvlJc w:val="left"/>
      <w:pPr>
        <w:ind w:left="8596" w:hanging="711"/>
      </w:pPr>
      <w:rPr>
        <w:rFonts w:hint="default"/>
        <w:lang w:val="es-ES" w:eastAsia="en-US" w:bidi="ar-SA"/>
      </w:rPr>
    </w:lvl>
  </w:abstractNum>
  <w:abstractNum w:abstractNumId="8" w15:restartNumberingAfterBreak="0">
    <w:nsid w:val="27760835"/>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9" w15:restartNumberingAfterBreak="0">
    <w:nsid w:val="33823603"/>
    <w:multiLevelType w:val="hybridMultilevel"/>
    <w:tmpl w:val="B1BAA3C0"/>
    <w:lvl w:ilvl="0" w:tplc="8780C92C">
      <w:numFmt w:val="bullet"/>
      <w:lvlText w:val=""/>
      <w:lvlJc w:val="left"/>
      <w:pPr>
        <w:ind w:left="860" w:hanging="360"/>
      </w:pPr>
      <w:rPr>
        <w:rFonts w:ascii="Symbol" w:eastAsia="Symbol" w:hAnsi="Symbol" w:cs="Symbol" w:hint="default"/>
        <w:w w:val="100"/>
        <w:sz w:val="22"/>
        <w:szCs w:val="22"/>
        <w:lang w:val="es-ES" w:eastAsia="en-US" w:bidi="ar-SA"/>
      </w:rPr>
    </w:lvl>
    <w:lvl w:ilvl="1" w:tplc="24AEA956">
      <w:numFmt w:val="bullet"/>
      <w:lvlText w:val="•"/>
      <w:lvlJc w:val="left"/>
      <w:pPr>
        <w:ind w:left="1580" w:hanging="360"/>
      </w:pPr>
      <w:rPr>
        <w:rFonts w:hint="default"/>
        <w:lang w:val="es-ES" w:eastAsia="en-US" w:bidi="ar-SA"/>
      </w:rPr>
    </w:lvl>
    <w:lvl w:ilvl="2" w:tplc="C9B60800">
      <w:numFmt w:val="bullet"/>
      <w:lvlText w:val="•"/>
      <w:lvlJc w:val="left"/>
      <w:pPr>
        <w:ind w:left="2564" w:hanging="360"/>
      </w:pPr>
      <w:rPr>
        <w:rFonts w:hint="default"/>
        <w:lang w:val="es-ES" w:eastAsia="en-US" w:bidi="ar-SA"/>
      </w:rPr>
    </w:lvl>
    <w:lvl w:ilvl="3" w:tplc="6D0AAC02">
      <w:numFmt w:val="bullet"/>
      <w:lvlText w:val="•"/>
      <w:lvlJc w:val="left"/>
      <w:pPr>
        <w:ind w:left="3548" w:hanging="360"/>
      </w:pPr>
      <w:rPr>
        <w:rFonts w:hint="default"/>
        <w:lang w:val="es-ES" w:eastAsia="en-US" w:bidi="ar-SA"/>
      </w:rPr>
    </w:lvl>
    <w:lvl w:ilvl="4" w:tplc="4666079A">
      <w:numFmt w:val="bullet"/>
      <w:lvlText w:val="•"/>
      <w:lvlJc w:val="left"/>
      <w:pPr>
        <w:ind w:left="4533" w:hanging="360"/>
      </w:pPr>
      <w:rPr>
        <w:rFonts w:hint="default"/>
        <w:lang w:val="es-ES" w:eastAsia="en-US" w:bidi="ar-SA"/>
      </w:rPr>
    </w:lvl>
    <w:lvl w:ilvl="5" w:tplc="12687B58">
      <w:numFmt w:val="bullet"/>
      <w:lvlText w:val="•"/>
      <w:lvlJc w:val="left"/>
      <w:pPr>
        <w:ind w:left="5517" w:hanging="360"/>
      </w:pPr>
      <w:rPr>
        <w:rFonts w:hint="default"/>
        <w:lang w:val="es-ES" w:eastAsia="en-US" w:bidi="ar-SA"/>
      </w:rPr>
    </w:lvl>
    <w:lvl w:ilvl="6" w:tplc="6F6E4C9A">
      <w:numFmt w:val="bullet"/>
      <w:lvlText w:val="•"/>
      <w:lvlJc w:val="left"/>
      <w:pPr>
        <w:ind w:left="6502" w:hanging="360"/>
      </w:pPr>
      <w:rPr>
        <w:rFonts w:hint="default"/>
        <w:lang w:val="es-ES" w:eastAsia="en-US" w:bidi="ar-SA"/>
      </w:rPr>
    </w:lvl>
    <w:lvl w:ilvl="7" w:tplc="47389E0A">
      <w:numFmt w:val="bullet"/>
      <w:lvlText w:val="•"/>
      <w:lvlJc w:val="left"/>
      <w:pPr>
        <w:ind w:left="7486" w:hanging="360"/>
      </w:pPr>
      <w:rPr>
        <w:rFonts w:hint="default"/>
        <w:lang w:val="es-ES" w:eastAsia="en-US" w:bidi="ar-SA"/>
      </w:rPr>
    </w:lvl>
    <w:lvl w:ilvl="8" w:tplc="7E4E0F0C">
      <w:numFmt w:val="bullet"/>
      <w:lvlText w:val="•"/>
      <w:lvlJc w:val="left"/>
      <w:pPr>
        <w:ind w:left="8471" w:hanging="360"/>
      </w:pPr>
      <w:rPr>
        <w:rFonts w:hint="default"/>
        <w:lang w:val="es-ES" w:eastAsia="en-US" w:bidi="ar-SA"/>
      </w:rPr>
    </w:lvl>
  </w:abstractNum>
  <w:abstractNum w:abstractNumId="10" w15:restartNumberingAfterBreak="0">
    <w:nsid w:val="3FF9660F"/>
    <w:multiLevelType w:val="multilevel"/>
    <w:tmpl w:val="B5425CD8"/>
    <w:lvl w:ilvl="0">
      <w:start w:val="3"/>
      <w:numFmt w:val="decimal"/>
      <w:lvlText w:val="%1"/>
      <w:lvlJc w:val="left"/>
      <w:pPr>
        <w:ind w:left="1004" w:hanging="865"/>
      </w:pPr>
      <w:rPr>
        <w:rFonts w:hint="default"/>
        <w:lang w:val="es-ES" w:eastAsia="en-US" w:bidi="ar-SA"/>
      </w:rPr>
    </w:lvl>
    <w:lvl w:ilvl="1">
      <w:start w:val="1"/>
      <w:numFmt w:val="decimal"/>
      <w:lvlText w:val="%1.%2"/>
      <w:lvlJc w:val="left"/>
      <w:pPr>
        <w:ind w:left="1004" w:hanging="865"/>
      </w:pPr>
      <w:rPr>
        <w:rFonts w:hint="default"/>
        <w:lang w:val="es-ES" w:eastAsia="en-US" w:bidi="ar-SA"/>
      </w:rPr>
    </w:lvl>
    <w:lvl w:ilvl="2">
      <w:start w:val="7"/>
      <w:numFmt w:val="decimal"/>
      <w:lvlText w:val="%1.%2.%3"/>
      <w:lvlJc w:val="left"/>
      <w:pPr>
        <w:ind w:left="1004" w:hanging="865"/>
      </w:pPr>
      <w:rPr>
        <w:rFonts w:hint="default"/>
        <w:lang w:val="es-ES" w:eastAsia="en-US" w:bidi="ar-SA"/>
      </w:rPr>
    </w:lvl>
    <w:lvl w:ilvl="3">
      <w:start w:val="1"/>
      <w:numFmt w:val="decimal"/>
      <w:lvlText w:val="%1.%2.%3.%4"/>
      <w:lvlJc w:val="left"/>
      <w:pPr>
        <w:ind w:left="1004" w:hanging="865"/>
      </w:pPr>
      <w:rPr>
        <w:rFonts w:ascii="Arial" w:eastAsia="Arial" w:hAnsi="Arial" w:cs="Arial" w:hint="default"/>
        <w:b/>
        <w:bCs/>
        <w:i w:val="0"/>
        <w:iCs w:val="0"/>
        <w:spacing w:val="-3"/>
        <w:w w:val="100"/>
        <w:sz w:val="22"/>
        <w:szCs w:val="22"/>
        <w:lang w:val="es-ES" w:eastAsia="en-US" w:bidi="ar-SA"/>
      </w:rPr>
    </w:lvl>
    <w:lvl w:ilvl="4">
      <w:numFmt w:val="bullet"/>
      <w:lvlText w:val="•"/>
      <w:lvlJc w:val="left"/>
      <w:pPr>
        <w:ind w:left="4776" w:hanging="865"/>
      </w:pPr>
      <w:rPr>
        <w:rFonts w:hint="default"/>
        <w:lang w:val="es-ES" w:eastAsia="en-US" w:bidi="ar-SA"/>
      </w:rPr>
    </w:lvl>
    <w:lvl w:ilvl="5">
      <w:numFmt w:val="bullet"/>
      <w:lvlText w:val="•"/>
      <w:lvlJc w:val="left"/>
      <w:pPr>
        <w:ind w:left="5720" w:hanging="865"/>
      </w:pPr>
      <w:rPr>
        <w:rFonts w:hint="default"/>
        <w:lang w:val="es-ES" w:eastAsia="en-US" w:bidi="ar-SA"/>
      </w:rPr>
    </w:lvl>
    <w:lvl w:ilvl="6">
      <w:numFmt w:val="bullet"/>
      <w:lvlText w:val="•"/>
      <w:lvlJc w:val="left"/>
      <w:pPr>
        <w:ind w:left="6664" w:hanging="865"/>
      </w:pPr>
      <w:rPr>
        <w:rFonts w:hint="default"/>
        <w:lang w:val="es-ES" w:eastAsia="en-US" w:bidi="ar-SA"/>
      </w:rPr>
    </w:lvl>
    <w:lvl w:ilvl="7">
      <w:numFmt w:val="bullet"/>
      <w:lvlText w:val="•"/>
      <w:lvlJc w:val="left"/>
      <w:pPr>
        <w:ind w:left="7608" w:hanging="865"/>
      </w:pPr>
      <w:rPr>
        <w:rFonts w:hint="default"/>
        <w:lang w:val="es-ES" w:eastAsia="en-US" w:bidi="ar-SA"/>
      </w:rPr>
    </w:lvl>
    <w:lvl w:ilvl="8">
      <w:numFmt w:val="bullet"/>
      <w:lvlText w:val="•"/>
      <w:lvlJc w:val="left"/>
      <w:pPr>
        <w:ind w:left="8552" w:hanging="865"/>
      </w:pPr>
      <w:rPr>
        <w:rFonts w:hint="default"/>
        <w:lang w:val="es-ES" w:eastAsia="en-US" w:bidi="ar-SA"/>
      </w:rPr>
    </w:lvl>
  </w:abstractNum>
  <w:abstractNum w:abstractNumId="11" w15:restartNumberingAfterBreak="0">
    <w:nsid w:val="4B530462"/>
    <w:multiLevelType w:val="hybridMultilevel"/>
    <w:tmpl w:val="9AF67658"/>
    <w:lvl w:ilvl="0" w:tplc="A95CD038">
      <w:numFmt w:val="bullet"/>
      <w:lvlText w:val=""/>
      <w:lvlJc w:val="left"/>
      <w:pPr>
        <w:ind w:left="860" w:hanging="360"/>
      </w:pPr>
      <w:rPr>
        <w:rFonts w:ascii="Symbol" w:eastAsia="Symbol" w:hAnsi="Symbol" w:cs="Symbol" w:hint="default"/>
        <w:w w:val="100"/>
        <w:sz w:val="22"/>
        <w:szCs w:val="22"/>
        <w:lang w:val="es-ES" w:eastAsia="en-US" w:bidi="ar-SA"/>
      </w:rPr>
    </w:lvl>
    <w:lvl w:ilvl="1" w:tplc="A044DC7C">
      <w:numFmt w:val="bullet"/>
      <w:lvlText w:val="•"/>
      <w:lvlJc w:val="left"/>
      <w:pPr>
        <w:ind w:left="1818" w:hanging="360"/>
      </w:pPr>
      <w:rPr>
        <w:rFonts w:hint="default"/>
        <w:lang w:val="es-ES" w:eastAsia="en-US" w:bidi="ar-SA"/>
      </w:rPr>
    </w:lvl>
    <w:lvl w:ilvl="2" w:tplc="2FFAF218">
      <w:numFmt w:val="bullet"/>
      <w:lvlText w:val="•"/>
      <w:lvlJc w:val="left"/>
      <w:pPr>
        <w:ind w:left="2776" w:hanging="360"/>
      </w:pPr>
      <w:rPr>
        <w:rFonts w:hint="default"/>
        <w:lang w:val="es-ES" w:eastAsia="en-US" w:bidi="ar-SA"/>
      </w:rPr>
    </w:lvl>
    <w:lvl w:ilvl="3" w:tplc="34C277FA">
      <w:numFmt w:val="bullet"/>
      <w:lvlText w:val="•"/>
      <w:lvlJc w:val="left"/>
      <w:pPr>
        <w:ind w:left="3734" w:hanging="360"/>
      </w:pPr>
      <w:rPr>
        <w:rFonts w:hint="default"/>
        <w:lang w:val="es-ES" w:eastAsia="en-US" w:bidi="ar-SA"/>
      </w:rPr>
    </w:lvl>
    <w:lvl w:ilvl="4" w:tplc="2954DCA0">
      <w:numFmt w:val="bullet"/>
      <w:lvlText w:val="•"/>
      <w:lvlJc w:val="left"/>
      <w:pPr>
        <w:ind w:left="4692" w:hanging="360"/>
      </w:pPr>
      <w:rPr>
        <w:rFonts w:hint="default"/>
        <w:lang w:val="es-ES" w:eastAsia="en-US" w:bidi="ar-SA"/>
      </w:rPr>
    </w:lvl>
    <w:lvl w:ilvl="5" w:tplc="7B2A6026">
      <w:numFmt w:val="bullet"/>
      <w:lvlText w:val="•"/>
      <w:lvlJc w:val="left"/>
      <w:pPr>
        <w:ind w:left="5650" w:hanging="360"/>
      </w:pPr>
      <w:rPr>
        <w:rFonts w:hint="default"/>
        <w:lang w:val="es-ES" w:eastAsia="en-US" w:bidi="ar-SA"/>
      </w:rPr>
    </w:lvl>
    <w:lvl w:ilvl="6" w:tplc="F74A5EF2">
      <w:numFmt w:val="bullet"/>
      <w:lvlText w:val="•"/>
      <w:lvlJc w:val="left"/>
      <w:pPr>
        <w:ind w:left="6608" w:hanging="360"/>
      </w:pPr>
      <w:rPr>
        <w:rFonts w:hint="default"/>
        <w:lang w:val="es-ES" w:eastAsia="en-US" w:bidi="ar-SA"/>
      </w:rPr>
    </w:lvl>
    <w:lvl w:ilvl="7" w:tplc="CF92CF94">
      <w:numFmt w:val="bullet"/>
      <w:lvlText w:val="•"/>
      <w:lvlJc w:val="left"/>
      <w:pPr>
        <w:ind w:left="7566" w:hanging="360"/>
      </w:pPr>
      <w:rPr>
        <w:rFonts w:hint="default"/>
        <w:lang w:val="es-ES" w:eastAsia="en-US" w:bidi="ar-SA"/>
      </w:rPr>
    </w:lvl>
    <w:lvl w:ilvl="8" w:tplc="F508F96C">
      <w:numFmt w:val="bullet"/>
      <w:lvlText w:val="•"/>
      <w:lvlJc w:val="left"/>
      <w:pPr>
        <w:ind w:left="8524" w:hanging="360"/>
      </w:pPr>
      <w:rPr>
        <w:rFonts w:hint="default"/>
        <w:lang w:val="es-ES" w:eastAsia="en-US" w:bidi="ar-SA"/>
      </w:rPr>
    </w:lvl>
  </w:abstractNum>
  <w:abstractNum w:abstractNumId="12" w15:restartNumberingAfterBreak="0">
    <w:nsid w:val="5C0B4980"/>
    <w:multiLevelType w:val="multilevel"/>
    <w:tmpl w:val="56EC1FF2"/>
    <w:lvl w:ilvl="0">
      <w:start w:val="1"/>
      <w:numFmt w:val="decimal"/>
      <w:lvlText w:val="%1"/>
      <w:lvlJc w:val="left"/>
      <w:pPr>
        <w:ind w:left="536" w:hanging="397"/>
      </w:pPr>
      <w:rPr>
        <w:rFonts w:ascii="Carlito" w:eastAsia="Carlito" w:hAnsi="Carlito" w:cs="Carlito" w:hint="default"/>
        <w:b/>
        <w:bCs/>
        <w:w w:val="99"/>
        <w:sz w:val="20"/>
        <w:szCs w:val="20"/>
        <w:lang w:val="es-ES" w:eastAsia="en-US" w:bidi="ar-SA"/>
      </w:rPr>
    </w:lvl>
    <w:lvl w:ilvl="1">
      <w:start w:val="1"/>
      <w:numFmt w:val="decimal"/>
      <w:lvlText w:val="%1.%2"/>
      <w:lvlJc w:val="left"/>
      <w:pPr>
        <w:ind w:left="982" w:hanging="447"/>
      </w:pPr>
      <w:rPr>
        <w:rFonts w:ascii="Carlito" w:eastAsia="Carlito" w:hAnsi="Carlito" w:cs="Carlito" w:hint="default"/>
        <w:w w:val="100"/>
        <w:sz w:val="18"/>
        <w:szCs w:val="18"/>
        <w:lang w:val="es-ES" w:eastAsia="en-US" w:bidi="ar-SA"/>
      </w:rPr>
    </w:lvl>
    <w:lvl w:ilvl="2">
      <w:numFmt w:val="bullet"/>
      <w:lvlText w:val="•"/>
      <w:lvlJc w:val="left"/>
      <w:pPr>
        <w:ind w:left="2031" w:hanging="447"/>
      </w:pPr>
      <w:rPr>
        <w:rFonts w:hint="default"/>
        <w:lang w:val="es-ES" w:eastAsia="en-US" w:bidi="ar-SA"/>
      </w:rPr>
    </w:lvl>
    <w:lvl w:ilvl="3">
      <w:numFmt w:val="bullet"/>
      <w:lvlText w:val="•"/>
      <w:lvlJc w:val="left"/>
      <w:pPr>
        <w:ind w:left="3082" w:hanging="447"/>
      </w:pPr>
      <w:rPr>
        <w:rFonts w:hint="default"/>
        <w:lang w:val="es-ES" w:eastAsia="en-US" w:bidi="ar-SA"/>
      </w:rPr>
    </w:lvl>
    <w:lvl w:ilvl="4">
      <w:numFmt w:val="bullet"/>
      <w:lvlText w:val="•"/>
      <w:lvlJc w:val="left"/>
      <w:pPr>
        <w:ind w:left="4133" w:hanging="447"/>
      </w:pPr>
      <w:rPr>
        <w:rFonts w:hint="default"/>
        <w:lang w:val="es-ES" w:eastAsia="en-US" w:bidi="ar-SA"/>
      </w:rPr>
    </w:lvl>
    <w:lvl w:ilvl="5">
      <w:numFmt w:val="bullet"/>
      <w:lvlText w:val="•"/>
      <w:lvlJc w:val="left"/>
      <w:pPr>
        <w:ind w:left="5184" w:hanging="447"/>
      </w:pPr>
      <w:rPr>
        <w:rFonts w:hint="default"/>
        <w:lang w:val="es-ES" w:eastAsia="en-US" w:bidi="ar-SA"/>
      </w:rPr>
    </w:lvl>
    <w:lvl w:ilvl="6">
      <w:numFmt w:val="bullet"/>
      <w:lvlText w:val="•"/>
      <w:lvlJc w:val="left"/>
      <w:pPr>
        <w:ind w:left="6235" w:hanging="447"/>
      </w:pPr>
      <w:rPr>
        <w:rFonts w:hint="default"/>
        <w:lang w:val="es-ES" w:eastAsia="en-US" w:bidi="ar-SA"/>
      </w:rPr>
    </w:lvl>
    <w:lvl w:ilvl="7">
      <w:numFmt w:val="bullet"/>
      <w:lvlText w:val="•"/>
      <w:lvlJc w:val="left"/>
      <w:pPr>
        <w:ind w:left="7286" w:hanging="447"/>
      </w:pPr>
      <w:rPr>
        <w:rFonts w:hint="default"/>
        <w:lang w:val="es-ES" w:eastAsia="en-US" w:bidi="ar-SA"/>
      </w:rPr>
    </w:lvl>
    <w:lvl w:ilvl="8">
      <w:numFmt w:val="bullet"/>
      <w:lvlText w:val="•"/>
      <w:lvlJc w:val="left"/>
      <w:pPr>
        <w:ind w:left="8337" w:hanging="447"/>
      </w:pPr>
      <w:rPr>
        <w:rFonts w:hint="default"/>
        <w:lang w:val="es-ES" w:eastAsia="en-US" w:bidi="ar-SA"/>
      </w:rPr>
    </w:lvl>
  </w:abstractNum>
  <w:abstractNum w:abstractNumId="13" w15:restartNumberingAfterBreak="0">
    <w:nsid w:val="7AC82C18"/>
    <w:multiLevelType w:val="hybridMultilevel"/>
    <w:tmpl w:val="C868F9C4"/>
    <w:lvl w:ilvl="0" w:tplc="F5B25E00">
      <w:start w:val="1"/>
      <w:numFmt w:val="decimal"/>
      <w:lvlText w:val="%1."/>
      <w:lvlJc w:val="left"/>
      <w:pPr>
        <w:ind w:left="860" w:hanging="360"/>
      </w:pPr>
      <w:rPr>
        <w:rFonts w:ascii="Carlito" w:eastAsia="Carlito" w:hAnsi="Carlito" w:cs="Carlito" w:hint="default"/>
        <w:w w:val="100"/>
        <w:sz w:val="22"/>
        <w:szCs w:val="22"/>
        <w:lang w:val="es-ES" w:eastAsia="en-US" w:bidi="ar-SA"/>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7F024B16"/>
    <w:multiLevelType w:val="hybridMultilevel"/>
    <w:tmpl w:val="A97099A8"/>
    <w:lvl w:ilvl="0" w:tplc="56B85D0C">
      <w:start w:val="1"/>
      <w:numFmt w:val="decimal"/>
      <w:lvlText w:val="%1"/>
      <w:lvlJc w:val="left"/>
      <w:pPr>
        <w:ind w:left="572" w:hanging="433"/>
      </w:pPr>
      <w:rPr>
        <w:rFonts w:ascii="Carlito" w:eastAsia="Carlito" w:hAnsi="Carlito" w:cs="Carlito" w:hint="default"/>
        <w:b/>
        <w:bCs/>
        <w:spacing w:val="-2"/>
        <w:w w:val="100"/>
        <w:sz w:val="24"/>
        <w:szCs w:val="24"/>
        <w:lang w:val="es-ES" w:eastAsia="en-US" w:bidi="ar-SA"/>
      </w:rPr>
    </w:lvl>
    <w:lvl w:ilvl="1" w:tplc="F5B25E00">
      <w:start w:val="1"/>
      <w:numFmt w:val="decimal"/>
      <w:lvlText w:val="%2."/>
      <w:lvlJc w:val="left"/>
      <w:pPr>
        <w:ind w:left="860" w:hanging="360"/>
      </w:pPr>
      <w:rPr>
        <w:rFonts w:ascii="Carlito" w:eastAsia="Carlito" w:hAnsi="Carlito" w:cs="Carlito" w:hint="default"/>
        <w:w w:val="100"/>
        <w:sz w:val="22"/>
        <w:szCs w:val="22"/>
        <w:lang w:val="es-ES" w:eastAsia="en-US" w:bidi="ar-SA"/>
      </w:rPr>
    </w:lvl>
    <w:lvl w:ilvl="2" w:tplc="7970393A">
      <w:numFmt w:val="bullet"/>
      <w:lvlText w:val="•"/>
      <w:lvlJc w:val="left"/>
      <w:pPr>
        <w:ind w:left="1924" w:hanging="360"/>
      </w:pPr>
      <w:rPr>
        <w:rFonts w:hint="default"/>
        <w:lang w:val="es-ES" w:eastAsia="en-US" w:bidi="ar-SA"/>
      </w:rPr>
    </w:lvl>
    <w:lvl w:ilvl="3" w:tplc="E4285336">
      <w:numFmt w:val="bullet"/>
      <w:lvlText w:val="•"/>
      <w:lvlJc w:val="left"/>
      <w:pPr>
        <w:ind w:left="2988" w:hanging="360"/>
      </w:pPr>
      <w:rPr>
        <w:rFonts w:hint="default"/>
        <w:lang w:val="es-ES" w:eastAsia="en-US" w:bidi="ar-SA"/>
      </w:rPr>
    </w:lvl>
    <w:lvl w:ilvl="4" w:tplc="90AA4D2E">
      <w:numFmt w:val="bullet"/>
      <w:lvlText w:val="•"/>
      <w:lvlJc w:val="left"/>
      <w:pPr>
        <w:ind w:left="4053" w:hanging="360"/>
      </w:pPr>
      <w:rPr>
        <w:rFonts w:hint="default"/>
        <w:lang w:val="es-ES" w:eastAsia="en-US" w:bidi="ar-SA"/>
      </w:rPr>
    </w:lvl>
    <w:lvl w:ilvl="5" w:tplc="39445302">
      <w:numFmt w:val="bullet"/>
      <w:lvlText w:val="•"/>
      <w:lvlJc w:val="left"/>
      <w:pPr>
        <w:ind w:left="5117" w:hanging="360"/>
      </w:pPr>
      <w:rPr>
        <w:rFonts w:hint="default"/>
        <w:lang w:val="es-ES" w:eastAsia="en-US" w:bidi="ar-SA"/>
      </w:rPr>
    </w:lvl>
    <w:lvl w:ilvl="6" w:tplc="05D88E9C">
      <w:numFmt w:val="bullet"/>
      <w:lvlText w:val="•"/>
      <w:lvlJc w:val="left"/>
      <w:pPr>
        <w:ind w:left="6182" w:hanging="360"/>
      </w:pPr>
      <w:rPr>
        <w:rFonts w:hint="default"/>
        <w:lang w:val="es-ES" w:eastAsia="en-US" w:bidi="ar-SA"/>
      </w:rPr>
    </w:lvl>
    <w:lvl w:ilvl="7" w:tplc="731A2F72">
      <w:numFmt w:val="bullet"/>
      <w:lvlText w:val="•"/>
      <w:lvlJc w:val="left"/>
      <w:pPr>
        <w:ind w:left="7246" w:hanging="360"/>
      </w:pPr>
      <w:rPr>
        <w:rFonts w:hint="default"/>
        <w:lang w:val="es-ES" w:eastAsia="en-US" w:bidi="ar-SA"/>
      </w:rPr>
    </w:lvl>
    <w:lvl w:ilvl="8" w:tplc="76867D3A">
      <w:numFmt w:val="bullet"/>
      <w:lvlText w:val="•"/>
      <w:lvlJc w:val="left"/>
      <w:pPr>
        <w:ind w:left="8311" w:hanging="360"/>
      </w:pPr>
      <w:rPr>
        <w:rFonts w:hint="default"/>
        <w:lang w:val="es-ES" w:eastAsia="en-US" w:bidi="ar-SA"/>
      </w:rPr>
    </w:lvl>
  </w:abstractNum>
  <w:num w:numId="1" w16cid:durableId="2134401557">
    <w:abstractNumId w:val="2"/>
  </w:num>
  <w:num w:numId="2" w16cid:durableId="646663673">
    <w:abstractNumId w:val="1"/>
  </w:num>
  <w:num w:numId="3" w16cid:durableId="422648203">
    <w:abstractNumId w:val="9"/>
  </w:num>
  <w:num w:numId="4" w16cid:durableId="1193686079">
    <w:abstractNumId w:val="10"/>
  </w:num>
  <w:num w:numId="5" w16cid:durableId="744038079">
    <w:abstractNumId w:val="5"/>
  </w:num>
  <w:num w:numId="6" w16cid:durableId="141191983">
    <w:abstractNumId w:val="11"/>
  </w:num>
  <w:num w:numId="7" w16cid:durableId="475075908">
    <w:abstractNumId w:val="7"/>
  </w:num>
  <w:num w:numId="8" w16cid:durableId="818302501">
    <w:abstractNumId w:val="14"/>
  </w:num>
  <w:num w:numId="9" w16cid:durableId="1664159573">
    <w:abstractNumId w:val="12"/>
  </w:num>
  <w:num w:numId="10" w16cid:durableId="856508754">
    <w:abstractNumId w:val="13"/>
  </w:num>
  <w:num w:numId="11" w16cid:durableId="574243535">
    <w:abstractNumId w:val="8"/>
  </w:num>
  <w:num w:numId="12" w16cid:durableId="477309627">
    <w:abstractNumId w:val="4"/>
  </w:num>
  <w:num w:numId="13" w16cid:durableId="119030282">
    <w:abstractNumId w:val="3"/>
  </w:num>
  <w:num w:numId="14" w16cid:durableId="1677423358">
    <w:abstractNumId w:val="0"/>
  </w:num>
  <w:num w:numId="15" w16cid:durableId="12185128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6EF"/>
    <w:rsid w:val="000012B9"/>
    <w:rsid w:val="00001306"/>
    <w:rsid w:val="00005E92"/>
    <w:rsid w:val="00030834"/>
    <w:rsid w:val="00037CD7"/>
    <w:rsid w:val="00043615"/>
    <w:rsid w:val="00054449"/>
    <w:rsid w:val="0006246E"/>
    <w:rsid w:val="00066524"/>
    <w:rsid w:val="00071588"/>
    <w:rsid w:val="00071A62"/>
    <w:rsid w:val="000951A2"/>
    <w:rsid w:val="000974B3"/>
    <w:rsid w:val="000A2DD8"/>
    <w:rsid w:val="000B19AE"/>
    <w:rsid w:val="000E26B9"/>
    <w:rsid w:val="0011227F"/>
    <w:rsid w:val="00135C28"/>
    <w:rsid w:val="00177D5A"/>
    <w:rsid w:val="00187D26"/>
    <w:rsid w:val="00193F41"/>
    <w:rsid w:val="001A06AA"/>
    <w:rsid w:val="001A0F59"/>
    <w:rsid w:val="001A45DA"/>
    <w:rsid w:val="001B1A5F"/>
    <w:rsid w:val="001C5ACD"/>
    <w:rsid w:val="001E2B60"/>
    <w:rsid w:val="001E41F7"/>
    <w:rsid w:val="00201736"/>
    <w:rsid w:val="00232362"/>
    <w:rsid w:val="00234F44"/>
    <w:rsid w:val="002361B0"/>
    <w:rsid w:val="00237207"/>
    <w:rsid w:val="00281EB7"/>
    <w:rsid w:val="00291A4C"/>
    <w:rsid w:val="002926EF"/>
    <w:rsid w:val="00300FA1"/>
    <w:rsid w:val="00322F9A"/>
    <w:rsid w:val="003232F8"/>
    <w:rsid w:val="0033007D"/>
    <w:rsid w:val="003453C0"/>
    <w:rsid w:val="003709C9"/>
    <w:rsid w:val="003748FE"/>
    <w:rsid w:val="003A0FED"/>
    <w:rsid w:val="003E7CCF"/>
    <w:rsid w:val="003F1034"/>
    <w:rsid w:val="003F272A"/>
    <w:rsid w:val="00401370"/>
    <w:rsid w:val="0040359A"/>
    <w:rsid w:val="00412550"/>
    <w:rsid w:val="00424E1A"/>
    <w:rsid w:val="00456417"/>
    <w:rsid w:val="004A3799"/>
    <w:rsid w:val="004B12FC"/>
    <w:rsid w:val="004B14C8"/>
    <w:rsid w:val="004B3693"/>
    <w:rsid w:val="004C6ADF"/>
    <w:rsid w:val="004D1EA4"/>
    <w:rsid w:val="004E2390"/>
    <w:rsid w:val="004F1DB6"/>
    <w:rsid w:val="00500EC5"/>
    <w:rsid w:val="005157A1"/>
    <w:rsid w:val="00535A1D"/>
    <w:rsid w:val="0053658F"/>
    <w:rsid w:val="00583513"/>
    <w:rsid w:val="00595D17"/>
    <w:rsid w:val="005B5646"/>
    <w:rsid w:val="005C2C37"/>
    <w:rsid w:val="005C3C1D"/>
    <w:rsid w:val="00600D21"/>
    <w:rsid w:val="006366BF"/>
    <w:rsid w:val="00656D40"/>
    <w:rsid w:val="00695167"/>
    <w:rsid w:val="006A7A17"/>
    <w:rsid w:val="006B0AB2"/>
    <w:rsid w:val="006B2FAA"/>
    <w:rsid w:val="006B5104"/>
    <w:rsid w:val="006E6412"/>
    <w:rsid w:val="006F34E2"/>
    <w:rsid w:val="007048BF"/>
    <w:rsid w:val="00726188"/>
    <w:rsid w:val="00733BED"/>
    <w:rsid w:val="00772FD8"/>
    <w:rsid w:val="00792561"/>
    <w:rsid w:val="007A0ACA"/>
    <w:rsid w:val="007A1F12"/>
    <w:rsid w:val="007A4097"/>
    <w:rsid w:val="007B663D"/>
    <w:rsid w:val="007B67F8"/>
    <w:rsid w:val="007D235F"/>
    <w:rsid w:val="007D2CDF"/>
    <w:rsid w:val="007E35C1"/>
    <w:rsid w:val="007E4A45"/>
    <w:rsid w:val="00800D60"/>
    <w:rsid w:val="008168D8"/>
    <w:rsid w:val="00817B51"/>
    <w:rsid w:val="00831E5E"/>
    <w:rsid w:val="0083376B"/>
    <w:rsid w:val="00847DB8"/>
    <w:rsid w:val="00870BFF"/>
    <w:rsid w:val="008831A5"/>
    <w:rsid w:val="00893772"/>
    <w:rsid w:val="008A045F"/>
    <w:rsid w:val="008A5801"/>
    <w:rsid w:val="008A6F14"/>
    <w:rsid w:val="008D07DB"/>
    <w:rsid w:val="008E0C85"/>
    <w:rsid w:val="0091171F"/>
    <w:rsid w:val="009148C7"/>
    <w:rsid w:val="00974C97"/>
    <w:rsid w:val="00977CDE"/>
    <w:rsid w:val="00986267"/>
    <w:rsid w:val="0099038E"/>
    <w:rsid w:val="009A072A"/>
    <w:rsid w:val="009A1B1E"/>
    <w:rsid w:val="009C167D"/>
    <w:rsid w:val="009E7F71"/>
    <w:rsid w:val="00A32A9F"/>
    <w:rsid w:val="00A40D98"/>
    <w:rsid w:val="00A71D59"/>
    <w:rsid w:val="00A9390B"/>
    <w:rsid w:val="00AA13AF"/>
    <w:rsid w:val="00AB65E9"/>
    <w:rsid w:val="00AC506C"/>
    <w:rsid w:val="00AF19A1"/>
    <w:rsid w:val="00AF37AD"/>
    <w:rsid w:val="00B07233"/>
    <w:rsid w:val="00B17FE9"/>
    <w:rsid w:val="00B5127E"/>
    <w:rsid w:val="00B75564"/>
    <w:rsid w:val="00B76208"/>
    <w:rsid w:val="00B809D6"/>
    <w:rsid w:val="00B95BCB"/>
    <w:rsid w:val="00BC07D8"/>
    <w:rsid w:val="00C16E91"/>
    <w:rsid w:val="00C17F80"/>
    <w:rsid w:val="00C27461"/>
    <w:rsid w:val="00C56368"/>
    <w:rsid w:val="00C60FFA"/>
    <w:rsid w:val="00C66C76"/>
    <w:rsid w:val="00C86AB8"/>
    <w:rsid w:val="00C93D5F"/>
    <w:rsid w:val="00CB76F9"/>
    <w:rsid w:val="00CC0331"/>
    <w:rsid w:val="00CC6FB6"/>
    <w:rsid w:val="00CD17AC"/>
    <w:rsid w:val="00D039BD"/>
    <w:rsid w:val="00D06461"/>
    <w:rsid w:val="00D20D0E"/>
    <w:rsid w:val="00D3481E"/>
    <w:rsid w:val="00D57CE1"/>
    <w:rsid w:val="00D67180"/>
    <w:rsid w:val="00D70A98"/>
    <w:rsid w:val="00D7396E"/>
    <w:rsid w:val="00D768AC"/>
    <w:rsid w:val="00D81150"/>
    <w:rsid w:val="00D85818"/>
    <w:rsid w:val="00D94848"/>
    <w:rsid w:val="00DA0004"/>
    <w:rsid w:val="00DA4061"/>
    <w:rsid w:val="00DB507C"/>
    <w:rsid w:val="00DD24C3"/>
    <w:rsid w:val="00E13EB6"/>
    <w:rsid w:val="00E17C51"/>
    <w:rsid w:val="00E26AA9"/>
    <w:rsid w:val="00E40FFA"/>
    <w:rsid w:val="00E4237C"/>
    <w:rsid w:val="00E451F3"/>
    <w:rsid w:val="00E64E53"/>
    <w:rsid w:val="00E73CD8"/>
    <w:rsid w:val="00E75E63"/>
    <w:rsid w:val="00E7737D"/>
    <w:rsid w:val="00EC0033"/>
    <w:rsid w:val="00ED69E0"/>
    <w:rsid w:val="00F00F7D"/>
    <w:rsid w:val="00F15603"/>
    <w:rsid w:val="00F16161"/>
    <w:rsid w:val="00F27B6E"/>
    <w:rsid w:val="00F355C5"/>
    <w:rsid w:val="00F43104"/>
    <w:rsid w:val="00F57C4E"/>
    <w:rsid w:val="00F81845"/>
    <w:rsid w:val="00F879DC"/>
    <w:rsid w:val="00FA40C7"/>
    <w:rsid w:val="00FC210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56BC95"/>
  <w15:docId w15:val="{A69B43E7-EAEA-4593-A874-697A01A64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rlito" w:eastAsia="Carlito" w:hAnsi="Carlito" w:cs="Carlito"/>
      <w:lang w:val="es-ES"/>
    </w:rPr>
  </w:style>
  <w:style w:type="paragraph" w:styleId="Ttulo1">
    <w:name w:val="heading 1"/>
    <w:basedOn w:val="Normal"/>
    <w:link w:val="Ttulo1Car"/>
    <w:uiPriority w:val="9"/>
    <w:qFormat/>
    <w:pPr>
      <w:spacing w:before="18"/>
      <w:ind w:left="572" w:hanging="433"/>
      <w:outlineLvl w:val="0"/>
    </w:pPr>
    <w:rPr>
      <w:b/>
      <w:bCs/>
      <w:sz w:val="24"/>
      <w:szCs w:val="24"/>
    </w:rPr>
  </w:style>
  <w:style w:type="paragraph" w:styleId="Ttulo2">
    <w:name w:val="heading 2"/>
    <w:basedOn w:val="Normal"/>
    <w:uiPriority w:val="9"/>
    <w:unhideWhenUsed/>
    <w:qFormat/>
    <w:pPr>
      <w:spacing w:before="38"/>
      <w:ind w:left="860"/>
      <w:outlineLvl w:val="1"/>
    </w:pPr>
    <w:rPr>
      <w:b/>
      <w:bCs/>
    </w:rPr>
  </w:style>
  <w:style w:type="paragraph" w:styleId="Ttulo3">
    <w:name w:val="heading 3"/>
    <w:basedOn w:val="Normal"/>
    <w:uiPriority w:val="9"/>
    <w:unhideWhenUsed/>
    <w:qFormat/>
    <w:pPr>
      <w:ind w:left="1004" w:hanging="865"/>
      <w:outlineLvl w:val="2"/>
    </w:pPr>
    <w:rPr>
      <w:b/>
      <w:bCs/>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240"/>
      <w:ind w:left="536" w:hanging="397"/>
    </w:pPr>
    <w:rPr>
      <w:b/>
      <w:bCs/>
      <w:sz w:val="20"/>
      <w:szCs w:val="20"/>
    </w:rPr>
  </w:style>
  <w:style w:type="paragraph" w:styleId="TDC2">
    <w:name w:val="toc 2"/>
    <w:basedOn w:val="Normal"/>
    <w:uiPriority w:val="39"/>
    <w:qFormat/>
    <w:pPr>
      <w:ind w:left="982" w:hanging="447"/>
    </w:pPr>
    <w:rPr>
      <w:rFonts w:ascii="Arial" w:eastAsia="Arial" w:hAnsi="Arial" w:cs="Arial"/>
      <w:sz w:val="18"/>
      <w:szCs w:val="18"/>
    </w:rPr>
  </w:style>
  <w:style w:type="paragraph" w:styleId="Textoindependiente">
    <w:name w:val="Body Text"/>
    <w:basedOn w:val="Normal"/>
    <w:link w:val="TextoindependienteCar"/>
    <w:uiPriority w:val="1"/>
    <w:qFormat/>
  </w:style>
  <w:style w:type="paragraph" w:styleId="Ttulo">
    <w:name w:val="Title"/>
    <w:basedOn w:val="Normal"/>
    <w:uiPriority w:val="10"/>
    <w:qFormat/>
    <w:pPr>
      <w:spacing w:before="3"/>
      <w:ind w:left="879" w:right="785" w:hanging="8"/>
      <w:jc w:val="center"/>
    </w:pPr>
    <w:rPr>
      <w:sz w:val="48"/>
      <w:szCs w:val="48"/>
    </w:rPr>
  </w:style>
  <w:style w:type="paragraph" w:styleId="Prrafodelista">
    <w:name w:val="List Paragraph"/>
    <w:basedOn w:val="Normal"/>
    <w:uiPriority w:val="1"/>
    <w:qFormat/>
    <w:pPr>
      <w:ind w:left="860" w:hanging="361"/>
    </w:pPr>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B75564"/>
    <w:pPr>
      <w:tabs>
        <w:tab w:val="center" w:pos="4419"/>
        <w:tab w:val="right" w:pos="8838"/>
      </w:tabs>
    </w:pPr>
  </w:style>
  <w:style w:type="character" w:customStyle="1" w:styleId="EncabezadoCar">
    <w:name w:val="Encabezado Car"/>
    <w:basedOn w:val="Fuentedeprrafopredeter"/>
    <w:link w:val="Encabezado"/>
    <w:uiPriority w:val="99"/>
    <w:rsid w:val="00B75564"/>
    <w:rPr>
      <w:rFonts w:ascii="Carlito" w:eastAsia="Carlito" w:hAnsi="Carlito" w:cs="Carlito"/>
      <w:lang w:val="es-ES"/>
    </w:rPr>
  </w:style>
  <w:style w:type="paragraph" w:styleId="Piedepgina">
    <w:name w:val="footer"/>
    <w:basedOn w:val="Normal"/>
    <w:link w:val="PiedepginaCar"/>
    <w:uiPriority w:val="99"/>
    <w:unhideWhenUsed/>
    <w:rsid w:val="00B75564"/>
    <w:pPr>
      <w:tabs>
        <w:tab w:val="center" w:pos="4419"/>
        <w:tab w:val="right" w:pos="8838"/>
      </w:tabs>
    </w:pPr>
  </w:style>
  <w:style w:type="character" w:customStyle="1" w:styleId="PiedepginaCar">
    <w:name w:val="Pie de página Car"/>
    <w:basedOn w:val="Fuentedeprrafopredeter"/>
    <w:link w:val="Piedepgina"/>
    <w:uiPriority w:val="99"/>
    <w:rsid w:val="00B75564"/>
    <w:rPr>
      <w:rFonts w:ascii="Carlito" w:eastAsia="Carlito" w:hAnsi="Carlito" w:cs="Carlito"/>
      <w:lang w:val="es-ES"/>
    </w:rPr>
  </w:style>
  <w:style w:type="paragraph" w:styleId="Textodeglobo">
    <w:name w:val="Balloon Text"/>
    <w:basedOn w:val="Normal"/>
    <w:link w:val="TextodegloboCar"/>
    <w:uiPriority w:val="99"/>
    <w:semiHidden/>
    <w:unhideWhenUsed/>
    <w:rsid w:val="008A045F"/>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A045F"/>
    <w:rPr>
      <w:rFonts w:ascii="Segoe UI" w:eastAsia="Carlito" w:hAnsi="Segoe UI" w:cs="Segoe UI"/>
      <w:sz w:val="18"/>
      <w:szCs w:val="18"/>
      <w:lang w:val="es-ES"/>
    </w:rPr>
  </w:style>
  <w:style w:type="character" w:styleId="Textodelmarcadordeposicin">
    <w:name w:val="Placeholder Text"/>
    <w:basedOn w:val="Fuentedeprrafopredeter"/>
    <w:uiPriority w:val="99"/>
    <w:semiHidden/>
    <w:rsid w:val="00D20D0E"/>
    <w:rPr>
      <w:color w:val="808080"/>
    </w:rPr>
  </w:style>
  <w:style w:type="paragraph" w:styleId="TtuloTDC">
    <w:name w:val="TOC Heading"/>
    <w:basedOn w:val="Ttulo1"/>
    <w:next w:val="Normal"/>
    <w:uiPriority w:val="39"/>
    <w:unhideWhenUsed/>
    <w:qFormat/>
    <w:rsid w:val="00A32A9F"/>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val="es-CL" w:eastAsia="es-CL"/>
    </w:rPr>
  </w:style>
  <w:style w:type="character" w:styleId="Hipervnculo">
    <w:name w:val="Hyperlink"/>
    <w:basedOn w:val="Fuentedeprrafopredeter"/>
    <w:uiPriority w:val="99"/>
    <w:unhideWhenUsed/>
    <w:rsid w:val="00A32A9F"/>
    <w:rPr>
      <w:color w:val="0000FF" w:themeColor="hyperlink"/>
      <w:u w:val="single"/>
    </w:rPr>
  </w:style>
  <w:style w:type="character" w:styleId="Refdecomentario">
    <w:name w:val="annotation reference"/>
    <w:basedOn w:val="Fuentedeprrafopredeter"/>
    <w:uiPriority w:val="99"/>
    <w:semiHidden/>
    <w:unhideWhenUsed/>
    <w:rsid w:val="00D039BD"/>
    <w:rPr>
      <w:sz w:val="16"/>
      <w:szCs w:val="16"/>
    </w:rPr>
  </w:style>
  <w:style w:type="paragraph" w:styleId="Textocomentario">
    <w:name w:val="annotation text"/>
    <w:basedOn w:val="Normal"/>
    <w:link w:val="TextocomentarioCar"/>
    <w:uiPriority w:val="99"/>
    <w:semiHidden/>
    <w:unhideWhenUsed/>
    <w:rsid w:val="00D039BD"/>
    <w:rPr>
      <w:sz w:val="20"/>
      <w:szCs w:val="20"/>
    </w:rPr>
  </w:style>
  <w:style w:type="character" w:customStyle="1" w:styleId="TextocomentarioCar">
    <w:name w:val="Texto comentario Car"/>
    <w:basedOn w:val="Fuentedeprrafopredeter"/>
    <w:link w:val="Textocomentario"/>
    <w:uiPriority w:val="99"/>
    <w:semiHidden/>
    <w:rsid w:val="00D039BD"/>
    <w:rPr>
      <w:rFonts w:ascii="Carlito" w:eastAsia="Carlito" w:hAnsi="Carlito" w:cs="Carlito"/>
      <w:sz w:val="20"/>
      <w:szCs w:val="20"/>
      <w:lang w:val="es-ES"/>
    </w:rPr>
  </w:style>
  <w:style w:type="paragraph" w:styleId="Asuntodelcomentario">
    <w:name w:val="annotation subject"/>
    <w:basedOn w:val="Textocomentario"/>
    <w:next w:val="Textocomentario"/>
    <w:link w:val="AsuntodelcomentarioCar"/>
    <w:uiPriority w:val="99"/>
    <w:semiHidden/>
    <w:unhideWhenUsed/>
    <w:rsid w:val="00D039BD"/>
    <w:rPr>
      <w:b/>
      <w:bCs/>
    </w:rPr>
  </w:style>
  <w:style w:type="character" w:customStyle="1" w:styleId="AsuntodelcomentarioCar">
    <w:name w:val="Asunto del comentario Car"/>
    <w:basedOn w:val="TextocomentarioCar"/>
    <w:link w:val="Asuntodelcomentario"/>
    <w:uiPriority w:val="99"/>
    <w:semiHidden/>
    <w:rsid w:val="00D039BD"/>
    <w:rPr>
      <w:rFonts w:ascii="Carlito" w:eastAsia="Carlito" w:hAnsi="Carlito" w:cs="Carlito"/>
      <w:b/>
      <w:bCs/>
      <w:sz w:val="20"/>
      <w:szCs w:val="20"/>
      <w:lang w:val="es-ES"/>
    </w:rPr>
  </w:style>
  <w:style w:type="paragraph" w:styleId="Revisin">
    <w:name w:val="Revision"/>
    <w:hidden/>
    <w:uiPriority w:val="99"/>
    <w:semiHidden/>
    <w:rsid w:val="00066524"/>
    <w:pPr>
      <w:widowControl/>
      <w:autoSpaceDE/>
      <w:autoSpaceDN/>
    </w:pPr>
    <w:rPr>
      <w:rFonts w:ascii="Carlito" w:eastAsia="Carlito" w:hAnsi="Carlito" w:cs="Carlito"/>
      <w:lang w:val="es-ES"/>
    </w:rPr>
  </w:style>
  <w:style w:type="character" w:customStyle="1" w:styleId="Ttulo1Car">
    <w:name w:val="Título 1 Car"/>
    <w:basedOn w:val="Fuentedeprrafopredeter"/>
    <w:link w:val="Ttulo1"/>
    <w:uiPriority w:val="9"/>
    <w:rsid w:val="008E0C85"/>
    <w:rPr>
      <w:rFonts w:ascii="Carlito" w:eastAsia="Carlito" w:hAnsi="Carlito" w:cs="Carlito"/>
      <w:b/>
      <w:bCs/>
      <w:sz w:val="24"/>
      <w:szCs w:val="24"/>
      <w:lang w:val="es-ES"/>
    </w:rPr>
  </w:style>
  <w:style w:type="character" w:customStyle="1" w:styleId="TextoindependienteCar">
    <w:name w:val="Texto independiente Car"/>
    <w:basedOn w:val="Fuentedeprrafopredeter"/>
    <w:link w:val="Textoindependiente"/>
    <w:uiPriority w:val="1"/>
    <w:rsid w:val="005157A1"/>
    <w:rPr>
      <w:rFonts w:ascii="Carlito" w:eastAsia="Carlito" w:hAnsi="Carlito" w:cs="Carlito"/>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198612">
      <w:marLeft w:val="0"/>
      <w:marRight w:val="0"/>
      <w:marTop w:val="0"/>
      <w:marBottom w:val="0"/>
      <w:divBdr>
        <w:top w:val="none" w:sz="0" w:space="0" w:color="auto"/>
        <w:left w:val="none" w:sz="0" w:space="0" w:color="auto"/>
        <w:bottom w:val="none" w:sz="0" w:space="0" w:color="auto"/>
        <w:right w:val="none" w:sz="0" w:space="0" w:color="auto"/>
      </w:divBdr>
    </w:div>
    <w:div w:id="148718685">
      <w:bodyDiv w:val="1"/>
      <w:marLeft w:val="0"/>
      <w:marRight w:val="0"/>
      <w:marTop w:val="0"/>
      <w:marBottom w:val="0"/>
      <w:divBdr>
        <w:top w:val="none" w:sz="0" w:space="0" w:color="auto"/>
        <w:left w:val="none" w:sz="0" w:space="0" w:color="auto"/>
        <w:bottom w:val="none" w:sz="0" w:space="0" w:color="auto"/>
        <w:right w:val="none" w:sz="0" w:space="0" w:color="auto"/>
      </w:divBdr>
    </w:div>
    <w:div w:id="172763405">
      <w:bodyDiv w:val="1"/>
      <w:marLeft w:val="0"/>
      <w:marRight w:val="0"/>
      <w:marTop w:val="0"/>
      <w:marBottom w:val="0"/>
      <w:divBdr>
        <w:top w:val="none" w:sz="0" w:space="0" w:color="auto"/>
        <w:left w:val="none" w:sz="0" w:space="0" w:color="auto"/>
        <w:bottom w:val="none" w:sz="0" w:space="0" w:color="auto"/>
        <w:right w:val="none" w:sz="0" w:space="0" w:color="auto"/>
      </w:divBdr>
    </w:div>
    <w:div w:id="425460471">
      <w:bodyDiv w:val="1"/>
      <w:marLeft w:val="0"/>
      <w:marRight w:val="0"/>
      <w:marTop w:val="0"/>
      <w:marBottom w:val="0"/>
      <w:divBdr>
        <w:top w:val="none" w:sz="0" w:space="0" w:color="auto"/>
        <w:left w:val="none" w:sz="0" w:space="0" w:color="auto"/>
        <w:bottom w:val="none" w:sz="0" w:space="0" w:color="auto"/>
        <w:right w:val="none" w:sz="0" w:space="0" w:color="auto"/>
      </w:divBdr>
    </w:div>
    <w:div w:id="500966745">
      <w:bodyDiv w:val="1"/>
      <w:marLeft w:val="0"/>
      <w:marRight w:val="0"/>
      <w:marTop w:val="0"/>
      <w:marBottom w:val="0"/>
      <w:divBdr>
        <w:top w:val="none" w:sz="0" w:space="0" w:color="auto"/>
        <w:left w:val="none" w:sz="0" w:space="0" w:color="auto"/>
        <w:bottom w:val="none" w:sz="0" w:space="0" w:color="auto"/>
        <w:right w:val="none" w:sz="0" w:space="0" w:color="auto"/>
      </w:divBdr>
    </w:div>
    <w:div w:id="532571543">
      <w:bodyDiv w:val="1"/>
      <w:marLeft w:val="0"/>
      <w:marRight w:val="0"/>
      <w:marTop w:val="0"/>
      <w:marBottom w:val="0"/>
      <w:divBdr>
        <w:top w:val="none" w:sz="0" w:space="0" w:color="auto"/>
        <w:left w:val="none" w:sz="0" w:space="0" w:color="auto"/>
        <w:bottom w:val="none" w:sz="0" w:space="0" w:color="auto"/>
        <w:right w:val="none" w:sz="0" w:space="0" w:color="auto"/>
      </w:divBdr>
    </w:div>
    <w:div w:id="559445643">
      <w:bodyDiv w:val="1"/>
      <w:marLeft w:val="0"/>
      <w:marRight w:val="0"/>
      <w:marTop w:val="0"/>
      <w:marBottom w:val="0"/>
      <w:divBdr>
        <w:top w:val="none" w:sz="0" w:space="0" w:color="auto"/>
        <w:left w:val="none" w:sz="0" w:space="0" w:color="auto"/>
        <w:bottom w:val="none" w:sz="0" w:space="0" w:color="auto"/>
        <w:right w:val="none" w:sz="0" w:space="0" w:color="auto"/>
      </w:divBdr>
    </w:div>
    <w:div w:id="705257499">
      <w:bodyDiv w:val="1"/>
      <w:marLeft w:val="0"/>
      <w:marRight w:val="0"/>
      <w:marTop w:val="0"/>
      <w:marBottom w:val="0"/>
      <w:divBdr>
        <w:top w:val="none" w:sz="0" w:space="0" w:color="auto"/>
        <w:left w:val="none" w:sz="0" w:space="0" w:color="auto"/>
        <w:bottom w:val="none" w:sz="0" w:space="0" w:color="auto"/>
        <w:right w:val="none" w:sz="0" w:space="0" w:color="auto"/>
      </w:divBdr>
    </w:div>
    <w:div w:id="840776772">
      <w:bodyDiv w:val="1"/>
      <w:marLeft w:val="0"/>
      <w:marRight w:val="0"/>
      <w:marTop w:val="0"/>
      <w:marBottom w:val="0"/>
      <w:divBdr>
        <w:top w:val="none" w:sz="0" w:space="0" w:color="auto"/>
        <w:left w:val="none" w:sz="0" w:space="0" w:color="auto"/>
        <w:bottom w:val="none" w:sz="0" w:space="0" w:color="auto"/>
        <w:right w:val="none" w:sz="0" w:space="0" w:color="auto"/>
      </w:divBdr>
    </w:div>
    <w:div w:id="968165246">
      <w:bodyDiv w:val="1"/>
      <w:marLeft w:val="0"/>
      <w:marRight w:val="0"/>
      <w:marTop w:val="0"/>
      <w:marBottom w:val="0"/>
      <w:divBdr>
        <w:top w:val="none" w:sz="0" w:space="0" w:color="auto"/>
        <w:left w:val="none" w:sz="0" w:space="0" w:color="auto"/>
        <w:bottom w:val="none" w:sz="0" w:space="0" w:color="auto"/>
        <w:right w:val="none" w:sz="0" w:space="0" w:color="auto"/>
      </w:divBdr>
    </w:div>
    <w:div w:id="1348559444">
      <w:bodyDiv w:val="1"/>
      <w:marLeft w:val="0"/>
      <w:marRight w:val="0"/>
      <w:marTop w:val="0"/>
      <w:marBottom w:val="0"/>
      <w:divBdr>
        <w:top w:val="none" w:sz="0" w:space="0" w:color="auto"/>
        <w:left w:val="none" w:sz="0" w:space="0" w:color="auto"/>
        <w:bottom w:val="none" w:sz="0" w:space="0" w:color="auto"/>
        <w:right w:val="none" w:sz="0" w:space="0" w:color="auto"/>
      </w:divBdr>
    </w:div>
    <w:div w:id="1479611183">
      <w:bodyDiv w:val="1"/>
      <w:marLeft w:val="0"/>
      <w:marRight w:val="0"/>
      <w:marTop w:val="0"/>
      <w:marBottom w:val="0"/>
      <w:divBdr>
        <w:top w:val="none" w:sz="0" w:space="0" w:color="auto"/>
        <w:left w:val="none" w:sz="0" w:space="0" w:color="auto"/>
        <w:bottom w:val="none" w:sz="0" w:space="0" w:color="auto"/>
        <w:right w:val="none" w:sz="0" w:space="0" w:color="auto"/>
      </w:divBdr>
    </w:div>
    <w:div w:id="1626496093">
      <w:bodyDiv w:val="1"/>
      <w:marLeft w:val="0"/>
      <w:marRight w:val="0"/>
      <w:marTop w:val="0"/>
      <w:marBottom w:val="0"/>
      <w:divBdr>
        <w:top w:val="none" w:sz="0" w:space="0" w:color="auto"/>
        <w:left w:val="none" w:sz="0" w:space="0" w:color="auto"/>
        <w:bottom w:val="none" w:sz="0" w:space="0" w:color="auto"/>
        <w:right w:val="none" w:sz="0" w:space="0" w:color="auto"/>
      </w:divBdr>
    </w:div>
    <w:div w:id="1642416205">
      <w:bodyDiv w:val="1"/>
      <w:marLeft w:val="0"/>
      <w:marRight w:val="0"/>
      <w:marTop w:val="0"/>
      <w:marBottom w:val="0"/>
      <w:divBdr>
        <w:top w:val="none" w:sz="0" w:space="0" w:color="auto"/>
        <w:left w:val="none" w:sz="0" w:space="0" w:color="auto"/>
        <w:bottom w:val="none" w:sz="0" w:space="0" w:color="auto"/>
        <w:right w:val="none" w:sz="0" w:space="0" w:color="auto"/>
      </w:divBdr>
    </w:div>
    <w:div w:id="1899437722">
      <w:bodyDiv w:val="1"/>
      <w:marLeft w:val="0"/>
      <w:marRight w:val="0"/>
      <w:marTop w:val="0"/>
      <w:marBottom w:val="0"/>
      <w:divBdr>
        <w:top w:val="none" w:sz="0" w:space="0" w:color="auto"/>
        <w:left w:val="none" w:sz="0" w:space="0" w:color="auto"/>
        <w:bottom w:val="none" w:sz="0" w:space="0" w:color="auto"/>
        <w:right w:val="none" w:sz="0" w:space="0" w:color="auto"/>
      </w:divBdr>
    </w:div>
    <w:div w:id="1932929293">
      <w:bodyDiv w:val="1"/>
      <w:marLeft w:val="0"/>
      <w:marRight w:val="0"/>
      <w:marTop w:val="0"/>
      <w:marBottom w:val="0"/>
      <w:divBdr>
        <w:top w:val="none" w:sz="0" w:space="0" w:color="auto"/>
        <w:left w:val="none" w:sz="0" w:space="0" w:color="auto"/>
        <w:bottom w:val="none" w:sz="0" w:space="0" w:color="auto"/>
        <w:right w:val="none" w:sz="0" w:space="0" w:color="auto"/>
      </w:divBdr>
    </w:div>
    <w:div w:id="2088992428">
      <w:bodyDiv w:val="1"/>
      <w:marLeft w:val="0"/>
      <w:marRight w:val="0"/>
      <w:marTop w:val="0"/>
      <w:marBottom w:val="0"/>
      <w:divBdr>
        <w:top w:val="none" w:sz="0" w:space="0" w:color="auto"/>
        <w:left w:val="none" w:sz="0" w:space="0" w:color="auto"/>
        <w:bottom w:val="none" w:sz="0" w:space="0" w:color="auto"/>
        <w:right w:val="none" w:sz="0" w:space="0" w:color="auto"/>
      </w:divBdr>
    </w:div>
    <w:div w:id="2091271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Fig1" Type="http://schemas.openxmlformats.org/officeDocument/2006/relationships/image" Target="media/image_fig1.png"/><Relationship Id="rIdFig2" Type="http://schemas.openxmlformats.org/officeDocument/2006/relationships/image" Target="media/image_fig2.png"/><Relationship Id="rIdFig3" Type="http://schemas.openxmlformats.org/officeDocument/2006/relationships/image" Target="media/image_fig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C8362C-ED36-4E86-9413-1BB453807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TotalTime>
  <Pages>4</Pages>
  <Words>978</Words>
  <Characters>5383</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DPTP</dc:creator>
  <cp:lastModifiedBy>Alonso Flores</cp:lastModifiedBy>
  <cp:revision>11</cp:revision>
  <cp:lastPrinted>2023-04-21T12:44:00Z</cp:lastPrinted>
  <dcterms:created xsi:type="dcterms:W3CDTF">2026-03-31T20:16:00Z</dcterms:created>
  <dcterms:modified xsi:type="dcterms:W3CDTF">2026-10-05T22:13:00Z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2019-12-31T00:00:00Z</vt:filetime>
  </property>
  <property fmtid="{D5CDD505-2E9C-101B-9397-08002B2CF9AE}" pid="3" name="Creator">
    <vt:lpwstr>Microsoft® Word para Office 365</vt:lpwstr>
  </property>
  <property fmtid="{D5CDD505-2E9C-101B-9397-08002B2CF9AE}" pid="4" name="LastSaved">
    <vt:filetime>2020-07-06T00:00:00Z</vt:filetime>
  </property>
</Properties>
</file>