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284825E" w14:textId="77777777" w:rsidR="002926EF" w:rsidRDefault="00B75564" w:rsidP="00C16E91">
      <w:pPr>
        <w:pStyle w:val="Textoindependiente"/>
        <w:ind w:left="1440" w:hanging="1440"/>
        <w:rPr>
          <w:rFonts w:ascii="Times New Roman"/>
          <w:sz w:val="20"/>
        </w:rPr>
      </w:pPr>
      <w:bookmarkStart w:id="0" w:name="_Hlk47287176"/>
      <w:bookmarkEnd w:id="0"/>
      <w:r>
        <w:rPr>
          <w:noProof/>
        </w:rPr>
        <w:drawing>
          <wp:anchor distT="0" distB="0" distL="0" distR="0" simplePos="0" relativeHeight="487127040" behindDoc="1" locked="0" layoutInCell="1" allowOverlap="1" wp14:anchorId="7CF6EDC3" wp14:editId="280C4F59">
            <wp:simplePos x="0" y="0"/>
            <wp:positionH relativeFrom="page">
              <wp:posOffset>287201</wp:posOffset>
            </wp:positionH>
            <wp:positionV relativeFrom="page">
              <wp:posOffset>256638</wp:posOffset>
            </wp:positionV>
            <wp:extent cx="7279309" cy="9550199"/>
            <wp:effectExtent l="0" t="0" r="0" b="0"/>
            <wp:wrapNone/>
            <wp:docPr id="1" name="image1.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jpeg"/>
                    <pic:cNvPicPr/>
                  </pic:nvPicPr>
                  <pic:blipFill>
                    <a:blip r:embed="rId8" cstate="print"/>
                    <a:stretch>
                      <a:fillRect/>
                    </a:stretch>
                  </pic:blipFill>
                  <pic:spPr>
                    <a:xfrm>
                      <a:off x="0" y="0"/>
                      <a:ext cx="7279309" cy="9550199"/>
                    </a:xfrm>
                    <a:prstGeom prst="rect">
                      <a:avLst/>
                    </a:prstGeom>
                  </pic:spPr>
                </pic:pic>
              </a:graphicData>
            </a:graphic>
          </wp:anchor>
        </w:drawing>
      </w:r>
    </w:p>
    <w:p w14:paraId="708A2FC2" w14:textId="77777777" w:rsidR="002926EF" w:rsidRDefault="002926EF">
      <w:pPr>
        <w:pStyle w:val="Textoindependiente"/>
        <w:rPr>
          <w:rFonts w:ascii="Times New Roman"/>
          <w:sz w:val="20"/>
        </w:rPr>
      </w:pPr>
    </w:p>
    <w:p w14:paraId="00570DA2" w14:textId="77777777" w:rsidR="002926EF" w:rsidRDefault="002926EF">
      <w:pPr>
        <w:pStyle w:val="Textoindependiente"/>
        <w:rPr>
          <w:rFonts w:ascii="Times New Roman"/>
          <w:sz w:val="20"/>
        </w:rPr>
      </w:pPr>
    </w:p>
    <w:p w14:paraId="26B29F8C" w14:textId="77777777" w:rsidR="002926EF" w:rsidRDefault="002926EF">
      <w:pPr>
        <w:pStyle w:val="Textoindependiente"/>
        <w:rPr>
          <w:rFonts w:ascii="Times New Roman"/>
          <w:sz w:val="20"/>
        </w:rPr>
      </w:pPr>
    </w:p>
    <w:p w14:paraId="2D9F9155" w14:textId="77777777" w:rsidR="002926EF" w:rsidRDefault="002926EF">
      <w:pPr>
        <w:pStyle w:val="Textoindependiente"/>
        <w:rPr>
          <w:rFonts w:ascii="Times New Roman"/>
          <w:sz w:val="20"/>
        </w:rPr>
      </w:pPr>
    </w:p>
    <w:p w14:paraId="5D973914" w14:textId="77777777" w:rsidR="002926EF" w:rsidRDefault="002926EF">
      <w:pPr>
        <w:pStyle w:val="Textoindependiente"/>
        <w:rPr>
          <w:rFonts w:ascii="Times New Roman"/>
          <w:sz w:val="20"/>
        </w:rPr>
      </w:pPr>
    </w:p>
    <w:p w14:paraId="0D758DE2" w14:textId="77777777" w:rsidR="002926EF" w:rsidRDefault="002926EF">
      <w:pPr>
        <w:pStyle w:val="Textoindependiente"/>
        <w:rPr>
          <w:rFonts w:ascii="Times New Roman"/>
          <w:sz w:val="20"/>
        </w:rPr>
      </w:pPr>
    </w:p>
    <w:p w14:paraId="71D0D3DE" w14:textId="77777777" w:rsidR="002926EF" w:rsidRDefault="002926EF">
      <w:pPr>
        <w:pStyle w:val="Textoindependiente"/>
        <w:rPr>
          <w:rFonts w:ascii="Times New Roman"/>
          <w:sz w:val="20"/>
        </w:rPr>
      </w:pPr>
    </w:p>
    <w:p w14:paraId="735CD166" w14:textId="77777777" w:rsidR="002926EF" w:rsidRDefault="002926EF">
      <w:pPr>
        <w:pStyle w:val="Textoindependiente"/>
        <w:rPr>
          <w:rFonts w:ascii="Times New Roman"/>
          <w:sz w:val="20"/>
        </w:rPr>
      </w:pPr>
    </w:p>
    <w:p w14:paraId="4ADA29AB" w14:textId="77777777" w:rsidR="002926EF" w:rsidRDefault="002926EF">
      <w:pPr>
        <w:pStyle w:val="Textoindependiente"/>
        <w:rPr>
          <w:rFonts w:ascii="Times New Roman"/>
          <w:sz w:val="20"/>
        </w:rPr>
      </w:pPr>
    </w:p>
    <w:p w14:paraId="2E7D6974" w14:textId="77777777" w:rsidR="002926EF" w:rsidRDefault="002926EF">
      <w:pPr>
        <w:pStyle w:val="Textoindependiente"/>
        <w:rPr>
          <w:rFonts w:ascii="Times New Roman"/>
          <w:sz w:val="20"/>
        </w:rPr>
      </w:pPr>
    </w:p>
    <w:p w14:paraId="1C4342F0" w14:textId="77777777" w:rsidR="002926EF" w:rsidRDefault="002926EF">
      <w:pPr>
        <w:pStyle w:val="Textoindependiente"/>
        <w:rPr>
          <w:rFonts w:ascii="Times New Roman"/>
          <w:sz w:val="20"/>
        </w:rPr>
      </w:pPr>
    </w:p>
    <w:p w14:paraId="5B6BA2B7" w14:textId="77777777" w:rsidR="002926EF" w:rsidRDefault="002926EF">
      <w:pPr>
        <w:pStyle w:val="Textoindependiente"/>
        <w:rPr>
          <w:rFonts w:ascii="Times New Roman"/>
          <w:sz w:val="20"/>
        </w:rPr>
      </w:pPr>
    </w:p>
    <w:p w14:paraId="4B4E22CB" w14:textId="77777777" w:rsidR="002926EF" w:rsidRDefault="002926EF">
      <w:pPr>
        <w:pStyle w:val="Textoindependiente"/>
        <w:rPr>
          <w:rFonts w:ascii="Times New Roman"/>
          <w:sz w:val="20"/>
        </w:rPr>
      </w:pPr>
    </w:p>
    <w:p w14:paraId="0F999732" w14:textId="77777777" w:rsidR="002926EF" w:rsidRDefault="002926EF">
      <w:pPr>
        <w:pStyle w:val="Textoindependiente"/>
        <w:rPr>
          <w:rFonts w:ascii="Times New Roman"/>
          <w:sz w:val="20"/>
        </w:rPr>
      </w:pPr>
    </w:p>
    <w:p w14:paraId="124A1DA7" w14:textId="77777777" w:rsidR="002926EF" w:rsidRDefault="002926EF">
      <w:pPr>
        <w:pStyle w:val="Textoindependiente"/>
        <w:rPr>
          <w:rFonts w:ascii="Times New Roman"/>
          <w:sz w:val="20"/>
        </w:rPr>
      </w:pPr>
    </w:p>
    <w:p w14:paraId="406043E5" w14:textId="77777777" w:rsidR="002926EF" w:rsidRDefault="002926EF">
      <w:pPr>
        <w:pStyle w:val="Textoindependiente"/>
        <w:rPr>
          <w:rFonts w:ascii="Times New Roman"/>
          <w:sz w:val="20"/>
        </w:rPr>
      </w:pPr>
    </w:p>
    <w:p w14:paraId="481972D2" w14:textId="77777777" w:rsidR="002926EF" w:rsidRDefault="002926EF">
      <w:pPr>
        <w:pStyle w:val="Textoindependiente"/>
        <w:rPr>
          <w:rFonts w:ascii="Times New Roman"/>
          <w:sz w:val="20"/>
        </w:rPr>
      </w:pPr>
    </w:p>
    <w:p w14:paraId="1356B8D6" w14:textId="77777777" w:rsidR="002926EF" w:rsidRDefault="002926EF">
      <w:pPr>
        <w:pStyle w:val="Textoindependiente"/>
        <w:spacing w:before="3"/>
        <w:rPr>
          <w:rFonts w:ascii="Times New Roman"/>
          <w:sz w:val="27"/>
        </w:rPr>
      </w:pPr>
    </w:p>
    <w:p>
      <w:pPr>
        <w:pStyle w:val="Ttulo"/>
      </w:pPr>
      <w:r>
        <w:rPr>
          <w:color w:val="585858"/>
        </w:rPr>
        <w:t xml:space="preserve">MINUTA SOBRE LA METODOLOGÍA DE MÍNIMO CAMINO ELÉCTRICO PARA MEDIOS DE GENERACIÓN DE PEQUEÑA ESCALA</w:t>
      </w:r>
    </w:p>
    <w:p w14:paraId="03EDE754" w14:textId="77777777" w:rsidR="002926EF" w:rsidRDefault="002926EF">
      <w:pPr>
        <w:pStyle w:val="Textoindependiente"/>
        <w:rPr>
          <w:sz w:val="20"/>
        </w:rPr>
      </w:pPr>
    </w:p>
    <w:p w14:paraId="58D033E7" w14:textId="77777777" w:rsidR="002926EF" w:rsidRDefault="002926EF">
      <w:pPr>
        <w:pStyle w:val="Textoindependiente"/>
        <w:rPr>
          <w:sz w:val="20"/>
        </w:rPr>
      </w:pPr>
    </w:p>
    <w:p w14:paraId="466417D2" w14:textId="77777777" w:rsidR="002926EF" w:rsidRDefault="002926EF">
      <w:pPr>
        <w:pStyle w:val="Textoindependiente"/>
        <w:rPr>
          <w:sz w:val="20"/>
        </w:rPr>
      </w:pPr>
    </w:p>
    <w:p w14:paraId="08F2AEDB" w14:textId="77777777" w:rsidR="002926EF" w:rsidRDefault="002926EF">
      <w:pPr>
        <w:pStyle w:val="Textoindependiente"/>
        <w:rPr>
          <w:sz w:val="20"/>
        </w:rPr>
      </w:pPr>
    </w:p>
    <w:p w14:paraId="612AB9AF" w14:textId="77777777" w:rsidR="002926EF" w:rsidRDefault="002926EF">
      <w:pPr>
        <w:pStyle w:val="Textoindependiente"/>
        <w:rPr>
          <w:sz w:val="20"/>
        </w:rPr>
      </w:pPr>
    </w:p>
    <w:p w14:paraId="3F225C45" w14:textId="77777777" w:rsidR="00B75564" w:rsidRDefault="00B75564" w:rsidP="00B75564">
      <w:pPr>
        <w:spacing w:before="164"/>
        <w:ind w:left="1418" w:right="1368" w:hanging="125"/>
        <w:jc w:val="center"/>
        <w:rPr>
          <w:color w:val="30849B"/>
          <w:sz w:val="32"/>
        </w:rPr>
      </w:pPr>
      <w:r>
        <w:rPr>
          <w:color w:val="30849B"/>
          <w:sz w:val="32"/>
        </w:rPr>
        <w:t>Departamento de Transferencias de Potencia y Cargos de Transmisión</w:t>
      </w:r>
    </w:p>
    <w:p w14:paraId="243A99E9" w14:textId="77777777" w:rsidR="002926EF" w:rsidRPr="000974B3" w:rsidRDefault="00B75564" w:rsidP="000974B3">
      <w:pPr>
        <w:spacing w:before="164"/>
        <w:ind w:left="1418" w:right="1368" w:hanging="125"/>
        <w:jc w:val="center"/>
        <w:rPr>
          <w:color w:val="30849B"/>
          <w:sz w:val="32"/>
        </w:rPr>
      </w:pPr>
      <w:r>
        <w:rPr>
          <w:color w:val="30849B"/>
          <w:sz w:val="32"/>
        </w:rPr>
        <w:t>Coordinador Eléctrico Nacional</w:t>
      </w:r>
    </w:p>
    <w:p w14:paraId="772F4720" w14:textId="77777777" w:rsidR="002926EF" w:rsidRPr="000974B3" w:rsidRDefault="002926EF" w:rsidP="000974B3">
      <w:pPr>
        <w:spacing w:before="164"/>
        <w:ind w:left="1418" w:right="1368" w:hanging="125"/>
        <w:jc w:val="center"/>
        <w:rPr>
          <w:color w:val="30849B"/>
          <w:sz w:val="32"/>
        </w:rPr>
        <w:sectPr w:rsidR="002926EF" w:rsidRPr="000974B3" w:rsidSect="00CC6FB6">
          <w:type w:val="continuous"/>
          <w:pgSz w:w="12240" w:h="15840"/>
          <w:pgMar w:top="1500" w:right="1021" w:bottom="280" w:left="1021" w:header="720" w:footer="720" w:gutter="0"/>
          <w:cols w:space="720"/>
        </w:sectPr>
      </w:pPr>
    </w:p>
    <w:p w14:paraId="75E73C11" w14:textId="30D709FC" w:rsidR="00F43104" w:rsidRDefault="00B75564" w:rsidP="00F43104">
      <w:pPr>
        <w:pStyle w:val="Ttulo1"/>
        <w:numPr>
          <w:ilvl w:val="0"/>
          <w:numId w:val="8"/>
        </w:numPr>
        <w:tabs>
          <w:tab w:val="left" w:pos="572"/>
          <w:tab w:val="left" w:pos="573"/>
        </w:tabs>
        <w:spacing w:before="0" w:after="18"/>
      </w:pPr>
      <w:bookmarkStart w:id="103" w:name="_bookmark101"/>
      <w:bookmarkStart w:id="104" w:name="_Toc1029049"/>
      <w:bookmarkEnd w:id="103"/>
      <w:r>
        <w:t>INTRODUCCIÓN</w:t>
      </w:r>
      <w:bookmarkEnd w:id="104"/>
    </w:p>
    <w:p w14:paraId="7D5C5593" w14:textId="77777777" w:rsidR="002926EF" w:rsidRDefault="006B5104">
      <w:pPr>
        <w:pStyle w:val="Textoindependiente"/>
        <w:spacing w:line="20" w:lineRule="exact"/>
        <w:ind w:left="111"/>
        <w:rPr>
          <w:sz w:val="2"/>
        </w:rPr>
      </w:pPr>
      <w:r>
        <w:rPr>
          <w:noProof/>
          <w:sz w:val="2"/>
        </w:rPr>
        <mc:AlternateContent>
          <mc:Choice Requires="wpg">
            <w:drawing>
              <wp:inline distT="0" distB="0" distL="0" distR="0" wp14:anchorId="5AFC0293" wp14:editId="2AF97D57">
                <wp:extent cx="6438900" cy="6350"/>
                <wp:effectExtent l="635" t="0" r="0" b="5080"/>
                <wp:docPr id="201" name="Group 4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438900" cy="6350"/>
                          <a:chOff x="0" y="0"/>
                          <a:chExt cx="10140" cy="10"/>
                        </a:xfrm>
                      </wpg:grpSpPr>
                      <wps:wsp>
                        <wps:cNvPr id="202" name="Rectangle 48"/>
                        <wps:cNvSpPr>
                          <a:spLocks noChangeArrowheads="1"/>
                        </wps:cNvSpPr>
                        <wps:spPr bwMode="auto">
                          <a:xfrm>
                            <a:off x="0" y="0"/>
                            <a:ext cx="10140" cy="10"/>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g:wgp>
                  </a:graphicData>
                </a:graphic>
              </wp:inline>
            </w:drawing>
          </mc:Choice>
          <mc:Fallback xmlns:w16cei="http://schemas.microsoft.com/office/word/2026/wordml/cei">
            <w:pict>
              <v:group w14:anchorId="46A037C0" id="Group 47" o:spid="_x0000_s1026" style="width:507pt;height:.5pt;mso-position-horizontal-relative:char;mso-position-vertical-relative:line" coordsize="10140,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">
                <v:rect id="Rectangle 48" o:spid="_x0000_s1027" style="position:absolute;width:10140;height: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" fillcolor="black" stroked="f"/>
                <w10:anchorlock/>
              </v:group>
            </w:pict>
          </mc:Fallback>
        </mc:AlternateContent>
      </w:r>
    </w:p>
    <w:p>
      <w:pPr>
        <w:pStyle w:val="Textoindependiente"/>
        <w:spacing w:before="0" w:after="0"/>
        <w:rPr>
          <w:sz w:val="14"/>
        </w:rPr>
      </w:pPr>
    </w:p>
    <w:p>
      <w:pPr>
        <w:pStyle w:val="Textoindependiente"/>
        <w:spacing w:after="200" w:line="276" w:lineRule="auto"/>
        <w:ind w:left="140" w:right="272"/>
        <w:jc w:val="both"/>
      </w:pPr>
      <w:r>
        <w:t xml:space="preserve">Los medios de generación de pequeña escala a que se refiere el artículo segundo transitorio del decreto N° 88/2019, del Ministerio de Energía, valorizan sus inyecciones de energía y potencia al precio de nudo de la subestación del Sistema de Transmisión Nacional más cercana. El Sistema de Transmisión Nacional corresponde al conjunto de instalaciones de transmisión de alta tensión, en general de 220 kV y 500 kV, que permiten la conformación de un mercado eléctrico común e interconectan los distintos sistemas zonales; sus subestaciones son las que cuentan con precio de nudo definido en el decreto. La determinación de cuál es dicha subestación corresponde al Coordinador y se efectúa mediante el criterio de mínima distancia eléctrica, también denominado mínimo camino eléctrico.</w:t>
      </w:r>
    </w:p>
    <w:p>
      <w:pPr>
        <w:pStyle w:val="Textoindependiente"/>
        <w:spacing w:after="200" w:line="276" w:lineRule="auto"/>
        <w:ind w:left="140" w:right="272"/>
        <w:jc w:val="both"/>
      </w:pPr>
      <w:r>
        <w:t xml:space="preserve">Como fuente de la metodología descrita en esta minuta se utiliza el siguiente extracto del numeral 2.2 del decreto de precios de nudo publicado en el Diario Oficial el 26 de noviembre de 2025 (edición N° 44.309, disponible en https://www.diariooficial.interior.gob.cl/publicaciones/2025/11/26/44309/01/2730484.pdf):</w:t>
      </w:r>
    </w:p>
    <w:p>
      <w:pPr>
        <w:pStyle w:val="Textoindependiente"/>
        <w:spacing w:after="200" w:line="276" w:lineRule="auto"/>
        <w:ind w:left="700" w:right="700"/>
        <w:jc w:val="both"/>
      </w:pPr>
      <w:r>
        <w:rPr>
          <w:i/>
          <w:iCs/>
        </w:rPr>
        <w:t xml:space="preserve">“2.2 Precio de Nudo aplicables a las Inyecciones de Medios de generación de pequeña escala. Tanto el precio de nudo de energía como el precio de nudo de potencia aplicables a las inyecciones efectuadas por los medios de generación de pequeña escala a que se refiere el artículo segundo transitorio del decreto Nº 88/2019, del Ministerio de Energía, corresponderán al precio de nudo de la subestación del Sistema de Transmisión Nacional más cercana. A estos efectos, la subestación del Sistema de Transmisión Nacional más cercana corresponderá a la que se encuentre a la mínima distancia eléctrica entre el punto de inyección y la subestación respectiva del Sistema de Transmisión Nacional, determinada por el Coordinador.”</w:t>
      </w:r>
    </w:p>
    <w:p>
      <w:pPr>
        <w:pStyle w:val="Textoindependiente"/>
        <w:spacing w:after="200" w:line="276" w:lineRule="auto"/>
        <w:ind w:left="140" w:right="272"/>
        <w:jc w:val="both"/>
      </w:pPr>
      <w:r>
        <w:t xml:space="preserve">La presente minuta describe brevemente la lógica de la metodología de mínimo camino eléctrico y expone, mediante un caso específico, una situación problemática de su aplicación: la asignación de una subestación alejada de la barra en que inyecta el medio de generación porque el camino directo, de menor longitud, contiene un transformador de alta reactancia que la metodología prefiere rodear. Asimismo, se describe la práctica de homologación manual de barras que se ha aplicado en el proceso y sus implicancias.</w:t>
      </w:r>
    </w:p>
    <w:p>
      <w:pPr>
        <w:pStyle w:val="Textoindependiente"/>
        <w:spacing w:after="0"/>
      </w:pPr>
    </w:p>
    <w:p w14:paraId="331F9741" w14:textId="30D709FC" w:rsidR="00F43104" w:rsidRDefault="00B75564" w:rsidP="00F43104">
      <w:pPr>
        <w:pStyle w:val="Ttulo1"/>
        <w:numPr>
          <w:ilvl w:val="0"/>
          <w:numId w:val="8"/>
        </w:numPr>
        <w:tabs>
          <w:tab w:val="left" w:pos="572"/>
          <w:tab w:val="left" w:pos="573"/>
        </w:tabs>
        <w:spacing w:before="0" w:after="18"/>
      </w:pPr>
      <w:bookmarkStart w:id="107" w:name="_bookmark105"/>
      <w:bookmarkStart w:id="108" w:name="_Toc1069049"/>
      <w:bookmarkEnd w:id="107"/>
      <w:r>
        <w:t>METODOLOGÍA DEL MÍNIMO CAMINO ELÉCTRICO</w:t>
      </w:r>
      <w:bookmarkEnd w:id="108"/>
    </w:p>
    <w:p w14:paraId="49E41096" w14:textId="77777777" w:rsidR="002926EF" w:rsidRDefault="006B5104">
      <w:pPr>
        <w:pStyle w:val="Textoindependiente"/>
        <w:spacing w:line="20" w:lineRule="exact"/>
        <w:ind w:left="111"/>
        <w:rPr>
          <w:sz w:val="2"/>
        </w:rPr>
      </w:pPr>
      <w:r>
        <w:rPr>
          <w:noProof/>
          <w:sz w:val="2"/>
        </w:rPr>
        <mc:AlternateContent>
          <mc:Choice Requires="wpg">
            <w:drawing>
              <wp:inline distT="0" distB="0" distL="0" distR="0" wp14:anchorId="0F6A6D14" wp14:editId="2AF97D57">
                <wp:extent cx="6438900" cy="6350"/>
                <wp:effectExtent l="635" t="0" r="0" b="5080"/>
                <wp:docPr id="203" name="Group 4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438900" cy="6350"/>
                          <a:chOff x="0" y="0"/>
                          <a:chExt cx="10140" cy="10"/>
                        </a:xfrm>
                      </wpg:grpSpPr>
                      <wps:wsp>
                        <wps:cNvPr id="204" name="Rectangle 48"/>
                        <wps:cNvSpPr>
                          <a:spLocks noChangeArrowheads="1"/>
                        </wps:cNvSpPr>
                        <wps:spPr bwMode="auto">
                          <a:xfrm>
                            <a:off x="0" y="0"/>
                            <a:ext cx="10140" cy="10"/>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g:wgp>
                  </a:graphicData>
                </a:graphic>
              </wp:inline>
            </w:drawing>
          </mc:Choice>
          <mc:Fallback xmlns:w16cei="http://schemas.microsoft.com/office/word/2026/wordml/cei">
            <w:pict>
              <v:group w14:anchorId="E17C5E0D" id="Group 47" o:spid="_x0000_s1026" style="width:507pt;height:.5pt;mso-position-horizontal-relative:char;mso-position-vertical-relative:line" coordsize="10140,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">
                <v:rect id="Rectangle 48" o:spid="_x0000_s1027" style="position:absolute;width:10140;height: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" fillcolor="black" stroked="f"/>
                <w10:anchorlock/>
              </v:group>
            </w:pict>
          </mc:Fallback>
        </mc:AlternateContent>
      </w:r>
    </w:p>
    <w:p>
      <w:pPr>
        <w:pStyle w:val="Textoindependiente"/>
        <w:spacing w:before="0" w:after="0"/>
        <w:rPr>
          <w:sz w:val="14"/>
        </w:rPr>
      </w:pPr>
    </w:p>
    <w:p>
      <w:pPr>
        <w:pStyle w:val="Textoindependiente"/>
        <w:spacing w:after="200" w:line="276" w:lineRule="auto"/>
        <w:ind w:left="140" w:right="272"/>
        <w:jc w:val="both"/>
      </w:pPr>
      <w:r>
        <w:t xml:space="preserve">La metodología representa el sistema de transmisión como una red en la que las barras corresponden a nodos, del orden de 1.400 en el Sistema Eléctrico Nacional, y las líneas y transformadores a tramos que las conectan. Cada tramo se caracteriza por sus barras extremas, su tensión nominal y su reactancia X, expresada en ohm, de acuerdo con los parámetros de la base de instalaciones que utiliza el Coordinador para el Balance de Potencia. Solo se consideran los tramos operativos a la fecha de corte del cálculo, según el registro de entradas y salidas de servicio, y los tramos paralelos entre las mismas dos barras, sean circuitos de una línea o unidades de transformación, se combinan en un único tramo de reactancia equivalente (1/Xeq = Σ 1/Xi).</w:t>
      </w:r>
    </w:p>
    <w:p>
      <w:pPr>
        <w:pStyle w:val="Textoindependiente"/>
        <w:spacing w:after="200" w:line="276" w:lineRule="auto"/>
        <w:ind w:left="140" w:right="272"/>
        <w:jc w:val="both"/>
      </w:pPr>
      <w:r>
        <w:t xml:space="preserve">La “distancia” que considera el decreto no es la longitud geográfica que separa la barra de inyección de la subestación, sino su distancia eléctrica, representada por la reactancia de los tramos que los vinculan. De este modo, la distancia eléctrica de un camino entre dos barras corresponde a la suma de las reactancias de los tramos que lo componen, y el mínimo camino eléctrico entre la barra de inyección y una subestación es aquel que minimiza dicha suma entre todas las rutas posibles de la red.</w:t>
      </w:r>
    </w:p>
    <w:p>
      <w:pPr>
        <w:pStyle w:val="Textoindependiente"/>
        <w:spacing w:after="200" w:line="276" w:lineRule="auto"/>
        <w:ind w:left="140" w:right="272"/>
        <w:jc w:val="both"/>
      </w:pPr>
      <w:r>
        <w:t xml:space="preserve">En consecuencia, la determinación de la subestación del Sistema de Transmisión Nacional más cercana a un medio de generación de pequeña escala se efectúa de la siguiente forma:</w:t>
      </w:r>
    </w:p>
    <w:p>
      <w:pPr>
        <w:pStyle w:val="Textoindependiente"/>
        <w:numPr>
          <w:ilvl w:val="0"/>
          <w:numId w:val="15"/>
        </w:numPr>
        <w:spacing w:after="100" w:line="276" w:lineRule="auto"/>
        <w:ind w:right="272"/>
        <w:jc w:val="both"/>
      </w:pPr>
      <w:r>
        <w:t xml:space="preserve">Se identifica la barra del sistema en la que inyecta el medio de generación (barra de inyección).</w:t>
      </w:r>
    </w:p>
    <w:p>
      <w:pPr>
        <w:pStyle w:val="Textoindependiente"/>
        <w:numPr>
          <w:ilvl w:val="0"/>
          <w:numId w:val="15"/>
        </w:numPr>
        <w:spacing w:after="100" w:line="276" w:lineRule="auto"/>
        <w:ind w:right="272"/>
        <w:jc w:val="both"/>
      </w:pPr>
      <w:r>
        <w:t xml:space="preserve">Se identifican las barras troncales de precio de nudo, pertenecientes al Sistema de Transmisión Nacional, que son los destinos candidatos a ser asignados, y el subsistema al que pertenece cada barra.</w:t>
      </w:r>
    </w:p>
    <w:p>
      <w:pPr>
        <w:pStyle w:val="Textoindependiente"/>
        <w:numPr>
          <w:ilvl w:val="0"/>
          <w:numId w:val="15"/>
        </w:numPr>
        <w:spacing w:after="100" w:line="276" w:lineRule="auto"/>
        <w:ind w:right="272"/>
        <w:jc w:val="both"/>
      </w:pPr>
      <w:r>
        <w:t xml:space="preserve">Para cada barra candidata del mismo subsistema se determina el camino de mínima reactancia acumulada desde la barra de inyección, considerando únicamente las instalaciones operativas a la fecha de corte.</w:t>
      </w:r>
    </w:p>
    <w:p>
      <w:pPr>
        <w:pStyle w:val="Textoindependiente"/>
        <w:numPr>
          <w:ilvl w:val="0"/>
          <w:numId w:val="15"/>
        </w:numPr>
        <w:spacing w:after="100" w:line="276" w:lineRule="auto"/>
        <w:ind w:right="272"/>
        <w:jc w:val="both"/>
      </w:pPr>
      <w:r>
        <w:t xml:space="preserve">Se asigna la barra cuya distancia eléctrica resulta menor, conservando los empates cuando dos barras quedan a igual distancia, y el precio de nudo de dicha barra se aplica a las inyecciones del medio de generación.</w:t>
      </w:r>
    </w:p>
    <w:p>
      <w:pPr>
        <w:pStyle w:val="Textoindependiente"/>
        <w:spacing w:after="200" w:line="276" w:lineRule="auto"/>
        <w:ind w:left="140" w:right="272"/>
        <w:jc w:val="both"/>
      </w:pPr>
      <w:r>
        <w:t xml:space="preserve">La Figura 1 ilustra el criterio con un ejemplo conceptual: la barra de inyección es la barra de baja tensión de la subestación A, pero el transformador que la vincula con ella tiene una reactancia muy alta, por lo que la suma de reactancias del camino hacia la subestación B, a 55 km por la red, resulta menor y es esta última la que se asigna.</w:t>
      </w:r>
    </w:p>
    <w:p>
      <w:pPr>
        <w:pStyle w:val="Textoindependiente"/>
        <w:spacing w:before="120"/>
        <w:jc w:val="center"/>
      </w:pPr>
      <w:r>
        <w:rPr>
          <w:noProof/>
        </w:rPr>
        <w:drawing>
          <wp:inline distT="0" distB="0" distL="0" distR="0">
            <wp:extent cx="4937760" cy="2225409"/>
            <wp:effectExtent l="0" t="0" r="0" b="0"/>
            <wp:docPr id="205" name="image_fig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 name="image_fig1.png"/>
                    <pic:cNvPicPr/>
                  </pic:nvPicPr>
                  <pic:blipFill>
                    <a:blip r:embed="rIdFig1"/>
                    <a:stretch>
                      <a:fillRect/>
                    </a:stretch>
                  </pic:blipFill>
                  <pic:spPr>
                    <a:xfrm>
                      <a:off x="0" y="0"/>
                      <a:ext cx="4937760" cy="2225409"/>
                    </a:xfrm>
                    <a:prstGeom prst="rect">
                      <a:avLst/>
                    </a:prstGeom>
                  </pic:spPr>
                </pic:pic>
              </a:graphicData>
            </a:graphic>
          </wp:inline>
        </w:drawing>
      </w:r>
    </w:p>
    <w:p>
      <w:pPr>
        <w:pStyle w:val="Textoindependiente"/>
        <w:spacing w:before="60" w:after="200"/>
        <w:jc w:val="center"/>
      </w:pPr>
      <w:r>
        <w:rPr>
          <w:i/>
          <w:iCs/>
          <w:color w:val="585858"/>
          <w:sz w:val="18"/>
          <w:szCs w:val="18"/>
        </w:rPr>
        <w:t xml:space="preserve">Figura 1. Criterio de mínima distancia eléctrica: la subestación asignada es la de menor suma de reactancias, no la de menor longitud.</w:t>
      </w:r>
    </w:p>
    <w:p>
      <w:pPr>
        <w:pStyle w:val="Textoindependiente"/>
        <w:spacing w:after="200" w:line="276" w:lineRule="auto"/>
        <w:ind w:left="140" w:right="272"/>
        <w:jc w:val="both"/>
      </w:pPr>
      <w:r>
        <w:t xml:space="preserve">Cabe destacar que, como la reactancia de una línea es proporcional a su longitud, en una red compuesta solo por líneas la distancia eléctrica y la longitud del camino suelen coincidir. Sin embargo, los transformadores tienen longitud nula y una reactancia que puede equivaler a decenas o cientos de kilómetros de línea, por lo que un camino directo que atraviese un transformador de alta reactancia puede resultar eléctricamente más largo que un rodeo de muchos kilómetros por la red, como se muestra en el caso siguiente.</w:t>
      </w:r>
    </w:p>
    <w:p>
      <w:pPr>
        <w:pStyle w:val="Textoindependiente"/>
        <w:spacing w:after="0"/>
      </w:pPr>
    </w:p>
    <w:p w14:paraId="566806D7" w14:textId="30D709FC" w:rsidR="00F43104" w:rsidRDefault="00B75564" w:rsidP="00F43104">
      <w:pPr>
        <w:pStyle w:val="Ttulo1"/>
        <w:numPr>
          <w:ilvl w:val="0"/>
          <w:numId w:val="8"/>
        </w:numPr>
        <w:tabs>
          <w:tab w:val="left" w:pos="572"/>
          <w:tab w:val="left" w:pos="573"/>
        </w:tabs>
        <w:spacing w:before="0" w:after="18"/>
      </w:pPr>
      <w:bookmarkStart w:id="111" w:name="_bookmark109"/>
      <w:bookmarkStart w:id="112" w:name="_Toc1109049"/>
      <w:bookmarkEnd w:id="111"/>
      <w:r>
        <w:t>CASO PROBLEMÁTICO: EL MÍNIMO CAMINO ELÉCTRICO RODEA UN CAMINO DIRECTO</w:t>
      </w:r>
      <w:bookmarkEnd w:id="112"/>
    </w:p>
    <w:p w14:paraId="42E79AC9" w14:textId="77777777" w:rsidR="002926EF" w:rsidRDefault="006B5104">
      <w:pPr>
        <w:pStyle w:val="Textoindependiente"/>
        <w:spacing w:line="20" w:lineRule="exact"/>
        <w:ind w:left="111"/>
        <w:rPr>
          <w:sz w:val="2"/>
        </w:rPr>
      </w:pPr>
      <w:r>
        <w:rPr>
          <w:noProof/>
          <w:sz w:val="2"/>
        </w:rPr>
        <mc:AlternateContent>
          <mc:Choice Requires="wpg">
            <w:drawing>
              <wp:inline distT="0" distB="0" distL="0" distR="0" wp14:anchorId="A1BAB13F" wp14:editId="2AF97D57">
                <wp:extent cx="6438900" cy="6350"/>
                <wp:effectExtent l="635" t="0" r="0" b="5080"/>
                <wp:docPr id="206" name="Group 4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438900" cy="6350"/>
                          <a:chOff x="0" y="0"/>
                          <a:chExt cx="10140" cy="10"/>
                        </a:xfrm>
                      </wpg:grpSpPr>
                      <wps:wsp>
                        <wps:cNvPr id="207" name="Rectangle 48"/>
                        <wps:cNvSpPr>
                          <a:spLocks noChangeArrowheads="1"/>
                        </wps:cNvSpPr>
                        <wps:spPr bwMode="auto">
                          <a:xfrm>
                            <a:off x="0" y="0"/>
                            <a:ext cx="10140" cy="10"/>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g:wgp>
                  </a:graphicData>
                </a:graphic>
              </wp:inline>
            </w:drawing>
          </mc:Choice>
          <mc:Fallback xmlns:w16cei="http://schemas.microsoft.com/office/word/2026/wordml/cei">
            <w:pict>
              <v:group w14:anchorId="A917D15A" id="Group 47" o:spid="_x0000_s1026" style="width:507pt;height:.5pt;mso-position-horizontal-relative:char;mso-position-vertical-relative:line" coordsize="10140,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">
                <v:rect id="Rectangle 48" o:spid="_x0000_s1027" style="position:absolute;width:10140;height: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" fillcolor="black" stroked="f"/>
                <w10:anchorlock/>
              </v:group>
            </w:pict>
          </mc:Fallback>
        </mc:AlternateContent>
      </w:r>
    </w:p>
    <w:p>
      <w:pPr>
        <w:pStyle w:val="Textoindependiente"/>
        <w:spacing w:before="0" w:after="0"/>
        <w:rPr>
          <w:sz w:val="14"/>
        </w:rPr>
      </w:pPr>
    </w:p>
    <w:p>
      <w:pPr>
        <w:pStyle w:val="Textoindependiente"/>
        <w:spacing w:after="200" w:line="276" w:lineRule="auto"/>
        <w:ind w:left="140" w:right="272"/>
        <w:jc w:val="both"/>
      </w:pPr>
      <w:r>
        <w:t xml:space="preserve">La situación problemática no se produce cuando no existe un camino directo entre la barra de inyección y la subestación, sino cuando dicho camino sí existe, es el más corto en distancia, y sin embargo la metodología lo descarta porque uno de sus tramos presenta una reactancia muy alta. El caso típico es un transformador de alta reactancia: como el transformador tiene longitud nula, pero una reactancia que puede ser equivalente a cientos de kilómetros de línea, el mínimo camino eléctrico prefiere rodearlo a través de la red, aunque ello implique recorrer una distancia mucho mayor.</w:t>
      </w:r>
    </w:p>
    <w:p>
      <w:pPr>
        <w:pStyle w:val="Textoindependiente"/>
        <w:spacing w:after="200" w:line="276" w:lineRule="auto"/>
        <w:ind w:left="140" w:right="272"/>
        <w:jc w:val="both"/>
      </w:pPr>
      <w:r>
        <w:t xml:space="preserve">Para ilustrarlo se considera un medio de generación de pequeña escala conectado en la barra La Palma 13 kV, en la comuna de San Javier, Región del Maule. Las subestaciones del Sistema de Transmisión Nacional candidatas en la zona son Ancoa 220 kV, a unos 35 km en línea recta, Itahue 220 kV, a unos 70 km, y Candelaria 220 kV, en la Región Metropolitana, a más de 200 km. Desde el punto de vista de la distancia, la subestación más cercana es claramente Ancoa.</w:t>
      </w:r>
    </w:p>
    <w:p>
      <w:pPr>
        <w:pStyle w:val="Textoindependiente"/>
        <w:spacing w:after="200" w:line="276" w:lineRule="auto"/>
        <w:ind w:left="140" w:right="272"/>
        <w:jc w:val="both"/>
      </w:pPr>
      <w:r>
        <w:t xml:space="preserve">El camino directo desde La Palma hacia Itahue y Ancoa recorre la red de 66 kV La Palma – El Ruil – Talca – Panguilemo – San Rafael hasta la barra Itahue 66 kV, y desde allí sube al sistema de 220 kV por los transformadores de Itahue: primero el transformador 154/66 kV y luego el transformador 220/154 kV. No obstante, la base de instalaciones registra para el transformador Itahue 154/66 kV dos unidades de 171,4 ohm cada una, que combinadas en paralelo equivalen a 85,7 ohm, es decir, a más de 200 km de línea de 66 kV. Por ello, el camino de mínima distancia eléctrica, al llegar a la barra Itahue 66 kV, no atraviesa dicho transformador, sino que continúa por la red de 66 kV hacia el norte, por Molina, Curicó, Rauquén, Teno, Quinta y Chimbarongo hasta San Fernando, sube al sistema de 154 kV por el transformador de San Fernando (18,6 ohm equivalente de sus tres unidades), llega a Tinguiririca, sube a 220 kV por el transformador de Tinguiririca (14,0 ohm) y finalmente recorre las líneas de 220 kV Tinguiririca – Puente Negro – Candelaria, según se muestra en la Figura 2.</w:t>
      </w:r>
    </w:p>
    <w:p>
      <w:pPr>
        <w:pStyle w:val="Textoindependiente"/>
        <w:spacing w:before="120"/>
        <w:jc w:val="center"/>
      </w:pPr>
      <w:r>
        <w:rPr>
          <w:noProof/>
        </w:rPr>
        <w:drawing>
          <wp:inline distT="0" distB="0" distL="0" distR="0">
            <wp:extent cx="5669280" cy="3076834"/>
            <wp:effectExtent l="0" t="0" r="0" b="0"/>
            <wp:docPr id="208" name="image_fig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 name="image_fig2.png"/>
                    <pic:cNvPicPr/>
                  </pic:nvPicPr>
                  <pic:blipFill>
                    <a:blip r:embed="rIdFig2"/>
                    <a:stretch>
                      <a:fillRect/>
                    </a:stretch>
                  </pic:blipFill>
                  <pic:spPr>
                    <a:xfrm>
                      <a:off x="0" y="0"/>
                      <a:ext cx="5669280" cy="3076834"/>
                    </a:xfrm>
                    <a:prstGeom prst="rect">
                      <a:avLst/>
                    </a:prstGeom>
                  </pic:spPr>
                </pic:pic>
              </a:graphicData>
            </a:graphic>
          </wp:inline>
        </w:drawing>
      </w:r>
    </w:p>
    <w:p>
      <w:pPr>
        <w:pStyle w:val="Textoindependiente"/>
        <w:spacing w:before="60" w:after="200"/>
        <w:jc w:val="center"/>
      </w:pPr>
      <w:r>
        <w:rPr>
          <w:i/>
          <w:iCs/>
          <w:color w:val="585858"/>
          <w:sz w:val="18"/>
          <w:szCs w:val="18"/>
        </w:rPr>
        <w:t xml:space="preserve">Figura 2. Caminos eléctricos desde la barra La Palma 13 kV: camino directo por los transformadores de Itahue (segmentado) y camino de mínima distancia eléctrica por San Fernando hasta Candelaria 220 kV (continuo). Reactancias equivalentes con paralelos combinados.</w:t>
      </w:r>
    </w:p>
    <w:p>
      <w:pPr>
        <w:pStyle w:val="Textoindependiente"/>
        <w:spacing w:after="200" w:line="276" w:lineRule="auto"/>
        <w:ind w:left="140" w:right="272"/>
        <w:jc w:val="both"/>
      </w:pPr>
      <w:r>
        <w:t xml:space="preserve">De esta forma, la barra asignada al medio de generación es Candelaria 220 kV, a 247,9 km de recorrido y 150,7 ohm, y no Ancoa 220 kV ni Itahue 220 kV, que se encuentran a menos de la mitad de la distancia pero cuyo camino directo pasa por el transformador de alta reactancia. Los tramos de ambos caminos, con su longitud según los reportes de Infotécnica y su reactancia equivalente según la base de instalaciones, se presentan a continuación:</w:t>
      </w:r>
    </w:p>
    <w:tbl>
      <w:tblPr>
        <w:tblW w:w="9650" w:type="dxa"/>
        <w:tblInd w:w="274" w:type="dxa"/>
        <w:tblCellMar>
          <w:left w:w="70" w:type="dxa"/>
          <w:right w:w="70" w:type="dxa"/>
        </w:tblCellMar>
        <w:tblLook w:val="04A0"/>
      </w:tblPr>
      <w:tblGrid>
        <w:gridCol w:w="3700"/>
        <w:gridCol w:w="1000"/>
        <w:gridCol w:w="1150"/>
        <w:gridCol w:w="1050"/>
        <w:gridCol w:w="1250"/>
        <w:gridCol w:w="1500"/>
      </w:tblGrid>
      <w:tr>
        <w:trPr>
          <w:trHeight w:val="300"/>
        </w:trPr>
        <w:tc>
          <w:tcPr>
            <w:tcW w:w="3700" w:type="dxa"/>
            <w:tcBorders>
              <w:top w:val="single" w:sz="4" w:space="0" w:color="auto"/>
              <w:left w:val="single" w:sz="4" w:space="0" w:color="auto"/>
              <w:bottom w:val="single" w:sz="4" w:space="0" w:color="auto"/>
              <w:right w:val="single" w:sz="4" w:space="0" w:color="auto"/>
            </w:tcBorders>
            <w:shd w:val="clear" w:color="auto" w:fill="DCEBF0"/>
            <w:vAlign w:val="center"/>
          </w:tcPr>
          <w:p>
            <w:pPr>
              <w:spacing w:before="40" w:after="40"/>
              <w:jc w:val="center"/>
              <w:rPr>
                <w:b/>
                <w:bCs/>
                <w:sz w:val="20"/>
                <w:szCs w:val="20"/>
              </w:rPr>
            </w:pPr>
            <w:r>
              <w:rPr>
                <w:b/>
                <w:bCs/>
                <w:sz w:val="20"/>
                <w:szCs w:val="20"/>
              </w:rPr>
              <w:t xml:space="preserve">Tramo</w:t>
            </w:r>
          </w:p>
        </w:tc>
        <w:tc>
          <w:tcPr>
            <w:tcW w:w="1000" w:type="dxa"/>
            <w:tcBorders>
              <w:top w:val="single" w:sz="4" w:space="0" w:color="auto"/>
              <w:left w:val="single" w:sz="4" w:space="0" w:color="auto"/>
              <w:bottom w:val="single" w:sz="4" w:space="0" w:color="auto"/>
              <w:right w:val="single" w:sz="4" w:space="0" w:color="auto"/>
            </w:tcBorders>
            <w:shd w:val="clear" w:color="auto" w:fill="DCEBF0"/>
            <w:vAlign w:val="center"/>
          </w:tcPr>
          <w:p>
            <w:pPr>
              <w:spacing w:before="40" w:after="40"/>
              <w:jc w:val="center"/>
              <w:rPr>
                <w:b/>
                <w:bCs/>
                <w:sz w:val="20"/>
                <w:szCs w:val="20"/>
              </w:rPr>
            </w:pPr>
            <w:r>
              <w:rPr>
                <w:b/>
                <w:bCs/>
                <w:sz w:val="20"/>
                <w:szCs w:val="20"/>
              </w:rPr>
              <w:t xml:space="preserve">Tensión [kV]</w:t>
            </w:r>
          </w:p>
        </w:tc>
        <w:tc>
          <w:tcPr>
            <w:tcW w:w="1150" w:type="dxa"/>
            <w:tcBorders>
              <w:top w:val="single" w:sz="4" w:space="0" w:color="auto"/>
              <w:left w:val="single" w:sz="4" w:space="0" w:color="auto"/>
              <w:bottom w:val="single" w:sz="4" w:space="0" w:color="auto"/>
              <w:right w:val="single" w:sz="4" w:space="0" w:color="auto"/>
            </w:tcBorders>
            <w:shd w:val="clear" w:color="auto" w:fill="DCEBF0"/>
            <w:vAlign w:val="center"/>
          </w:tcPr>
          <w:p>
            <w:pPr>
              <w:spacing w:before="40" w:after="40"/>
              <w:jc w:val="center"/>
              <w:rPr>
                <w:b/>
                <w:bCs/>
                <w:sz w:val="20"/>
                <w:szCs w:val="20"/>
              </w:rPr>
            </w:pPr>
            <w:r>
              <w:rPr>
                <w:b/>
                <w:bCs/>
                <w:sz w:val="20"/>
                <w:szCs w:val="20"/>
              </w:rPr>
              <w:t xml:space="preserve">Longitud [km]</w:t>
            </w:r>
          </w:p>
        </w:tc>
        <w:tc>
          <w:tcPr>
            <w:tcW w:w="1050" w:type="dxa"/>
            <w:tcBorders>
              <w:top w:val="single" w:sz="4" w:space="0" w:color="auto"/>
              <w:left w:val="single" w:sz="4" w:space="0" w:color="auto"/>
              <w:bottom w:val="single" w:sz="4" w:space="0" w:color="auto"/>
              <w:right w:val="single" w:sz="4" w:space="0" w:color="auto"/>
            </w:tcBorders>
            <w:shd w:val="clear" w:color="auto" w:fill="DCEBF0"/>
            <w:vAlign w:val="center"/>
          </w:tcPr>
          <w:p>
            <w:pPr>
              <w:spacing w:before="40" w:after="40"/>
              <w:jc w:val="center"/>
              <w:rPr>
                <w:b/>
                <w:bCs/>
                <w:sz w:val="20"/>
                <w:szCs w:val="20"/>
              </w:rPr>
            </w:pPr>
            <w:r>
              <w:rPr>
                <w:b/>
                <w:bCs/>
                <w:sz w:val="20"/>
                <w:szCs w:val="20"/>
              </w:rPr>
              <w:t xml:space="preserve">X [ohm]</w:t>
            </w:r>
          </w:p>
        </w:tc>
        <w:tc>
          <w:tcPr>
            <w:tcW w:w="1250" w:type="dxa"/>
            <w:tcBorders>
              <w:top w:val="single" w:sz="4" w:space="0" w:color="auto"/>
              <w:left w:val="single" w:sz="4" w:space="0" w:color="auto"/>
              <w:bottom w:val="single" w:sz="4" w:space="0" w:color="auto"/>
              <w:right w:val="single" w:sz="4" w:space="0" w:color="auto"/>
            </w:tcBorders>
            <w:shd w:val="clear" w:color="auto" w:fill="DCEBF0"/>
            <w:vAlign w:val="center"/>
          </w:tcPr>
          <w:p>
            <w:pPr>
              <w:spacing w:before="40" w:after="40"/>
              <w:jc w:val="center"/>
              <w:rPr>
                <w:b/>
                <w:bCs/>
                <w:sz w:val="20"/>
                <w:szCs w:val="20"/>
              </w:rPr>
            </w:pPr>
            <w:r>
              <w:rPr>
                <w:b/>
                <w:bCs/>
                <w:sz w:val="20"/>
                <w:szCs w:val="20"/>
              </w:rPr>
              <w:t xml:space="preserve">Camino directo</w:t>
            </w:r>
          </w:p>
        </w:tc>
        <w:tc>
          <w:tcPr>
            <w:tcW w:w="1500" w:type="dxa"/>
            <w:tcBorders>
              <w:top w:val="single" w:sz="4" w:space="0" w:color="auto"/>
              <w:left w:val="single" w:sz="4" w:space="0" w:color="auto"/>
              <w:bottom w:val="single" w:sz="4" w:space="0" w:color="auto"/>
              <w:right w:val="single" w:sz="4" w:space="0" w:color="auto"/>
            </w:tcBorders>
            <w:shd w:val="clear" w:color="auto" w:fill="DCEBF0"/>
            <w:vAlign w:val="center"/>
          </w:tcPr>
          <w:p>
            <w:pPr>
              <w:spacing w:before="40" w:after="40"/>
              <w:jc w:val="center"/>
              <w:rPr>
                <w:b/>
                <w:bCs/>
                <w:sz w:val="20"/>
                <w:szCs w:val="20"/>
              </w:rPr>
            </w:pPr>
            <w:r>
              <w:rPr>
                <w:b/>
                <w:bCs/>
                <w:sz w:val="20"/>
                <w:szCs w:val="20"/>
              </w:rPr>
              <w:t xml:space="preserve">Camino seleccionado</w:t>
            </w:r>
          </w:p>
        </w:tc>
      </w:tr>
      <w:tr>
        <w:trPr>
          <w:trHeight w:val="300"/>
        </w:trPr>
        <w:tc>
          <w:tcPr>
            <w:tcW w:w="3700" w:type="dxa"/>
            <w:tcBorders>
              <w:top w:val="single" w:sz="4" w:space="0" w:color="auto"/>
              <w:left w:val="single" w:sz="4" w:space="0" w:color="auto"/>
              <w:bottom w:val="single" w:sz="4" w:space="0" w:color="auto"/>
              <w:right w:val="single" w:sz="4" w:space="0" w:color="auto"/>
            </w:tcBorders>
            <w:vAlign w:val="center"/>
          </w:tcPr>
          <w:p>
            <w:pPr>
              <w:spacing w:before="40" w:after="40"/>
              <w:jc w:val="center"/>
              <w:rPr>
                <w:sz w:val="20"/>
                <w:szCs w:val="20"/>
              </w:rPr>
            </w:pPr>
            <w:r>
              <w:rPr>
                <w:sz w:val="20"/>
                <w:szCs w:val="20"/>
              </w:rPr>
              <w:t xml:space="preserve">Transformador La Palma 66/13 kV</w:t>
            </w:r>
          </w:p>
        </w:tc>
        <w:tc>
          <w:tcPr>
            <w:tcW w:w="1000" w:type="dxa"/>
            <w:tcBorders>
              <w:top w:val="single" w:sz="4" w:space="0" w:color="auto"/>
              <w:left w:val="single" w:sz="4" w:space="0" w:color="auto"/>
              <w:bottom w:val="single" w:sz="4" w:space="0" w:color="auto"/>
              <w:right w:val="single" w:sz="4" w:space="0" w:color="auto"/>
            </w:tcBorders>
            <w:vAlign w:val="center"/>
          </w:tcPr>
          <w:p>
            <w:pPr>
              <w:spacing w:before="40" w:after="40"/>
              <w:jc w:val="center"/>
              <w:rPr>
                <w:sz w:val="20"/>
                <w:szCs w:val="20"/>
              </w:rPr>
            </w:pPr>
            <w:r>
              <w:rPr>
                <w:sz w:val="20"/>
                <w:szCs w:val="20"/>
              </w:rPr>
              <w:t xml:space="preserve">66/13</w:t>
            </w:r>
          </w:p>
        </w:tc>
        <w:tc>
          <w:tcPr>
            <w:tcW w:w="1150" w:type="dxa"/>
            <w:tcBorders>
              <w:top w:val="single" w:sz="4" w:space="0" w:color="auto"/>
              <w:left w:val="single" w:sz="4" w:space="0" w:color="auto"/>
              <w:bottom w:val="single" w:sz="4" w:space="0" w:color="auto"/>
              <w:right w:val="single" w:sz="4" w:space="0" w:color="auto"/>
            </w:tcBorders>
            <w:vAlign w:val="center"/>
          </w:tcPr>
          <w:p>
            <w:pPr>
              <w:spacing w:before="40" w:after="40"/>
              <w:jc w:val="center"/>
              <w:rPr>
                <w:sz w:val="20"/>
                <w:szCs w:val="20"/>
              </w:rPr>
            </w:pPr>
            <w:r>
              <w:rPr>
                <w:sz w:val="20"/>
                <w:szCs w:val="20"/>
              </w:rPr>
              <w:t xml:space="preserve">0,0</w:t>
            </w:r>
          </w:p>
        </w:tc>
        <w:tc>
          <w:tcPr>
            <w:tcW w:w="1050" w:type="dxa"/>
            <w:tcBorders>
              <w:top w:val="single" w:sz="4" w:space="0" w:color="auto"/>
              <w:left w:val="single" w:sz="4" w:space="0" w:color="auto"/>
              <w:bottom w:val="single" w:sz="4" w:space="0" w:color="auto"/>
              <w:right w:val="single" w:sz="4" w:space="0" w:color="auto"/>
            </w:tcBorders>
            <w:vAlign w:val="center"/>
          </w:tcPr>
          <w:p>
            <w:pPr>
              <w:spacing w:before="40" w:after="40"/>
              <w:jc w:val="center"/>
              <w:rPr>
                <w:sz w:val="20"/>
                <w:szCs w:val="20"/>
              </w:rPr>
            </w:pPr>
            <w:r>
              <w:rPr>
                <w:sz w:val="20"/>
                <w:szCs w:val="20"/>
              </w:rPr>
              <w:t xml:space="preserve">60,80</w:t>
            </w:r>
          </w:p>
        </w:tc>
        <w:tc>
          <w:tcPr>
            <w:tcW w:w="1250" w:type="dxa"/>
            <w:tcBorders>
              <w:top w:val="single" w:sz="4" w:space="0" w:color="auto"/>
              <w:left w:val="single" w:sz="4" w:space="0" w:color="auto"/>
              <w:bottom w:val="single" w:sz="4" w:space="0" w:color="auto"/>
              <w:right w:val="single" w:sz="4" w:space="0" w:color="auto"/>
            </w:tcBorders>
            <w:vAlign w:val="center"/>
          </w:tcPr>
          <w:p>
            <w:pPr>
              <w:spacing w:before="40" w:after="40"/>
              <w:jc w:val="center"/>
              <w:rPr>
                <w:sz w:val="20"/>
                <w:szCs w:val="20"/>
              </w:rPr>
            </w:pPr>
            <w:r>
              <w:rPr>
                <w:sz w:val="20"/>
                <w:szCs w:val="20"/>
              </w:rPr>
              <w:t xml:space="preserve">Sí</w:t>
            </w:r>
          </w:p>
        </w:tc>
        <w:tc>
          <w:tcPr>
            <w:tcW w:w="1500" w:type="dxa"/>
            <w:tcBorders>
              <w:top w:val="single" w:sz="4" w:space="0" w:color="auto"/>
              <w:left w:val="single" w:sz="4" w:space="0" w:color="auto"/>
              <w:bottom w:val="single" w:sz="4" w:space="0" w:color="auto"/>
              <w:right w:val="single" w:sz="4" w:space="0" w:color="auto"/>
            </w:tcBorders>
            <w:vAlign w:val="center"/>
          </w:tcPr>
          <w:p>
            <w:pPr>
              <w:spacing w:before="40" w:after="40"/>
              <w:jc w:val="center"/>
              <w:rPr>
                <w:sz w:val="20"/>
                <w:szCs w:val="20"/>
              </w:rPr>
            </w:pPr>
            <w:r>
              <w:rPr>
                <w:sz w:val="20"/>
                <w:szCs w:val="20"/>
              </w:rPr>
              <w:t xml:space="preserve">Sí</w:t>
            </w:r>
          </w:p>
        </w:tc>
      </w:tr>
      <w:tr>
        <w:trPr>
          <w:trHeight w:val="300"/>
        </w:trPr>
        <w:tc>
          <w:tcPr>
            <w:tcW w:w="3700" w:type="dxa"/>
            <w:tcBorders>
              <w:top w:val="single" w:sz="4" w:space="0" w:color="auto"/>
              <w:left w:val="single" w:sz="4" w:space="0" w:color="auto"/>
              <w:bottom w:val="single" w:sz="4" w:space="0" w:color="auto"/>
              <w:right w:val="single" w:sz="4" w:space="0" w:color="auto"/>
            </w:tcBorders>
            <w:vAlign w:val="center"/>
          </w:tcPr>
          <w:p>
            <w:pPr>
              <w:spacing w:before="40" w:after="40"/>
              <w:jc w:val="center"/>
              <w:rPr>
                <w:sz w:val="20"/>
                <w:szCs w:val="20"/>
              </w:rPr>
            </w:pPr>
            <w:r>
              <w:rPr>
                <w:sz w:val="20"/>
                <w:szCs w:val="20"/>
              </w:rPr>
              <w:t xml:space="preserve">La Palma – El Ruil – Talca – Panguilemo – San Rafael – Itahue (5 líneas)</w:t>
            </w:r>
          </w:p>
        </w:tc>
        <w:tc>
          <w:tcPr>
            <w:tcW w:w="1000" w:type="dxa"/>
            <w:tcBorders>
              <w:top w:val="single" w:sz="4" w:space="0" w:color="auto"/>
              <w:left w:val="single" w:sz="4" w:space="0" w:color="auto"/>
              <w:bottom w:val="single" w:sz="4" w:space="0" w:color="auto"/>
              <w:right w:val="single" w:sz="4" w:space="0" w:color="auto"/>
            </w:tcBorders>
            <w:vAlign w:val="center"/>
          </w:tcPr>
          <w:p>
            <w:pPr>
              <w:spacing w:before="40" w:after="40"/>
              <w:jc w:val="center"/>
              <w:rPr>
                <w:sz w:val="20"/>
                <w:szCs w:val="20"/>
              </w:rPr>
            </w:pPr>
            <w:r>
              <w:rPr>
                <w:sz w:val="20"/>
                <w:szCs w:val="20"/>
              </w:rPr>
              <w:t xml:space="preserve">66</w:t>
            </w:r>
          </w:p>
        </w:tc>
        <w:tc>
          <w:tcPr>
            <w:tcW w:w="1150" w:type="dxa"/>
            <w:tcBorders>
              <w:top w:val="single" w:sz="4" w:space="0" w:color="auto"/>
              <w:left w:val="single" w:sz="4" w:space="0" w:color="auto"/>
              <w:bottom w:val="single" w:sz="4" w:space="0" w:color="auto"/>
              <w:right w:val="single" w:sz="4" w:space="0" w:color="auto"/>
            </w:tcBorders>
            <w:vAlign w:val="center"/>
          </w:tcPr>
          <w:p>
            <w:pPr>
              <w:spacing w:before="40" w:after="40"/>
              <w:jc w:val="center"/>
              <w:rPr>
                <w:sz w:val="20"/>
                <w:szCs w:val="20"/>
              </w:rPr>
            </w:pPr>
            <w:r>
              <w:rPr>
                <w:sz w:val="20"/>
                <w:szCs w:val="20"/>
              </w:rPr>
              <w:t xml:space="preserve">64,1</w:t>
            </w:r>
          </w:p>
        </w:tc>
        <w:tc>
          <w:tcPr>
            <w:tcW w:w="1050" w:type="dxa"/>
            <w:tcBorders>
              <w:top w:val="single" w:sz="4" w:space="0" w:color="auto"/>
              <w:left w:val="single" w:sz="4" w:space="0" w:color="auto"/>
              <w:bottom w:val="single" w:sz="4" w:space="0" w:color="auto"/>
              <w:right w:val="single" w:sz="4" w:space="0" w:color="auto"/>
            </w:tcBorders>
            <w:vAlign w:val="center"/>
          </w:tcPr>
          <w:p>
            <w:pPr>
              <w:spacing w:before="40" w:after="40"/>
              <w:jc w:val="center"/>
              <w:rPr>
                <w:sz w:val="20"/>
                <w:szCs w:val="20"/>
              </w:rPr>
            </w:pPr>
            <w:r>
              <w:rPr>
                <w:sz w:val="20"/>
                <w:szCs w:val="20"/>
              </w:rPr>
              <w:t xml:space="preserve">10,65</w:t>
            </w:r>
          </w:p>
        </w:tc>
        <w:tc>
          <w:tcPr>
            <w:tcW w:w="1250" w:type="dxa"/>
            <w:tcBorders>
              <w:top w:val="single" w:sz="4" w:space="0" w:color="auto"/>
              <w:left w:val="single" w:sz="4" w:space="0" w:color="auto"/>
              <w:bottom w:val="single" w:sz="4" w:space="0" w:color="auto"/>
              <w:right w:val="single" w:sz="4" w:space="0" w:color="auto"/>
            </w:tcBorders>
            <w:vAlign w:val="center"/>
          </w:tcPr>
          <w:p>
            <w:pPr>
              <w:spacing w:before="40" w:after="40"/>
              <w:jc w:val="center"/>
              <w:rPr>
                <w:sz w:val="20"/>
                <w:szCs w:val="20"/>
              </w:rPr>
            </w:pPr>
            <w:r>
              <w:rPr>
                <w:sz w:val="20"/>
                <w:szCs w:val="20"/>
              </w:rPr>
              <w:t xml:space="preserve">Sí</w:t>
            </w:r>
          </w:p>
        </w:tc>
        <w:tc>
          <w:tcPr>
            <w:tcW w:w="1500" w:type="dxa"/>
            <w:tcBorders>
              <w:top w:val="single" w:sz="4" w:space="0" w:color="auto"/>
              <w:left w:val="single" w:sz="4" w:space="0" w:color="auto"/>
              <w:bottom w:val="single" w:sz="4" w:space="0" w:color="auto"/>
              <w:right w:val="single" w:sz="4" w:space="0" w:color="auto"/>
            </w:tcBorders>
            <w:vAlign w:val="center"/>
          </w:tcPr>
          <w:p>
            <w:pPr>
              <w:spacing w:before="40" w:after="40"/>
              <w:jc w:val="center"/>
              <w:rPr>
                <w:sz w:val="20"/>
                <w:szCs w:val="20"/>
              </w:rPr>
            </w:pPr>
            <w:r>
              <w:rPr>
                <w:sz w:val="20"/>
                <w:szCs w:val="20"/>
              </w:rPr>
              <w:t xml:space="preserve">Sí</w:t>
            </w:r>
          </w:p>
        </w:tc>
      </w:tr>
      <w:tr>
        <w:trPr>
          <w:trHeight w:val="300"/>
        </w:trPr>
        <w:tc>
          <w:tcPr>
            <w:tcW w:w="3700" w:type="dxa"/>
            <w:tcBorders>
              <w:top w:val="single" w:sz="4" w:space="0" w:color="auto"/>
              <w:left w:val="single" w:sz="4" w:space="0" w:color="auto"/>
              <w:bottom w:val="single" w:sz="4" w:space="0" w:color="auto"/>
              <w:right w:val="single" w:sz="4" w:space="0" w:color="auto"/>
            </w:tcBorders>
            <w:vAlign w:val="center"/>
          </w:tcPr>
          <w:p>
            <w:pPr>
              <w:spacing w:before="40" w:after="40"/>
              <w:jc w:val="center"/>
              <w:rPr>
                <w:sz w:val="20"/>
                <w:szCs w:val="20"/>
              </w:rPr>
            </w:pPr>
            <w:r>
              <w:rPr>
                <w:sz w:val="20"/>
                <w:szCs w:val="20"/>
              </w:rPr>
              <w:t xml:space="preserve">Transformador Itahue 154/66 kV (2 unidades de 171,41 en paralelo)</w:t>
            </w:r>
          </w:p>
        </w:tc>
        <w:tc>
          <w:tcPr>
            <w:tcW w:w="1000" w:type="dxa"/>
            <w:tcBorders>
              <w:top w:val="single" w:sz="4" w:space="0" w:color="auto"/>
              <w:left w:val="single" w:sz="4" w:space="0" w:color="auto"/>
              <w:bottom w:val="single" w:sz="4" w:space="0" w:color="auto"/>
              <w:right w:val="single" w:sz="4" w:space="0" w:color="auto"/>
            </w:tcBorders>
            <w:vAlign w:val="center"/>
          </w:tcPr>
          <w:p>
            <w:pPr>
              <w:spacing w:before="40" w:after="40"/>
              <w:jc w:val="center"/>
              <w:rPr>
                <w:sz w:val="20"/>
                <w:szCs w:val="20"/>
              </w:rPr>
            </w:pPr>
            <w:r>
              <w:rPr>
                <w:sz w:val="20"/>
                <w:szCs w:val="20"/>
              </w:rPr>
              <w:t xml:space="preserve">154/66</w:t>
            </w:r>
          </w:p>
        </w:tc>
        <w:tc>
          <w:tcPr>
            <w:tcW w:w="1150" w:type="dxa"/>
            <w:tcBorders>
              <w:top w:val="single" w:sz="4" w:space="0" w:color="auto"/>
              <w:left w:val="single" w:sz="4" w:space="0" w:color="auto"/>
              <w:bottom w:val="single" w:sz="4" w:space="0" w:color="auto"/>
              <w:right w:val="single" w:sz="4" w:space="0" w:color="auto"/>
            </w:tcBorders>
            <w:vAlign w:val="center"/>
          </w:tcPr>
          <w:p>
            <w:pPr>
              <w:spacing w:before="40" w:after="40"/>
              <w:jc w:val="center"/>
              <w:rPr>
                <w:sz w:val="20"/>
                <w:szCs w:val="20"/>
              </w:rPr>
            </w:pPr>
            <w:r>
              <w:rPr>
                <w:sz w:val="20"/>
                <w:szCs w:val="20"/>
              </w:rPr>
              <w:t xml:space="preserve">0,0</w:t>
            </w:r>
          </w:p>
        </w:tc>
        <w:tc>
          <w:tcPr>
            <w:tcW w:w="1050" w:type="dxa"/>
            <w:tcBorders>
              <w:top w:val="single" w:sz="4" w:space="0" w:color="auto"/>
              <w:left w:val="single" w:sz="4" w:space="0" w:color="auto"/>
              <w:bottom w:val="single" w:sz="4" w:space="0" w:color="auto"/>
              <w:right w:val="single" w:sz="4" w:space="0" w:color="auto"/>
            </w:tcBorders>
            <w:vAlign w:val="center"/>
          </w:tcPr>
          <w:p>
            <w:pPr>
              <w:spacing w:before="40" w:after="40"/>
              <w:jc w:val="center"/>
              <w:rPr>
                <w:sz w:val="20"/>
                <w:szCs w:val="20"/>
              </w:rPr>
            </w:pPr>
            <w:r>
              <w:rPr>
                <w:sz w:val="20"/>
                <w:szCs w:val="20"/>
              </w:rPr>
              <w:t xml:space="preserve">85,70</w:t>
            </w:r>
          </w:p>
        </w:tc>
        <w:tc>
          <w:tcPr>
            <w:tcW w:w="1250" w:type="dxa"/>
            <w:tcBorders>
              <w:top w:val="single" w:sz="4" w:space="0" w:color="auto"/>
              <w:left w:val="single" w:sz="4" w:space="0" w:color="auto"/>
              <w:bottom w:val="single" w:sz="4" w:space="0" w:color="auto"/>
              <w:right w:val="single" w:sz="4" w:space="0" w:color="auto"/>
            </w:tcBorders>
            <w:vAlign w:val="center"/>
          </w:tcPr>
          <w:p>
            <w:pPr>
              <w:spacing w:before="40" w:after="40"/>
              <w:jc w:val="center"/>
              <w:rPr>
                <w:sz w:val="20"/>
                <w:szCs w:val="20"/>
              </w:rPr>
            </w:pPr>
            <w:r>
              <w:rPr>
                <w:sz w:val="20"/>
                <w:szCs w:val="20"/>
              </w:rPr>
              <w:t xml:space="preserve">Sí</w:t>
            </w:r>
          </w:p>
        </w:tc>
        <w:tc>
          <w:tcPr>
            <w:tcW w:w="1500" w:type="dxa"/>
            <w:tcBorders>
              <w:top w:val="single" w:sz="4" w:space="0" w:color="auto"/>
              <w:left w:val="single" w:sz="4" w:space="0" w:color="auto"/>
              <w:bottom w:val="single" w:sz="4" w:space="0" w:color="auto"/>
              <w:right w:val="single" w:sz="4" w:space="0" w:color="auto"/>
            </w:tcBorders>
            <w:vAlign w:val="center"/>
          </w:tcPr>
          <w:p>
            <w:pPr>
              <w:spacing w:before="40" w:after="40"/>
              <w:jc w:val="center"/>
              <w:rPr>
                <w:sz w:val="20"/>
                <w:szCs w:val="20"/>
              </w:rPr>
            </w:pPr>
            <w:r>
              <w:rPr>
                <w:sz w:val="20"/>
                <w:szCs w:val="20"/>
              </w:rPr>
              <w:t xml:space="preserve">No</w:t>
            </w:r>
          </w:p>
        </w:tc>
      </w:tr>
      <w:tr>
        <w:trPr>
          <w:trHeight w:val="300"/>
        </w:trPr>
        <w:tc>
          <w:tcPr>
            <w:tcW w:w="3700" w:type="dxa"/>
            <w:tcBorders>
              <w:top w:val="single" w:sz="4" w:space="0" w:color="auto"/>
              <w:left w:val="single" w:sz="4" w:space="0" w:color="auto"/>
              <w:bottom w:val="single" w:sz="4" w:space="0" w:color="auto"/>
              <w:right w:val="single" w:sz="4" w:space="0" w:color="auto"/>
            </w:tcBorders>
            <w:vAlign w:val="center"/>
          </w:tcPr>
          <w:p>
            <w:pPr>
              <w:spacing w:before="40" w:after="40"/>
              <w:jc w:val="center"/>
              <w:rPr>
                <w:sz w:val="20"/>
                <w:szCs w:val="20"/>
              </w:rPr>
            </w:pPr>
            <w:r>
              <w:rPr>
                <w:sz w:val="20"/>
                <w:szCs w:val="20"/>
              </w:rPr>
              <w:t xml:space="preserve">Transformador Itahue 220/154 kV</w:t>
            </w:r>
          </w:p>
        </w:tc>
        <w:tc>
          <w:tcPr>
            <w:tcW w:w="1000" w:type="dxa"/>
            <w:tcBorders>
              <w:top w:val="single" w:sz="4" w:space="0" w:color="auto"/>
              <w:left w:val="single" w:sz="4" w:space="0" w:color="auto"/>
              <w:bottom w:val="single" w:sz="4" w:space="0" w:color="auto"/>
              <w:right w:val="single" w:sz="4" w:space="0" w:color="auto"/>
            </w:tcBorders>
            <w:vAlign w:val="center"/>
          </w:tcPr>
          <w:p>
            <w:pPr>
              <w:spacing w:before="40" w:after="40"/>
              <w:jc w:val="center"/>
              <w:rPr>
                <w:sz w:val="20"/>
                <w:szCs w:val="20"/>
              </w:rPr>
            </w:pPr>
            <w:r>
              <w:rPr>
                <w:sz w:val="20"/>
                <w:szCs w:val="20"/>
              </w:rPr>
              <w:t xml:space="preserve">220/154</w:t>
            </w:r>
          </w:p>
        </w:tc>
        <w:tc>
          <w:tcPr>
            <w:tcW w:w="1150" w:type="dxa"/>
            <w:tcBorders>
              <w:top w:val="single" w:sz="4" w:space="0" w:color="auto"/>
              <w:left w:val="single" w:sz="4" w:space="0" w:color="auto"/>
              <w:bottom w:val="single" w:sz="4" w:space="0" w:color="auto"/>
              <w:right w:val="single" w:sz="4" w:space="0" w:color="auto"/>
            </w:tcBorders>
            <w:vAlign w:val="center"/>
          </w:tcPr>
          <w:p>
            <w:pPr>
              <w:spacing w:before="40" w:after="40"/>
              <w:jc w:val="center"/>
              <w:rPr>
                <w:sz w:val="20"/>
                <w:szCs w:val="20"/>
              </w:rPr>
            </w:pPr>
            <w:r>
              <w:rPr>
                <w:sz w:val="20"/>
                <w:szCs w:val="20"/>
              </w:rPr>
              <w:t xml:space="preserve">0,0</w:t>
            </w:r>
          </w:p>
        </w:tc>
        <w:tc>
          <w:tcPr>
            <w:tcW w:w="1050" w:type="dxa"/>
            <w:tcBorders>
              <w:top w:val="single" w:sz="4" w:space="0" w:color="auto"/>
              <w:left w:val="single" w:sz="4" w:space="0" w:color="auto"/>
              <w:bottom w:val="single" w:sz="4" w:space="0" w:color="auto"/>
              <w:right w:val="single" w:sz="4" w:space="0" w:color="auto"/>
            </w:tcBorders>
            <w:vAlign w:val="center"/>
          </w:tcPr>
          <w:p>
            <w:pPr>
              <w:spacing w:before="40" w:after="40"/>
              <w:jc w:val="center"/>
              <w:rPr>
                <w:sz w:val="20"/>
                <w:szCs w:val="20"/>
              </w:rPr>
            </w:pPr>
            <w:r>
              <w:rPr>
                <w:sz w:val="20"/>
                <w:szCs w:val="20"/>
              </w:rPr>
              <w:t xml:space="preserve">48,85</w:t>
            </w:r>
          </w:p>
        </w:tc>
        <w:tc>
          <w:tcPr>
            <w:tcW w:w="1250" w:type="dxa"/>
            <w:tcBorders>
              <w:top w:val="single" w:sz="4" w:space="0" w:color="auto"/>
              <w:left w:val="single" w:sz="4" w:space="0" w:color="auto"/>
              <w:bottom w:val="single" w:sz="4" w:space="0" w:color="auto"/>
              <w:right w:val="single" w:sz="4" w:space="0" w:color="auto"/>
            </w:tcBorders>
            <w:vAlign w:val="center"/>
          </w:tcPr>
          <w:p>
            <w:pPr>
              <w:spacing w:before="40" w:after="40"/>
              <w:jc w:val="center"/>
              <w:rPr>
                <w:sz w:val="20"/>
                <w:szCs w:val="20"/>
              </w:rPr>
            </w:pPr>
            <w:r>
              <w:rPr>
                <w:sz w:val="20"/>
                <w:szCs w:val="20"/>
              </w:rPr>
              <w:t xml:space="preserve">Sí</w:t>
            </w:r>
          </w:p>
        </w:tc>
        <w:tc>
          <w:tcPr>
            <w:tcW w:w="1500" w:type="dxa"/>
            <w:tcBorders>
              <w:top w:val="single" w:sz="4" w:space="0" w:color="auto"/>
              <w:left w:val="single" w:sz="4" w:space="0" w:color="auto"/>
              <w:bottom w:val="single" w:sz="4" w:space="0" w:color="auto"/>
              <w:right w:val="single" w:sz="4" w:space="0" w:color="auto"/>
            </w:tcBorders>
            <w:vAlign w:val="center"/>
          </w:tcPr>
          <w:p>
            <w:pPr>
              <w:spacing w:before="40" w:after="40"/>
              <w:jc w:val="center"/>
              <w:rPr>
                <w:sz w:val="20"/>
                <w:szCs w:val="20"/>
              </w:rPr>
            </w:pPr>
            <w:r>
              <w:rPr>
                <w:sz w:val="20"/>
                <w:szCs w:val="20"/>
              </w:rPr>
              <w:t xml:space="preserve">No</w:t>
            </w:r>
          </w:p>
        </w:tc>
      </w:tr>
      <w:tr>
        <w:trPr>
          <w:trHeight w:val="300"/>
        </w:trPr>
        <w:tc>
          <w:tcPr>
            <w:tcW w:w="3700" w:type="dxa"/>
            <w:tcBorders>
              <w:top w:val="single" w:sz="4" w:space="0" w:color="auto"/>
              <w:left w:val="single" w:sz="4" w:space="0" w:color="auto"/>
              <w:bottom w:val="single" w:sz="4" w:space="0" w:color="auto"/>
              <w:right w:val="single" w:sz="4" w:space="0" w:color="auto"/>
            </w:tcBorders>
            <w:vAlign w:val="center"/>
          </w:tcPr>
          <w:p>
            <w:pPr>
              <w:spacing w:before="40" w:after="40"/>
              <w:jc w:val="center"/>
              <w:rPr>
                <w:sz w:val="20"/>
                <w:szCs w:val="20"/>
              </w:rPr>
            </w:pPr>
            <w:r>
              <w:rPr>
                <w:sz w:val="20"/>
                <w:szCs w:val="20"/>
              </w:rPr>
              <w:t xml:space="preserve">Hasta Itahue 220 kV</w:t>
            </w:r>
          </w:p>
        </w:tc>
        <w:tc>
          <w:tcPr>
            <w:tcW w:w="1000" w:type="dxa"/>
            <w:tcBorders>
              <w:top w:val="single" w:sz="4" w:space="0" w:color="auto"/>
              <w:left w:val="single" w:sz="4" w:space="0" w:color="auto"/>
              <w:bottom w:val="single" w:sz="4" w:space="0" w:color="auto"/>
              <w:right w:val="single" w:sz="4" w:space="0" w:color="auto"/>
            </w:tcBorders>
            <w:vAlign w:val="center"/>
          </w:tcPr>
          <w:p>
            <w:pPr>
              <w:spacing w:before="40" w:after="40"/>
              <w:jc w:val="center"/>
              <w:rPr>
                <w:sz w:val="20"/>
                <w:szCs w:val="20"/>
              </w:rPr>
            </w:pPr>
            <w:r>
              <w:rPr>
                <w:sz w:val="20"/>
                <w:szCs w:val="20"/>
              </w:rPr>
              <w:t xml:space="preserve"/>
            </w:r>
          </w:p>
        </w:tc>
        <w:tc>
          <w:tcPr>
            <w:tcW w:w="1150" w:type="dxa"/>
            <w:tcBorders>
              <w:top w:val="single" w:sz="4" w:space="0" w:color="auto"/>
              <w:left w:val="single" w:sz="4" w:space="0" w:color="auto"/>
              <w:bottom w:val="single" w:sz="4" w:space="0" w:color="auto"/>
              <w:right w:val="single" w:sz="4" w:space="0" w:color="auto"/>
            </w:tcBorders>
            <w:vAlign w:val="center"/>
          </w:tcPr>
          <w:p>
            <w:pPr>
              <w:spacing w:before="40" w:after="40"/>
              <w:jc w:val="center"/>
              <w:rPr>
                <w:sz w:val="20"/>
                <w:szCs w:val="20"/>
              </w:rPr>
            </w:pPr>
            <w:r>
              <w:rPr>
                <w:sz w:val="20"/>
                <w:szCs w:val="20"/>
              </w:rPr>
              <w:t xml:space="preserve">64,1</w:t>
            </w:r>
          </w:p>
        </w:tc>
        <w:tc>
          <w:tcPr>
            <w:tcW w:w="1050" w:type="dxa"/>
            <w:tcBorders>
              <w:top w:val="single" w:sz="4" w:space="0" w:color="auto"/>
              <w:left w:val="single" w:sz="4" w:space="0" w:color="auto"/>
              <w:bottom w:val="single" w:sz="4" w:space="0" w:color="auto"/>
              <w:right w:val="single" w:sz="4" w:space="0" w:color="auto"/>
            </w:tcBorders>
            <w:vAlign w:val="center"/>
          </w:tcPr>
          <w:p>
            <w:pPr>
              <w:spacing w:before="40" w:after="40"/>
              <w:jc w:val="center"/>
              <w:rPr>
                <w:sz w:val="20"/>
                <w:szCs w:val="20"/>
              </w:rPr>
            </w:pPr>
            <w:r>
              <w:rPr>
                <w:sz w:val="20"/>
                <w:szCs w:val="20"/>
              </w:rPr>
              <w:t xml:space="preserve">206,0</w:t>
            </w:r>
          </w:p>
        </w:tc>
        <w:tc>
          <w:tcPr>
            <w:tcW w:w="1250" w:type="dxa"/>
            <w:tcBorders>
              <w:top w:val="single" w:sz="4" w:space="0" w:color="auto"/>
              <w:left w:val="single" w:sz="4" w:space="0" w:color="auto"/>
              <w:bottom w:val="single" w:sz="4" w:space="0" w:color="auto"/>
              <w:right w:val="single" w:sz="4" w:space="0" w:color="auto"/>
            </w:tcBorders>
            <w:vAlign w:val="center"/>
          </w:tcPr>
          <w:p>
            <w:pPr>
              <w:spacing w:before="40" w:after="40"/>
              <w:jc w:val="center"/>
              <w:rPr>
                <w:sz w:val="20"/>
                <w:szCs w:val="20"/>
              </w:rPr>
            </w:pPr>
            <w:r>
              <w:rPr>
                <w:sz w:val="20"/>
                <w:szCs w:val="20"/>
              </w:rPr>
              <w:t xml:space="preserve">Descartado</w:t>
            </w:r>
          </w:p>
        </w:tc>
        <w:tc>
          <w:tcPr>
            <w:tcW w:w="1500" w:type="dxa"/>
            <w:tcBorders>
              <w:top w:val="single" w:sz="4" w:space="0" w:color="auto"/>
              <w:left w:val="single" w:sz="4" w:space="0" w:color="auto"/>
              <w:bottom w:val="single" w:sz="4" w:space="0" w:color="auto"/>
              <w:right w:val="single" w:sz="4" w:space="0" w:color="auto"/>
            </w:tcBorders>
            <w:vAlign w:val="center"/>
          </w:tcPr>
          <w:p>
            <w:pPr>
              <w:spacing w:before="40" w:after="40"/>
              <w:jc w:val="center"/>
              <w:rPr>
                <w:sz w:val="20"/>
                <w:szCs w:val="20"/>
              </w:rPr>
            </w:pPr>
            <w:r>
              <w:rPr>
                <w:sz w:val="20"/>
                <w:szCs w:val="20"/>
              </w:rPr>
              <w:t xml:space="preserve"/>
            </w:r>
          </w:p>
        </w:tc>
      </w:tr>
      <w:tr>
        <w:trPr>
          <w:trHeight w:val="300"/>
        </w:trPr>
        <w:tc>
          <w:tcPr>
            <w:tcW w:w="3700" w:type="dxa"/>
            <w:tcBorders>
              <w:top w:val="single" w:sz="4" w:space="0" w:color="auto"/>
              <w:left w:val="single" w:sz="4" w:space="0" w:color="auto"/>
              <w:bottom w:val="single" w:sz="4" w:space="0" w:color="auto"/>
              <w:right w:val="single" w:sz="4" w:space="0" w:color="auto"/>
            </w:tcBorders>
            <w:vAlign w:val="center"/>
          </w:tcPr>
          <w:p>
            <w:pPr>
              <w:spacing w:before="40" w:after="40"/>
              <w:jc w:val="center"/>
              <w:rPr>
                <w:sz w:val="20"/>
                <w:szCs w:val="20"/>
              </w:rPr>
            </w:pPr>
            <w:r>
              <w:rPr>
                <w:sz w:val="20"/>
                <w:szCs w:val="20"/>
              </w:rPr>
              <w:t xml:space="preserve">Itahue – Ancoa</w:t>
            </w:r>
          </w:p>
        </w:tc>
        <w:tc>
          <w:tcPr>
            <w:tcW w:w="1000" w:type="dxa"/>
            <w:tcBorders>
              <w:top w:val="single" w:sz="4" w:space="0" w:color="auto"/>
              <w:left w:val="single" w:sz="4" w:space="0" w:color="auto"/>
              <w:bottom w:val="single" w:sz="4" w:space="0" w:color="auto"/>
              <w:right w:val="single" w:sz="4" w:space="0" w:color="auto"/>
            </w:tcBorders>
            <w:vAlign w:val="center"/>
          </w:tcPr>
          <w:p>
            <w:pPr>
              <w:spacing w:before="40" w:after="40"/>
              <w:jc w:val="center"/>
              <w:rPr>
                <w:sz w:val="20"/>
                <w:szCs w:val="20"/>
              </w:rPr>
            </w:pPr>
            <w:r>
              <w:rPr>
                <w:sz w:val="20"/>
                <w:szCs w:val="20"/>
              </w:rPr>
              <w:t xml:space="preserve">220</w:t>
            </w:r>
          </w:p>
        </w:tc>
        <w:tc>
          <w:tcPr>
            <w:tcW w:w="1150" w:type="dxa"/>
            <w:tcBorders>
              <w:top w:val="single" w:sz="4" w:space="0" w:color="auto"/>
              <w:left w:val="single" w:sz="4" w:space="0" w:color="auto"/>
              <w:bottom w:val="single" w:sz="4" w:space="0" w:color="auto"/>
              <w:right w:val="single" w:sz="4" w:space="0" w:color="auto"/>
            </w:tcBorders>
            <w:vAlign w:val="center"/>
          </w:tcPr>
          <w:p>
            <w:pPr>
              <w:spacing w:before="40" w:after="40"/>
              <w:jc w:val="center"/>
              <w:rPr>
                <w:sz w:val="20"/>
                <w:szCs w:val="20"/>
              </w:rPr>
            </w:pPr>
            <w:r>
              <w:rPr>
                <w:sz w:val="20"/>
                <w:szCs w:val="20"/>
              </w:rPr>
              <w:t xml:space="preserve">66,4</w:t>
            </w:r>
          </w:p>
        </w:tc>
        <w:tc>
          <w:tcPr>
            <w:tcW w:w="1050" w:type="dxa"/>
            <w:tcBorders>
              <w:top w:val="single" w:sz="4" w:space="0" w:color="auto"/>
              <w:left w:val="single" w:sz="4" w:space="0" w:color="auto"/>
              <w:bottom w:val="single" w:sz="4" w:space="0" w:color="auto"/>
              <w:right w:val="single" w:sz="4" w:space="0" w:color="auto"/>
            </w:tcBorders>
            <w:vAlign w:val="center"/>
          </w:tcPr>
          <w:p>
            <w:pPr>
              <w:spacing w:before="40" w:after="40"/>
              <w:jc w:val="center"/>
              <w:rPr>
                <w:sz w:val="20"/>
                <w:szCs w:val="20"/>
              </w:rPr>
            </w:pPr>
            <w:r>
              <w:rPr>
                <w:sz w:val="20"/>
                <w:szCs w:val="20"/>
              </w:rPr>
              <w:t xml:space="preserve">15,97</w:t>
            </w:r>
          </w:p>
        </w:tc>
        <w:tc>
          <w:tcPr>
            <w:tcW w:w="1250" w:type="dxa"/>
            <w:tcBorders>
              <w:top w:val="single" w:sz="4" w:space="0" w:color="auto"/>
              <w:left w:val="single" w:sz="4" w:space="0" w:color="auto"/>
              <w:bottom w:val="single" w:sz="4" w:space="0" w:color="auto"/>
              <w:right w:val="single" w:sz="4" w:space="0" w:color="auto"/>
            </w:tcBorders>
            <w:vAlign w:val="center"/>
          </w:tcPr>
          <w:p>
            <w:pPr>
              <w:spacing w:before="40" w:after="40"/>
              <w:jc w:val="center"/>
              <w:rPr>
                <w:sz w:val="20"/>
                <w:szCs w:val="20"/>
              </w:rPr>
            </w:pPr>
            <w:r>
              <w:rPr>
                <w:sz w:val="20"/>
                <w:szCs w:val="20"/>
              </w:rPr>
              <w:t xml:space="preserve">Sí</w:t>
            </w:r>
          </w:p>
        </w:tc>
        <w:tc>
          <w:tcPr>
            <w:tcW w:w="1500" w:type="dxa"/>
            <w:tcBorders>
              <w:top w:val="single" w:sz="4" w:space="0" w:color="auto"/>
              <w:left w:val="single" w:sz="4" w:space="0" w:color="auto"/>
              <w:bottom w:val="single" w:sz="4" w:space="0" w:color="auto"/>
              <w:right w:val="single" w:sz="4" w:space="0" w:color="auto"/>
            </w:tcBorders>
            <w:vAlign w:val="center"/>
          </w:tcPr>
          <w:p>
            <w:pPr>
              <w:spacing w:before="40" w:after="40"/>
              <w:jc w:val="center"/>
              <w:rPr>
                <w:sz w:val="20"/>
                <w:szCs w:val="20"/>
              </w:rPr>
            </w:pPr>
            <w:r>
              <w:rPr>
                <w:sz w:val="20"/>
                <w:szCs w:val="20"/>
              </w:rPr>
              <w:t xml:space="preserve">No</w:t>
            </w:r>
          </w:p>
        </w:tc>
      </w:tr>
      <w:tr>
        <w:trPr>
          <w:trHeight w:val="300"/>
        </w:trPr>
        <w:tc>
          <w:tcPr>
            <w:tcW w:w="3700" w:type="dxa"/>
            <w:tcBorders>
              <w:top w:val="single" w:sz="4" w:space="0" w:color="auto"/>
              <w:left w:val="single" w:sz="4" w:space="0" w:color="auto"/>
              <w:bottom w:val="single" w:sz="4" w:space="0" w:color="auto"/>
              <w:right w:val="single" w:sz="4" w:space="0" w:color="auto"/>
            </w:tcBorders>
            <w:vAlign w:val="center"/>
          </w:tcPr>
          <w:p>
            <w:pPr>
              <w:spacing w:before="40" w:after="40"/>
              <w:jc w:val="center"/>
              <w:rPr>
                <w:sz w:val="20"/>
                <w:szCs w:val="20"/>
              </w:rPr>
            </w:pPr>
            <w:r>
              <w:rPr>
                <w:sz w:val="20"/>
                <w:szCs w:val="20"/>
              </w:rPr>
              <w:t xml:space="preserve">Hasta Ancoa 220 kV</w:t>
            </w:r>
          </w:p>
        </w:tc>
        <w:tc>
          <w:tcPr>
            <w:tcW w:w="1000" w:type="dxa"/>
            <w:tcBorders>
              <w:top w:val="single" w:sz="4" w:space="0" w:color="auto"/>
              <w:left w:val="single" w:sz="4" w:space="0" w:color="auto"/>
              <w:bottom w:val="single" w:sz="4" w:space="0" w:color="auto"/>
              <w:right w:val="single" w:sz="4" w:space="0" w:color="auto"/>
            </w:tcBorders>
            <w:vAlign w:val="center"/>
          </w:tcPr>
          <w:p>
            <w:pPr>
              <w:spacing w:before="40" w:after="40"/>
              <w:jc w:val="center"/>
              <w:rPr>
                <w:sz w:val="20"/>
                <w:szCs w:val="20"/>
              </w:rPr>
            </w:pPr>
            <w:r>
              <w:rPr>
                <w:sz w:val="20"/>
                <w:szCs w:val="20"/>
              </w:rPr>
              <w:t xml:space="preserve"/>
            </w:r>
          </w:p>
        </w:tc>
        <w:tc>
          <w:tcPr>
            <w:tcW w:w="1150" w:type="dxa"/>
            <w:tcBorders>
              <w:top w:val="single" w:sz="4" w:space="0" w:color="auto"/>
              <w:left w:val="single" w:sz="4" w:space="0" w:color="auto"/>
              <w:bottom w:val="single" w:sz="4" w:space="0" w:color="auto"/>
              <w:right w:val="single" w:sz="4" w:space="0" w:color="auto"/>
            </w:tcBorders>
            <w:vAlign w:val="center"/>
          </w:tcPr>
          <w:p>
            <w:pPr>
              <w:spacing w:before="40" w:after="40"/>
              <w:jc w:val="center"/>
              <w:rPr>
                <w:sz w:val="20"/>
                <w:szCs w:val="20"/>
              </w:rPr>
            </w:pPr>
            <w:r>
              <w:rPr>
                <w:sz w:val="20"/>
                <w:szCs w:val="20"/>
              </w:rPr>
              <w:t xml:space="preserve">130,5</w:t>
            </w:r>
          </w:p>
        </w:tc>
        <w:tc>
          <w:tcPr>
            <w:tcW w:w="1050" w:type="dxa"/>
            <w:tcBorders>
              <w:top w:val="single" w:sz="4" w:space="0" w:color="auto"/>
              <w:left w:val="single" w:sz="4" w:space="0" w:color="auto"/>
              <w:bottom w:val="single" w:sz="4" w:space="0" w:color="auto"/>
              <w:right w:val="single" w:sz="4" w:space="0" w:color="auto"/>
            </w:tcBorders>
            <w:vAlign w:val="center"/>
          </w:tcPr>
          <w:p>
            <w:pPr>
              <w:spacing w:before="40" w:after="40"/>
              <w:jc w:val="center"/>
              <w:rPr>
                <w:sz w:val="20"/>
                <w:szCs w:val="20"/>
              </w:rPr>
            </w:pPr>
            <w:r>
              <w:rPr>
                <w:sz w:val="20"/>
                <w:szCs w:val="20"/>
              </w:rPr>
              <w:t xml:space="preserve">222,0</w:t>
            </w:r>
          </w:p>
        </w:tc>
        <w:tc>
          <w:tcPr>
            <w:tcW w:w="1250" w:type="dxa"/>
            <w:tcBorders>
              <w:top w:val="single" w:sz="4" w:space="0" w:color="auto"/>
              <w:left w:val="single" w:sz="4" w:space="0" w:color="auto"/>
              <w:bottom w:val="single" w:sz="4" w:space="0" w:color="auto"/>
              <w:right w:val="single" w:sz="4" w:space="0" w:color="auto"/>
            </w:tcBorders>
            <w:vAlign w:val="center"/>
          </w:tcPr>
          <w:p>
            <w:pPr>
              <w:spacing w:before="40" w:after="40"/>
              <w:jc w:val="center"/>
              <w:rPr>
                <w:sz w:val="20"/>
                <w:szCs w:val="20"/>
              </w:rPr>
            </w:pPr>
            <w:r>
              <w:rPr>
                <w:sz w:val="20"/>
                <w:szCs w:val="20"/>
              </w:rPr>
              <w:t xml:space="preserve">Descartado</w:t>
            </w:r>
          </w:p>
        </w:tc>
        <w:tc>
          <w:tcPr>
            <w:tcW w:w="1500" w:type="dxa"/>
            <w:tcBorders>
              <w:top w:val="single" w:sz="4" w:space="0" w:color="auto"/>
              <w:left w:val="single" w:sz="4" w:space="0" w:color="auto"/>
              <w:bottom w:val="single" w:sz="4" w:space="0" w:color="auto"/>
              <w:right w:val="single" w:sz="4" w:space="0" w:color="auto"/>
            </w:tcBorders>
            <w:vAlign w:val="center"/>
          </w:tcPr>
          <w:p>
            <w:pPr>
              <w:spacing w:before="40" w:after="40"/>
              <w:jc w:val="center"/>
              <w:rPr>
                <w:sz w:val="20"/>
                <w:szCs w:val="20"/>
              </w:rPr>
            </w:pPr>
            <w:r>
              <w:rPr>
                <w:sz w:val="20"/>
                <w:szCs w:val="20"/>
              </w:rPr>
              <w:t xml:space="preserve"/>
            </w:r>
          </w:p>
        </w:tc>
      </w:tr>
      <w:tr>
        <w:trPr>
          <w:trHeight w:val="300"/>
        </w:trPr>
        <w:tc>
          <w:tcPr>
            <w:tcW w:w="3700" w:type="dxa"/>
            <w:tcBorders>
              <w:top w:val="single" w:sz="4" w:space="0" w:color="auto"/>
              <w:left w:val="single" w:sz="4" w:space="0" w:color="auto"/>
              <w:bottom w:val="single" w:sz="4" w:space="0" w:color="auto"/>
              <w:right w:val="single" w:sz="4" w:space="0" w:color="auto"/>
            </w:tcBorders>
            <w:vAlign w:val="center"/>
          </w:tcPr>
          <w:p>
            <w:pPr>
              <w:spacing w:before="40" w:after="40"/>
              <w:jc w:val="center"/>
              <w:rPr>
                <w:sz w:val="20"/>
                <w:szCs w:val="20"/>
              </w:rPr>
            </w:pPr>
            <w:r>
              <w:rPr>
                <w:sz w:val="20"/>
                <w:szCs w:val="20"/>
              </w:rPr>
              <w:t xml:space="preserve">Itahue – Molina – Curicó – Rauquén – Teno – Quinta – Chimbarongo – San Fernando (7 líneas)</w:t>
            </w:r>
          </w:p>
        </w:tc>
        <w:tc>
          <w:tcPr>
            <w:tcW w:w="1000" w:type="dxa"/>
            <w:tcBorders>
              <w:top w:val="single" w:sz="4" w:space="0" w:color="auto"/>
              <w:left w:val="single" w:sz="4" w:space="0" w:color="auto"/>
              <w:bottom w:val="single" w:sz="4" w:space="0" w:color="auto"/>
              <w:right w:val="single" w:sz="4" w:space="0" w:color="auto"/>
            </w:tcBorders>
            <w:vAlign w:val="center"/>
          </w:tcPr>
          <w:p>
            <w:pPr>
              <w:spacing w:before="40" w:after="40"/>
              <w:jc w:val="center"/>
              <w:rPr>
                <w:sz w:val="20"/>
                <w:szCs w:val="20"/>
              </w:rPr>
            </w:pPr>
            <w:r>
              <w:rPr>
                <w:sz w:val="20"/>
                <w:szCs w:val="20"/>
              </w:rPr>
              <w:t xml:space="preserve">66</w:t>
            </w:r>
          </w:p>
        </w:tc>
        <w:tc>
          <w:tcPr>
            <w:tcW w:w="1150" w:type="dxa"/>
            <w:tcBorders>
              <w:top w:val="single" w:sz="4" w:space="0" w:color="auto"/>
              <w:left w:val="single" w:sz="4" w:space="0" w:color="auto"/>
              <w:bottom w:val="single" w:sz="4" w:space="0" w:color="auto"/>
              <w:right w:val="single" w:sz="4" w:space="0" w:color="auto"/>
            </w:tcBorders>
            <w:vAlign w:val="center"/>
          </w:tcPr>
          <w:p>
            <w:pPr>
              <w:spacing w:before="40" w:after="40"/>
              <w:jc w:val="center"/>
              <w:rPr>
                <w:sz w:val="20"/>
                <w:szCs w:val="20"/>
              </w:rPr>
            </w:pPr>
            <w:r>
              <w:rPr>
                <w:sz w:val="20"/>
                <w:szCs w:val="20"/>
              </w:rPr>
              <w:t xml:space="preserve">75,2</w:t>
            </w:r>
          </w:p>
        </w:tc>
        <w:tc>
          <w:tcPr>
            <w:tcW w:w="1050" w:type="dxa"/>
            <w:tcBorders>
              <w:top w:val="single" w:sz="4" w:space="0" w:color="auto"/>
              <w:left w:val="single" w:sz="4" w:space="0" w:color="auto"/>
              <w:bottom w:val="single" w:sz="4" w:space="0" w:color="auto"/>
              <w:right w:val="single" w:sz="4" w:space="0" w:color="auto"/>
            </w:tcBorders>
            <w:vAlign w:val="center"/>
          </w:tcPr>
          <w:p>
            <w:pPr>
              <w:spacing w:before="40" w:after="40"/>
              <w:jc w:val="center"/>
              <w:rPr>
                <w:sz w:val="20"/>
                <w:szCs w:val="20"/>
              </w:rPr>
            </w:pPr>
            <w:r>
              <w:rPr>
                <w:sz w:val="20"/>
                <w:szCs w:val="20"/>
              </w:rPr>
              <w:t xml:space="preserve">29,70</w:t>
            </w:r>
          </w:p>
        </w:tc>
        <w:tc>
          <w:tcPr>
            <w:tcW w:w="1250" w:type="dxa"/>
            <w:tcBorders>
              <w:top w:val="single" w:sz="4" w:space="0" w:color="auto"/>
              <w:left w:val="single" w:sz="4" w:space="0" w:color="auto"/>
              <w:bottom w:val="single" w:sz="4" w:space="0" w:color="auto"/>
              <w:right w:val="single" w:sz="4" w:space="0" w:color="auto"/>
            </w:tcBorders>
            <w:vAlign w:val="center"/>
          </w:tcPr>
          <w:p>
            <w:pPr>
              <w:spacing w:before="40" w:after="40"/>
              <w:jc w:val="center"/>
              <w:rPr>
                <w:sz w:val="20"/>
                <w:szCs w:val="20"/>
              </w:rPr>
            </w:pPr>
            <w:r>
              <w:rPr>
                <w:sz w:val="20"/>
                <w:szCs w:val="20"/>
              </w:rPr>
              <w:t xml:space="preserve">No</w:t>
            </w:r>
          </w:p>
        </w:tc>
        <w:tc>
          <w:tcPr>
            <w:tcW w:w="1500" w:type="dxa"/>
            <w:tcBorders>
              <w:top w:val="single" w:sz="4" w:space="0" w:color="auto"/>
              <w:left w:val="single" w:sz="4" w:space="0" w:color="auto"/>
              <w:bottom w:val="single" w:sz="4" w:space="0" w:color="auto"/>
              <w:right w:val="single" w:sz="4" w:space="0" w:color="auto"/>
            </w:tcBorders>
            <w:vAlign w:val="center"/>
          </w:tcPr>
          <w:p>
            <w:pPr>
              <w:spacing w:before="40" w:after="40"/>
              <w:jc w:val="center"/>
              <w:rPr>
                <w:sz w:val="20"/>
                <w:szCs w:val="20"/>
              </w:rPr>
            </w:pPr>
            <w:r>
              <w:rPr>
                <w:sz w:val="20"/>
                <w:szCs w:val="20"/>
              </w:rPr>
              <w:t xml:space="preserve">Sí</w:t>
            </w:r>
          </w:p>
        </w:tc>
      </w:tr>
      <w:tr>
        <w:trPr>
          <w:trHeight w:val="300"/>
        </w:trPr>
        <w:tc>
          <w:tcPr>
            <w:tcW w:w="3700" w:type="dxa"/>
            <w:tcBorders>
              <w:top w:val="single" w:sz="4" w:space="0" w:color="auto"/>
              <w:left w:val="single" w:sz="4" w:space="0" w:color="auto"/>
              <w:bottom w:val="single" w:sz="4" w:space="0" w:color="auto"/>
              <w:right w:val="single" w:sz="4" w:space="0" w:color="auto"/>
            </w:tcBorders>
            <w:vAlign w:val="center"/>
          </w:tcPr>
          <w:p>
            <w:pPr>
              <w:spacing w:before="40" w:after="40"/>
              <w:jc w:val="center"/>
              <w:rPr>
                <w:sz w:val="20"/>
                <w:szCs w:val="20"/>
              </w:rPr>
            </w:pPr>
            <w:r>
              <w:rPr>
                <w:sz w:val="20"/>
                <w:szCs w:val="20"/>
              </w:rPr>
              <w:t xml:space="preserve">Transformador San Fernando 154/66 kV (3 unidades en paralelo)</w:t>
            </w:r>
          </w:p>
        </w:tc>
        <w:tc>
          <w:tcPr>
            <w:tcW w:w="1000" w:type="dxa"/>
            <w:tcBorders>
              <w:top w:val="single" w:sz="4" w:space="0" w:color="auto"/>
              <w:left w:val="single" w:sz="4" w:space="0" w:color="auto"/>
              <w:bottom w:val="single" w:sz="4" w:space="0" w:color="auto"/>
              <w:right w:val="single" w:sz="4" w:space="0" w:color="auto"/>
            </w:tcBorders>
            <w:vAlign w:val="center"/>
          </w:tcPr>
          <w:p>
            <w:pPr>
              <w:spacing w:before="40" w:after="40"/>
              <w:jc w:val="center"/>
              <w:rPr>
                <w:sz w:val="20"/>
                <w:szCs w:val="20"/>
              </w:rPr>
            </w:pPr>
            <w:r>
              <w:rPr>
                <w:sz w:val="20"/>
                <w:szCs w:val="20"/>
              </w:rPr>
              <w:t xml:space="preserve">154/66</w:t>
            </w:r>
          </w:p>
        </w:tc>
        <w:tc>
          <w:tcPr>
            <w:tcW w:w="1150" w:type="dxa"/>
            <w:tcBorders>
              <w:top w:val="single" w:sz="4" w:space="0" w:color="auto"/>
              <w:left w:val="single" w:sz="4" w:space="0" w:color="auto"/>
              <w:bottom w:val="single" w:sz="4" w:space="0" w:color="auto"/>
              <w:right w:val="single" w:sz="4" w:space="0" w:color="auto"/>
            </w:tcBorders>
            <w:vAlign w:val="center"/>
          </w:tcPr>
          <w:p>
            <w:pPr>
              <w:spacing w:before="40" w:after="40"/>
              <w:jc w:val="center"/>
              <w:rPr>
                <w:sz w:val="20"/>
                <w:szCs w:val="20"/>
              </w:rPr>
            </w:pPr>
            <w:r>
              <w:rPr>
                <w:sz w:val="20"/>
                <w:szCs w:val="20"/>
              </w:rPr>
              <w:t xml:space="preserve">0,0</w:t>
            </w:r>
          </w:p>
        </w:tc>
        <w:tc>
          <w:tcPr>
            <w:tcW w:w="1050" w:type="dxa"/>
            <w:tcBorders>
              <w:top w:val="single" w:sz="4" w:space="0" w:color="auto"/>
              <w:left w:val="single" w:sz="4" w:space="0" w:color="auto"/>
              <w:bottom w:val="single" w:sz="4" w:space="0" w:color="auto"/>
              <w:right w:val="single" w:sz="4" w:space="0" w:color="auto"/>
            </w:tcBorders>
            <w:vAlign w:val="center"/>
          </w:tcPr>
          <w:p>
            <w:pPr>
              <w:spacing w:before="40" w:after="40"/>
              <w:jc w:val="center"/>
              <w:rPr>
                <w:sz w:val="20"/>
                <w:szCs w:val="20"/>
              </w:rPr>
            </w:pPr>
            <w:r>
              <w:rPr>
                <w:sz w:val="20"/>
                <w:szCs w:val="20"/>
              </w:rPr>
              <w:t xml:space="preserve">18,63</w:t>
            </w:r>
          </w:p>
        </w:tc>
        <w:tc>
          <w:tcPr>
            <w:tcW w:w="1250" w:type="dxa"/>
            <w:tcBorders>
              <w:top w:val="single" w:sz="4" w:space="0" w:color="auto"/>
              <w:left w:val="single" w:sz="4" w:space="0" w:color="auto"/>
              <w:bottom w:val="single" w:sz="4" w:space="0" w:color="auto"/>
              <w:right w:val="single" w:sz="4" w:space="0" w:color="auto"/>
            </w:tcBorders>
            <w:vAlign w:val="center"/>
          </w:tcPr>
          <w:p>
            <w:pPr>
              <w:spacing w:before="40" w:after="40"/>
              <w:jc w:val="center"/>
              <w:rPr>
                <w:sz w:val="20"/>
                <w:szCs w:val="20"/>
              </w:rPr>
            </w:pPr>
            <w:r>
              <w:rPr>
                <w:sz w:val="20"/>
                <w:szCs w:val="20"/>
              </w:rPr>
              <w:t xml:space="preserve">No</w:t>
            </w:r>
          </w:p>
        </w:tc>
        <w:tc>
          <w:tcPr>
            <w:tcW w:w="1500" w:type="dxa"/>
            <w:tcBorders>
              <w:top w:val="single" w:sz="4" w:space="0" w:color="auto"/>
              <w:left w:val="single" w:sz="4" w:space="0" w:color="auto"/>
              <w:bottom w:val="single" w:sz="4" w:space="0" w:color="auto"/>
              <w:right w:val="single" w:sz="4" w:space="0" w:color="auto"/>
            </w:tcBorders>
            <w:vAlign w:val="center"/>
          </w:tcPr>
          <w:p>
            <w:pPr>
              <w:spacing w:before="40" w:after="40"/>
              <w:jc w:val="center"/>
              <w:rPr>
                <w:sz w:val="20"/>
                <w:szCs w:val="20"/>
              </w:rPr>
            </w:pPr>
            <w:r>
              <w:rPr>
                <w:sz w:val="20"/>
                <w:szCs w:val="20"/>
              </w:rPr>
              <w:t xml:space="preserve">Sí</w:t>
            </w:r>
          </w:p>
        </w:tc>
      </w:tr>
      <w:tr>
        <w:trPr>
          <w:trHeight w:val="300"/>
        </w:trPr>
        <w:tc>
          <w:tcPr>
            <w:tcW w:w="3700" w:type="dxa"/>
            <w:tcBorders>
              <w:top w:val="single" w:sz="4" w:space="0" w:color="auto"/>
              <w:left w:val="single" w:sz="4" w:space="0" w:color="auto"/>
              <w:bottom w:val="single" w:sz="4" w:space="0" w:color="auto"/>
              <w:right w:val="single" w:sz="4" w:space="0" w:color="auto"/>
            </w:tcBorders>
            <w:vAlign w:val="center"/>
          </w:tcPr>
          <w:p>
            <w:pPr>
              <w:spacing w:before="40" w:after="40"/>
              <w:jc w:val="center"/>
              <w:rPr>
                <w:sz w:val="20"/>
                <w:szCs w:val="20"/>
              </w:rPr>
            </w:pPr>
            <w:r>
              <w:rPr>
                <w:sz w:val="20"/>
                <w:szCs w:val="20"/>
              </w:rPr>
              <w:t xml:space="preserve">San Fernando – Tinguiririca</w:t>
            </w:r>
          </w:p>
        </w:tc>
        <w:tc>
          <w:tcPr>
            <w:tcW w:w="1000" w:type="dxa"/>
            <w:tcBorders>
              <w:top w:val="single" w:sz="4" w:space="0" w:color="auto"/>
              <w:left w:val="single" w:sz="4" w:space="0" w:color="auto"/>
              <w:bottom w:val="single" w:sz="4" w:space="0" w:color="auto"/>
              <w:right w:val="single" w:sz="4" w:space="0" w:color="auto"/>
            </w:tcBorders>
            <w:vAlign w:val="center"/>
          </w:tcPr>
          <w:p>
            <w:pPr>
              <w:spacing w:before="40" w:after="40"/>
              <w:jc w:val="center"/>
              <w:rPr>
                <w:sz w:val="20"/>
                <w:szCs w:val="20"/>
              </w:rPr>
            </w:pPr>
            <w:r>
              <w:rPr>
                <w:sz w:val="20"/>
                <w:szCs w:val="20"/>
              </w:rPr>
              <w:t xml:space="preserve">154</w:t>
            </w:r>
          </w:p>
        </w:tc>
        <w:tc>
          <w:tcPr>
            <w:tcW w:w="1150" w:type="dxa"/>
            <w:tcBorders>
              <w:top w:val="single" w:sz="4" w:space="0" w:color="auto"/>
              <w:left w:val="single" w:sz="4" w:space="0" w:color="auto"/>
              <w:bottom w:val="single" w:sz="4" w:space="0" w:color="auto"/>
              <w:right w:val="single" w:sz="4" w:space="0" w:color="auto"/>
            </w:tcBorders>
            <w:vAlign w:val="center"/>
          </w:tcPr>
          <w:p>
            <w:pPr>
              <w:spacing w:before="40" w:after="40"/>
              <w:jc w:val="center"/>
              <w:rPr>
                <w:sz w:val="20"/>
                <w:szCs w:val="20"/>
              </w:rPr>
            </w:pPr>
            <w:r>
              <w:rPr>
                <w:sz w:val="20"/>
                <w:szCs w:val="20"/>
              </w:rPr>
              <w:t xml:space="preserve">2,0</w:t>
            </w:r>
          </w:p>
        </w:tc>
        <w:tc>
          <w:tcPr>
            <w:tcW w:w="1050" w:type="dxa"/>
            <w:tcBorders>
              <w:top w:val="single" w:sz="4" w:space="0" w:color="auto"/>
              <w:left w:val="single" w:sz="4" w:space="0" w:color="auto"/>
              <w:bottom w:val="single" w:sz="4" w:space="0" w:color="auto"/>
              <w:right w:val="single" w:sz="4" w:space="0" w:color="auto"/>
            </w:tcBorders>
            <w:vAlign w:val="center"/>
          </w:tcPr>
          <w:p>
            <w:pPr>
              <w:spacing w:before="40" w:after="40"/>
              <w:jc w:val="center"/>
              <w:rPr>
                <w:sz w:val="20"/>
                <w:szCs w:val="20"/>
              </w:rPr>
            </w:pPr>
            <w:r>
              <w:rPr>
                <w:sz w:val="20"/>
                <w:szCs w:val="20"/>
              </w:rPr>
              <w:t xml:space="preserve">0,71</w:t>
            </w:r>
          </w:p>
        </w:tc>
        <w:tc>
          <w:tcPr>
            <w:tcW w:w="1250" w:type="dxa"/>
            <w:tcBorders>
              <w:top w:val="single" w:sz="4" w:space="0" w:color="auto"/>
              <w:left w:val="single" w:sz="4" w:space="0" w:color="auto"/>
              <w:bottom w:val="single" w:sz="4" w:space="0" w:color="auto"/>
              <w:right w:val="single" w:sz="4" w:space="0" w:color="auto"/>
            </w:tcBorders>
            <w:vAlign w:val="center"/>
          </w:tcPr>
          <w:p>
            <w:pPr>
              <w:spacing w:before="40" w:after="40"/>
              <w:jc w:val="center"/>
              <w:rPr>
                <w:sz w:val="20"/>
                <w:szCs w:val="20"/>
              </w:rPr>
            </w:pPr>
            <w:r>
              <w:rPr>
                <w:sz w:val="20"/>
                <w:szCs w:val="20"/>
              </w:rPr>
              <w:t xml:space="preserve">No</w:t>
            </w:r>
          </w:p>
        </w:tc>
        <w:tc>
          <w:tcPr>
            <w:tcW w:w="1500" w:type="dxa"/>
            <w:tcBorders>
              <w:top w:val="single" w:sz="4" w:space="0" w:color="auto"/>
              <w:left w:val="single" w:sz="4" w:space="0" w:color="auto"/>
              <w:bottom w:val="single" w:sz="4" w:space="0" w:color="auto"/>
              <w:right w:val="single" w:sz="4" w:space="0" w:color="auto"/>
            </w:tcBorders>
            <w:vAlign w:val="center"/>
          </w:tcPr>
          <w:p>
            <w:pPr>
              <w:spacing w:before="40" w:after="40"/>
              <w:jc w:val="center"/>
              <w:rPr>
                <w:sz w:val="20"/>
                <w:szCs w:val="20"/>
              </w:rPr>
            </w:pPr>
            <w:r>
              <w:rPr>
                <w:sz w:val="20"/>
                <w:szCs w:val="20"/>
              </w:rPr>
              <w:t xml:space="preserve">Sí</w:t>
            </w:r>
          </w:p>
        </w:tc>
      </w:tr>
      <w:tr>
        <w:trPr>
          <w:trHeight w:val="300"/>
        </w:trPr>
        <w:tc>
          <w:tcPr>
            <w:tcW w:w="3700" w:type="dxa"/>
            <w:tcBorders>
              <w:top w:val="single" w:sz="4" w:space="0" w:color="auto"/>
              <w:left w:val="single" w:sz="4" w:space="0" w:color="auto"/>
              <w:bottom w:val="single" w:sz="4" w:space="0" w:color="auto"/>
              <w:right w:val="single" w:sz="4" w:space="0" w:color="auto"/>
            </w:tcBorders>
            <w:vAlign w:val="center"/>
          </w:tcPr>
          <w:p>
            <w:pPr>
              <w:spacing w:before="40" w:after="40"/>
              <w:jc w:val="center"/>
              <w:rPr>
                <w:sz w:val="20"/>
                <w:szCs w:val="20"/>
              </w:rPr>
            </w:pPr>
            <w:r>
              <w:rPr>
                <w:sz w:val="20"/>
                <w:szCs w:val="20"/>
              </w:rPr>
              <w:t xml:space="preserve">Transformador Tinguiririca 220/154 kV</w:t>
            </w:r>
          </w:p>
        </w:tc>
        <w:tc>
          <w:tcPr>
            <w:tcW w:w="1000" w:type="dxa"/>
            <w:tcBorders>
              <w:top w:val="single" w:sz="4" w:space="0" w:color="auto"/>
              <w:left w:val="single" w:sz="4" w:space="0" w:color="auto"/>
              <w:bottom w:val="single" w:sz="4" w:space="0" w:color="auto"/>
              <w:right w:val="single" w:sz="4" w:space="0" w:color="auto"/>
            </w:tcBorders>
            <w:vAlign w:val="center"/>
          </w:tcPr>
          <w:p>
            <w:pPr>
              <w:spacing w:before="40" w:after="40"/>
              <w:jc w:val="center"/>
              <w:rPr>
                <w:sz w:val="20"/>
                <w:szCs w:val="20"/>
              </w:rPr>
            </w:pPr>
            <w:r>
              <w:rPr>
                <w:sz w:val="20"/>
                <w:szCs w:val="20"/>
              </w:rPr>
              <w:t xml:space="preserve">220/154</w:t>
            </w:r>
          </w:p>
        </w:tc>
        <w:tc>
          <w:tcPr>
            <w:tcW w:w="1150" w:type="dxa"/>
            <w:tcBorders>
              <w:top w:val="single" w:sz="4" w:space="0" w:color="auto"/>
              <w:left w:val="single" w:sz="4" w:space="0" w:color="auto"/>
              <w:bottom w:val="single" w:sz="4" w:space="0" w:color="auto"/>
              <w:right w:val="single" w:sz="4" w:space="0" w:color="auto"/>
            </w:tcBorders>
            <w:vAlign w:val="center"/>
          </w:tcPr>
          <w:p>
            <w:pPr>
              <w:spacing w:before="40" w:after="40"/>
              <w:jc w:val="center"/>
              <w:rPr>
                <w:sz w:val="20"/>
                <w:szCs w:val="20"/>
              </w:rPr>
            </w:pPr>
            <w:r>
              <w:rPr>
                <w:sz w:val="20"/>
                <w:szCs w:val="20"/>
              </w:rPr>
              <w:t xml:space="preserve">0,0</w:t>
            </w:r>
          </w:p>
        </w:tc>
        <w:tc>
          <w:tcPr>
            <w:tcW w:w="1050" w:type="dxa"/>
            <w:tcBorders>
              <w:top w:val="single" w:sz="4" w:space="0" w:color="auto"/>
              <w:left w:val="single" w:sz="4" w:space="0" w:color="auto"/>
              <w:bottom w:val="single" w:sz="4" w:space="0" w:color="auto"/>
              <w:right w:val="single" w:sz="4" w:space="0" w:color="auto"/>
            </w:tcBorders>
            <w:vAlign w:val="center"/>
          </w:tcPr>
          <w:p>
            <w:pPr>
              <w:spacing w:before="40" w:after="40"/>
              <w:jc w:val="center"/>
              <w:rPr>
                <w:sz w:val="20"/>
                <w:szCs w:val="20"/>
              </w:rPr>
            </w:pPr>
            <w:r>
              <w:rPr>
                <w:sz w:val="20"/>
                <w:szCs w:val="20"/>
              </w:rPr>
              <w:t xml:space="preserve">13,95</w:t>
            </w:r>
          </w:p>
        </w:tc>
        <w:tc>
          <w:tcPr>
            <w:tcW w:w="1250" w:type="dxa"/>
            <w:tcBorders>
              <w:top w:val="single" w:sz="4" w:space="0" w:color="auto"/>
              <w:left w:val="single" w:sz="4" w:space="0" w:color="auto"/>
              <w:bottom w:val="single" w:sz="4" w:space="0" w:color="auto"/>
              <w:right w:val="single" w:sz="4" w:space="0" w:color="auto"/>
            </w:tcBorders>
            <w:vAlign w:val="center"/>
          </w:tcPr>
          <w:p>
            <w:pPr>
              <w:spacing w:before="40" w:after="40"/>
              <w:jc w:val="center"/>
              <w:rPr>
                <w:sz w:val="20"/>
                <w:szCs w:val="20"/>
              </w:rPr>
            </w:pPr>
            <w:r>
              <w:rPr>
                <w:sz w:val="20"/>
                <w:szCs w:val="20"/>
              </w:rPr>
              <w:t xml:space="preserve">No</w:t>
            </w:r>
          </w:p>
        </w:tc>
        <w:tc>
          <w:tcPr>
            <w:tcW w:w="1500" w:type="dxa"/>
            <w:tcBorders>
              <w:top w:val="single" w:sz="4" w:space="0" w:color="auto"/>
              <w:left w:val="single" w:sz="4" w:space="0" w:color="auto"/>
              <w:bottom w:val="single" w:sz="4" w:space="0" w:color="auto"/>
              <w:right w:val="single" w:sz="4" w:space="0" w:color="auto"/>
            </w:tcBorders>
            <w:vAlign w:val="center"/>
          </w:tcPr>
          <w:p>
            <w:pPr>
              <w:spacing w:before="40" w:after="40"/>
              <w:jc w:val="center"/>
              <w:rPr>
                <w:sz w:val="20"/>
                <w:szCs w:val="20"/>
              </w:rPr>
            </w:pPr>
            <w:r>
              <w:rPr>
                <w:sz w:val="20"/>
                <w:szCs w:val="20"/>
              </w:rPr>
              <w:t xml:space="preserve">Sí</w:t>
            </w:r>
          </w:p>
        </w:tc>
      </w:tr>
      <w:tr>
        <w:trPr>
          <w:trHeight w:val="300"/>
        </w:trPr>
        <w:tc>
          <w:tcPr>
            <w:tcW w:w="3700" w:type="dxa"/>
            <w:tcBorders>
              <w:top w:val="single" w:sz="4" w:space="0" w:color="auto"/>
              <w:left w:val="single" w:sz="4" w:space="0" w:color="auto"/>
              <w:bottom w:val="single" w:sz="4" w:space="0" w:color="auto"/>
              <w:right w:val="single" w:sz="4" w:space="0" w:color="auto"/>
            </w:tcBorders>
            <w:vAlign w:val="center"/>
          </w:tcPr>
          <w:p>
            <w:pPr>
              <w:spacing w:before="40" w:after="40"/>
              <w:jc w:val="center"/>
              <w:rPr>
                <w:sz w:val="20"/>
                <w:szCs w:val="20"/>
              </w:rPr>
            </w:pPr>
            <w:r>
              <w:rPr>
                <w:sz w:val="20"/>
                <w:szCs w:val="20"/>
              </w:rPr>
              <w:t xml:space="preserve">Tinguiririca – Puente Negro – Candelaria (2 líneas de doble circuito)</w:t>
            </w:r>
          </w:p>
        </w:tc>
        <w:tc>
          <w:tcPr>
            <w:tcW w:w="1000" w:type="dxa"/>
            <w:tcBorders>
              <w:top w:val="single" w:sz="4" w:space="0" w:color="auto"/>
              <w:left w:val="single" w:sz="4" w:space="0" w:color="auto"/>
              <w:bottom w:val="single" w:sz="4" w:space="0" w:color="auto"/>
              <w:right w:val="single" w:sz="4" w:space="0" w:color="auto"/>
            </w:tcBorders>
            <w:vAlign w:val="center"/>
          </w:tcPr>
          <w:p>
            <w:pPr>
              <w:spacing w:before="40" w:after="40"/>
              <w:jc w:val="center"/>
              <w:rPr>
                <w:sz w:val="20"/>
                <w:szCs w:val="20"/>
              </w:rPr>
            </w:pPr>
            <w:r>
              <w:rPr>
                <w:sz w:val="20"/>
                <w:szCs w:val="20"/>
              </w:rPr>
              <w:t xml:space="preserve">220</w:t>
            </w:r>
          </w:p>
        </w:tc>
        <w:tc>
          <w:tcPr>
            <w:tcW w:w="1150" w:type="dxa"/>
            <w:tcBorders>
              <w:top w:val="single" w:sz="4" w:space="0" w:color="auto"/>
              <w:left w:val="single" w:sz="4" w:space="0" w:color="auto"/>
              <w:bottom w:val="single" w:sz="4" w:space="0" w:color="auto"/>
              <w:right w:val="single" w:sz="4" w:space="0" w:color="auto"/>
            </w:tcBorders>
            <w:vAlign w:val="center"/>
          </w:tcPr>
          <w:p>
            <w:pPr>
              <w:spacing w:before="40" w:after="40"/>
              <w:jc w:val="center"/>
              <w:rPr>
                <w:sz w:val="20"/>
                <w:szCs w:val="20"/>
              </w:rPr>
            </w:pPr>
            <w:r>
              <w:rPr>
                <w:sz w:val="20"/>
                <w:szCs w:val="20"/>
              </w:rPr>
              <w:t xml:space="preserve">106,6</w:t>
            </w:r>
          </w:p>
        </w:tc>
        <w:tc>
          <w:tcPr>
            <w:tcW w:w="1050" w:type="dxa"/>
            <w:tcBorders>
              <w:top w:val="single" w:sz="4" w:space="0" w:color="auto"/>
              <w:left w:val="single" w:sz="4" w:space="0" w:color="auto"/>
              <w:bottom w:val="single" w:sz="4" w:space="0" w:color="auto"/>
              <w:right w:val="single" w:sz="4" w:space="0" w:color="auto"/>
            </w:tcBorders>
            <w:vAlign w:val="center"/>
          </w:tcPr>
          <w:p>
            <w:pPr>
              <w:spacing w:before="40" w:after="40"/>
              <w:jc w:val="center"/>
              <w:rPr>
                <w:sz w:val="20"/>
                <w:szCs w:val="20"/>
              </w:rPr>
            </w:pPr>
            <w:r>
              <w:rPr>
                <w:sz w:val="20"/>
                <w:szCs w:val="20"/>
              </w:rPr>
              <w:t xml:space="preserve">16,20</w:t>
            </w:r>
          </w:p>
        </w:tc>
        <w:tc>
          <w:tcPr>
            <w:tcW w:w="1250" w:type="dxa"/>
            <w:tcBorders>
              <w:top w:val="single" w:sz="4" w:space="0" w:color="auto"/>
              <w:left w:val="single" w:sz="4" w:space="0" w:color="auto"/>
              <w:bottom w:val="single" w:sz="4" w:space="0" w:color="auto"/>
              <w:right w:val="single" w:sz="4" w:space="0" w:color="auto"/>
            </w:tcBorders>
            <w:vAlign w:val="center"/>
          </w:tcPr>
          <w:p>
            <w:pPr>
              <w:spacing w:before="40" w:after="40"/>
              <w:jc w:val="center"/>
              <w:rPr>
                <w:sz w:val="20"/>
                <w:szCs w:val="20"/>
              </w:rPr>
            </w:pPr>
            <w:r>
              <w:rPr>
                <w:sz w:val="20"/>
                <w:szCs w:val="20"/>
              </w:rPr>
              <w:t xml:space="preserve">No</w:t>
            </w:r>
          </w:p>
        </w:tc>
        <w:tc>
          <w:tcPr>
            <w:tcW w:w="1500" w:type="dxa"/>
            <w:tcBorders>
              <w:top w:val="single" w:sz="4" w:space="0" w:color="auto"/>
              <w:left w:val="single" w:sz="4" w:space="0" w:color="auto"/>
              <w:bottom w:val="single" w:sz="4" w:space="0" w:color="auto"/>
              <w:right w:val="single" w:sz="4" w:space="0" w:color="auto"/>
            </w:tcBorders>
            <w:vAlign w:val="center"/>
          </w:tcPr>
          <w:p>
            <w:pPr>
              <w:spacing w:before="40" w:after="40"/>
              <w:jc w:val="center"/>
              <w:rPr>
                <w:sz w:val="20"/>
                <w:szCs w:val="20"/>
              </w:rPr>
            </w:pPr>
            <w:r>
              <w:rPr>
                <w:sz w:val="20"/>
                <w:szCs w:val="20"/>
              </w:rPr>
              <w:t xml:space="preserve">Sí</w:t>
            </w:r>
          </w:p>
        </w:tc>
      </w:tr>
      <w:tr>
        <w:trPr>
          <w:trHeight w:val="300"/>
        </w:trPr>
        <w:tc>
          <w:tcPr>
            <w:tcW w:w="3700" w:type="dxa"/>
            <w:tcBorders>
              <w:top w:val="single" w:sz="4" w:space="0" w:color="auto"/>
              <w:left w:val="single" w:sz="4" w:space="0" w:color="auto"/>
              <w:bottom w:val="single" w:sz="4" w:space="0" w:color="auto"/>
              <w:right w:val="single" w:sz="4" w:space="0" w:color="auto"/>
            </w:tcBorders>
            <w:vAlign w:val="center"/>
          </w:tcPr>
          <w:p>
            <w:pPr>
              <w:spacing w:before="40" w:after="40"/>
              <w:jc w:val="center"/>
              <w:rPr>
                <w:b/>
                <w:bCs/>
                <w:sz w:val="20"/>
                <w:szCs w:val="20"/>
              </w:rPr>
            </w:pPr>
            <w:r>
              <w:rPr>
                <w:b/>
                <w:bCs/>
                <w:sz w:val="20"/>
                <w:szCs w:val="20"/>
              </w:rPr>
              <w:t xml:space="preserve">Hasta Candelaria 220 kV</w:t>
            </w:r>
          </w:p>
        </w:tc>
        <w:tc>
          <w:tcPr>
            <w:tcW w:w="1000" w:type="dxa"/>
            <w:tcBorders>
              <w:top w:val="single" w:sz="4" w:space="0" w:color="auto"/>
              <w:left w:val="single" w:sz="4" w:space="0" w:color="auto"/>
              <w:bottom w:val="single" w:sz="4" w:space="0" w:color="auto"/>
              <w:right w:val="single" w:sz="4" w:space="0" w:color="auto"/>
            </w:tcBorders>
            <w:vAlign w:val="center"/>
          </w:tcPr>
          <w:p>
            <w:pPr>
              <w:spacing w:before="40" w:after="40"/>
              <w:jc w:val="center"/>
              <w:rPr>
                <w:b/>
                <w:bCs/>
                <w:sz w:val="20"/>
                <w:szCs w:val="20"/>
              </w:rPr>
            </w:pPr>
            <w:r>
              <w:rPr>
                <w:b/>
                <w:bCs/>
                <w:sz w:val="20"/>
                <w:szCs w:val="20"/>
              </w:rPr>
              <w:t xml:space="preserve"/>
            </w:r>
          </w:p>
        </w:tc>
        <w:tc>
          <w:tcPr>
            <w:tcW w:w="1150" w:type="dxa"/>
            <w:tcBorders>
              <w:top w:val="single" w:sz="4" w:space="0" w:color="auto"/>
              <w:left w:val="single" w:sz="4" w:space="0" w:color="auto"/>
              <w:bottom w:val="single" w:sz="4" w:space="0" w:color="auto"/>
              <w:right w:val="single" w:sz="4" w:space="0" w:color="auto"/>
            </w:tcBorders>
            <w:vAlign w:val="center"/>
          </w:tcPr>
          <w:p>
            <w:pPr>
              <w:spacing w:before="40" w:after="40"/>
              <w:jc w:val="center"/>
              <w:rPr>
                <w:b/>
                <w:bCs/>
                <w:sz w:val="20"/>
                <w:szCs w:val="20"/>
              </w:rPr>
            </w:pPr>
            <w:r>
              <w:rPr>
                <w:b/>
                <w:bCs/>
                <w:sz w:val="20"/>
                <w:szCs w:val="20"/>
              </w:rPr>
              <w:t xml:space="preserve">247,9</w:t>
            </w:r>
          </w:p>
        </w:tc>
        <w:tc>
          <w:tcPr>
            <w:tcW w:w="1050" w:type="dxa"/>
            <w:tcBorders>
              <w:top w:val="single" w:sz="4" w:space="0" w:color="auto"/>
              <w:left w:val="single" w:sz="4" w:space="0" w:color="auto"/>
              <w:bottom w:val="single" w:sz="4" w:space="0" w:color="auto"/>
              <w:right w:val="single" w:sz="4" w:space="0" w:color="auto"/>
            </w:tcBorders>
            <w:vAlign w:val="center"/>
          </w:tcPr>
          <w:p>
            <w:pPr>
              <w:spacing w:before="40" w:after="40"/>
              <w:jc w:val="center"/>
              <w:rPr>
                <w:b/>
                <w:bCs/>
                <w:sz w:val="20"/>
                <w:szCs w:val="20"/>
              </w:rPr>
            </w:pPr>
            <w:r>
              <w:rPr>
                <w:b/>
                <w:bCs/>
                <w:sz w:val="20"/>
                <w:szCs w:val="20"/>
              </w:rPr>
              <w:t xml:space="preserve">150,7</w:t>
            </w:r>
          </w:p>
        </w:tc>
        <w:tc>
          <w:tcPr>
            <w:tcW w:w="1250" w:type="dxa"/>
            <w:tcBorders>
              <w:top w:val="single" w:sz="4" w:space="0" w:color="auto"/>
              <w:left w:val="single" w:sz="4" w:space="0" w:color="auto"/>
              <w:bottom w:val="single" w:sz="4" w:space="0" w:color="auto"/>
              <w:right w:val="single" w:sz="4" w:space="0" w:color="auto"/>
            </w:tcBorders>
            <w:vAlign w:val="center"/>
          </w:tcPr>
          <w:p>
            <w:pPr>
              <w:spacing w:before="40" w:after="40"/>
              <w:jc w:val="center"/>
              <w:rPr>
                <w:b/>
                <w:bCs/>
                <w:sz w:val="20"/>
                <w:szCs w:val="20"/>
              </w:rPr>
            </w:pPr>
            <w:r>
              <w:rPr>
                <w:b/>
                <w:bCs/>
                <w:sz w:val="20"/>
                <w:szCs w:val="20"/>
              </w:rPr>
              <w:t xml:space="preserve"/>
            </w:r>
          </w:p>
        </w:tc>
        <w:tc>
          <w:tcPr>
            <w:tcW w:w="1500" w:type="dxa"/>
            <w:tcBorders>
              <w:top w:val="single" w:sz="4" w:space="0" w:color="auto"/>
              <w:left w:val="single" w:sz="4" w:space="0" w:color="auto"/>
              <w:bottom w:val="single" w:sz="4" w:space="0" w:color="auto"/>
              <w:right w:val="single" w:sz="4" w:space="0" w:color="auto"/>
            </w:tcBorders>
            <w:vAlign w:val="center"/>
          </w:tcPr>
          <w:p>
            <w:pPr>
              <w:spacing w:before="40" w:after="40"/>
              <w:jc w:val="center"/>
              <w:rPr>
                <w:b/>
                <w:bCs/>
                <w:sz w:val="20"/>
                <w:szCs w:val="20"/>
              </w:rPr>
            </w:pPr>
            <w:r>
              <w:rPr>
                <w:b/>
                <w:bCs/>
                <w:sz w:val="20"/>
                <w:szCs w:val="20"/>
              </w:rPr>
              <w:t xml:space="preserve">Seleccionado</w:t>
            </w:r>
          </w:p>
        </w:tc>
      </w:tr>
    </w:tbl>
    <w:p>
      <w:pPr>
        <w:pStyle w:val="Textoindependiente"/>
        <w:spacing w:after="0"/>
      </w:pPr>
    </w:p>
    <w:p>
      <w:pPr>
        <w:pStyle w:val="Textoindependiente"/>
        <w:spacing w:after="200" w:line="276" w:lineRule="auto"/>
        <w:ind w:left="140" w:right="272"/>
        <w:jc w:val="both"/>
      </w:pPr>
      <w:r>
        <w:t xml:space="preserve">Como se observa, para llegar a la subestación Ancoa 220 kV el camino directo tiene una longitud de 130,5 km y una distancia eléctrica de 222,0 ohm, mientras que el camino hasta Candelaria tiene una longitud de 247,9 km y una distancia eléctrica de 150,7 ohm. Incluso el mejor camino eléctrico hacia Ancoa sigue la misma ruta por San Fernando y Tinguiririca hasta Puente Negro y desde allí continúa por la línea Puente Negro – Colbún – Ancoa, con 286,1 km y 156,6 ohm, levemente superior a Candelaria. La metodología selecciona entonces Candelaria (Figura 3), y las inyecciones del medio de generación se valorizan al precio de nudo de una subestación ubicada en otra región.</w:t>
      </w:r>
    </w:p>
    <w:p>
      <w:pPr>
        <w:pStyle w:val="Textoindependiente"/>
        <w:spacing w:after="200" w:line="276" w:lineRule="auto"/>
        <w:ind w:left="140" w:right="272"/>
        <w:jc w:val="both"/>
      </w:pPr>
      <w:r>
        <w:t xml:space="preserve">En definitiva, el camino que finalmente toma la metodología parte en la barra de inyección La Palma 13 kV, sube por el transformador 66/13 kV a La Palma 66 kV, recorre las 12 líneas de 66 kV hasta San Fernando pasando por la barra Itahue 66 kV sin atravesar sus transformadores, sube a 154 kV y a 220 kV por los transformadores de San Fernando y Tinguiririca, y llega a la barra Candelaria 220 kV, que es la barra asignada.</w:t>
      </w:r>
    </w:p>
    <w:p>
      <w:pPr>
        <w:pStyle w:val="Textoindependiente"/>
        <w:spacing w:before="120"/>
        <w:jc w:val="center"/>
      </w:pPr>
      <w:r>
        <w:rPr>
          <w:noProof/>
        </w:rPr>
        <w:drawing>
          <wp:inline distT="0" distB="0" distL="0" distR="0">
            <wp:extent cx="5120640" cy="1852303"/>
            <wp:effectExtent l="0" t="0" r="0" b="0"/>
            <wp:docPr id="209" name="image_fig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 name="image_fig3.png"/>
                    <pic:cNvPicPr/>
                  </pic:nvPicPr>
                  <pic:blipFill>
                    <a:blip r:embed="rIdFig3"/>
                    <a:stretch>
                      <a:fillRect/>
                    </a:stretch>
                  </pic:blipFill>
                  <pic:spPr>
                    <a:xfrm>
                      <a:off x="0" y="0"/>
                      <a:ext cx="5120640" cy="1852303"/>
                    </a:xfrm>
                    <a:prstGeom prst="rect">
                      <a:avLst/>
                    </a:prstGeom>
                  </pic:spPr>
                </pic:pic>
              </a:graphicData>
            </a:graphic>
          </wp:inline>
        </w:drawing>
      </w:r>
    </w:p>
    <w:p>
      <w:pPr>
        <w:pStyle w:val="Textoindependiente"/>
        <w:spacing w:before="60" w:after="200"/>
        <w:jc w:val="center"/>
      </w:pPr>
      <w:r>
        <w:rPr>
          <w:i/>
          <w:iCs/>
          <w:color w:val="585858"/>
          <w:sz w:val="18"/>
          <w:szCs w:val="18"/>
        </w:rPr>
        <w:t xml:space="preserve">Figura 3. Longitud y distancia eléctrica de los caminos desde La Palma 13 kV hacia las subestaciones Itahue, Ancoa y Candelaria 220 kV.</w:t>
      </w:r>
    </w:p>
    <w:p>
      <w:pPr>
        <w:pStyle w:val="Textoindependiente"/>
        <w:spacing w:after="200" w:line="276" w:lineRule="auto"/>
        <w:ind w:left="140" w:right="272"/>
        <w:jc w:val="both"/>
      </w:pPr>
      <w:r>
        <w:t xml:space="preserve">Lo anterior genera los siguientes problemas en la aplicación de la metodología:</w:t>
      </w:r>
    </w:p>
    <w:p>
      <w:pPr>
        <w:pStyle w:val="Textoindependiente"/>
        <w:numPr>
          <w:ilvl w:val="0"/>
          <w:numId w:val="15"/>
        </w:numPr>
        <w:spacing w:after="100" w:line="276" w:lineRule="auto"/>
        <w:ind w:right="272"/>
        <w:jc w:val="both"/>
      </w:pPr>
      <w:r>
        <w:rPr>
          <w:b/>
          <w:bCs/>
        </w:rPr>
        <w:t xml:space="preserve">Resultados contraintuitivos para los coordinados:</w:t>
      </w:r>
      <w:r>
        <w:t xml:space="preserve"> el medio de generación se ubica a 35 km de la subestación Ancoa y, pese a ello, se le asigna una subestación a más de 200 km, en otra región, cuyo precio de nudo es distinto. Esta situación es difícil de explicar y motiva observaciones y discrepancias en los procesos de valorización.</w:t>
      </w:r>
    </w:p>
    <w:p>
      <w:pPr>
        <w:pStyle w:val="Textoindependiente"/>
        <w:numPr>
          <w:ilvl w:val="0"/>
          <w:numId w:val="15"/>
        </w:numPr>
        <w:spacing w:after="100" w:line="276" w:lineRule="auto"/>
        <w:ind w:right="272"/>
        <w:jc w:val="both"/>
      </w:pPr>
      <w:r>
        <w:rPr>
          <w:b/>
          <w:bCs/>
        </w:rPr>
        <w:t xml:space="preserve">Dependencia de un único parámetro:</w:t>
      </w:r>
      <w:r>
        <w:t xml:space="preserve"> la asignación queda determinada por la reactancia registrada para un solo tramo, el transformador Itahue 154/66 kV. Un valor elevado, sea por las características reales de las unidades o por un error en la base de instalaciones, basta para que el camino directo quede descartado, incluso después de combinar en paralelo las dos unidades existentes.</w:t>
      </w:r>
    </w:p>
    <w:p>
      <w:pPr>
        <w:pStyle w:val="Textoindependiente"/>
        <w:numPr>
          <w:ilvl w:val="0"/>
          <w:numId w:val="15"/>
        </w:numPr>
        <w:spacing w:after="100" w:line="276" w:lineRule="auto"/>
        <w:ind w:right="272"/>
        <w:jc w:val="both"/>
      </w:pPr>
      <w:r>
        <w:rPr>
          <w:b/>
          <w:bCs/>
        </w:rPr>
        <w:t xml:space="preserve">Inestabilidad del resultado en el tiempo:</w:t>
      </w:r>
      <w:r>
        <w:t xml:space="preserve"> la corrección del parámetro, el reemplazo del transformador o la entrada en operación de una nueva instalación pueden cambiar la barra asignada de un período a otro. En este mismo caso, la entrada en operación en 2026 de la subestación Nueva Nirivilo, con su transformador 220/66 kV de 67,9 ohm y las líneas de 220 kV hacia Mataquito e Itahue, hace que la barra más cercana pase a ser Itahue 220 kV, con 148,1 ohm, y Candelaria deje de ser la asignada, con el consiguiente cambio del precio de nudo aplicado a las inyecciones.</w:t>
      </w:r>
    </w:p>
    <w:p>
      <w:pPr>
        <w:pStyle w:val="Textoindependiente"/>
        <w:spacing w:after="200" w:line="276" w:lineRule="auto"/>
        <w:ind w:left="140" w:right="272"/>
        <w:jc w:val="both"/>
      </w:pPr>
      <w:r>
        <w:t xml:space="preserve">A lo anterior se suma la forma en que históricamente se ha llevado a cabo el proceso. En la práctica, barras como Temuco 66 kV se han homologado manualmente a la subestación del mismo emplazamiento, Temuco 220 kV, sin que la asignación provenga del cálculo de mínimo camino eléctrico, y en ocasiones con un resultado distinto del que este entrega. Esta práctica, si bien razonable desde el punto de vista físico, implica que la subestación asignada no siempre corresponde al resultado del cálculo, sin que exista un criterio documentado que indique cuándo se aplica la homologación manual y cuándo se respeta el resultado. Ello dificulta la trazabilidad del proceso y puede generar desconfianza en los coordinados, dado que existen casos en que lo asignado no refleja lo que entrega el cálculo y casos, como el de La Palma, en que sí lo refleja a pesar de ser contraintuitivo.</w:t>
      </w:r>
    </w:p>
    <w:p>
      <w:pPr>
        <w:pStyle w:val="Textoindependiente"/>
        <w:spacing w:after="0"/>
      </w:pPr>
    </w:p>
    <w:p w14:paraId="21526990" w14:textId="30D709FC" w:rsidR="00F43104" w:rsidRDefault="00B75564" w:rsidP="00F43104">
      <w:pPr>
        <w:pStyle w:val="Ttulo1"/>
        <w:numPr>
          <w:ilvl w:val="0"/>
          <w:numId w:val="8"/>
        </w:numPr>
        <w:tabs>
          <w:tab w:val="left" w:pos="572"/>
          <w:tab w:val="left" w:pos="573"/>
        </w:tabs>
        <w:spacing w:before="0" w:after="18"/>
      </w:pPr>
      <w:bookmarkStart w:id="115" w:name="_bookmark113"/>
      <w:bookmarkStart w:id="116" w:name="_Toc1149049"/>
      <w:bookmarkEnd w:id="115"/>
      <w:r>
        <w:t>ALTERNATIVAS</w:t>
      </w:r>
      <w:bookmarkEnd w:id="116"/>
    </w:p>
    <w:p w14:paraId="0997FBBF" w14:textId="77777777" w:rsidR="002926EF" w:rsidRDefault="006B5104">
      <w:pPr>
        <w:pStyle w:val="Textoindependiente"/>
        <w:spacing w:line="20" w:lineRule="exact"/>
        <w:ind w:left="111"/>
        <w:rPr>
          <w:sz w:val="2"/>
        </w:rPr>
      </w:pPr>
      <w:r>
        <w:rPr>
          <w:noProof/>
          <w:sz w:val="2"/>
        </w:rPr>
        <mc:AlternateContent>
          <mc:Choice Requires="wpg">
            <w:drawing>
              <wp:inline distT="0" distB="0" distL="0" distR="0" wp14:anchorId="D2747B5A" wp14:editId="2AF97D57">
                <wp:extent cx="6438900" cy="6350"/>
                <wp:effectExtent l="635" t="0" r="0" b="5080"/>
                <wp:docPr id="210" name="Group 4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438900" cy="6350"/>
                          <a:chOff x="0" y="0"/>
                          <a:chExt cx="10140" cy="10"/>
                        </a:xfrm>
                      </wpg:grpSpPr>
                      <wps:wsp>
                        <wps:cNvPr id="211" name="Rectangle 48"/>
                        <wps:cNvSpPr>
                          <a:spLocks noChangeArrowheads="1"/>
                        </wps:cNvSpPr>
                        <wps:spPr bwMode="auto">
                          <a:xfrm>
                            <a:off x="0" y="0"/>
                            <a:ext cx="10140" cy="10"/>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g:wgp>
                  </a:graphicData>
                </a:graphic>
              </wp:inline>
            </w:drawing>
          </mc:Choice>
          <mc:Fallback xmlns:w16cei="http://schemas.microsoft.com/office/word/2026/wordml/cei">
            <w:pict>
              <v:group w14:anchorId="2D1DA9DC" id="Group 47" o:spid="_x0000_s1026" style="width:507pt;height:.5pt;mso-position-horizontal-relative:char;mso-position-vertical-relative:line" coordsize="10140,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">
                <v:rect id="Rectangle 48" o:spid="_x0000_s1027" style="position:absolute;width:10140;height: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" fillcolor="black" stroked="f"/>
                <w10:anchorlock/>
              </v:group>
            </w:pict>
          </mc:Fallback>
        </mc:AlternateContent>
      </w:r>
    </w:p>
    <w:p>
      <w:pPr>
        <w:pStyle w:val="Textoindependiente"/>
        <w:spacing w:before="0" w:after="0"/>
        <w:rPr>
          <w:sz w:val="14"/>
        </w:rPr>
      </w:pPr>
    </w:p>
    <w:p>
      <w:pPr>
        <w:pStyle w:val="Textoindependiente"/>
        <w:spacing w:after="200" w:line="276" w:lineRule="auto"/>
        <w:ind w:left="140" w:right="272"/>
        <w:jc w:val="both"/>
      </w:pPr>
      <w:r>
        <w:t xml:space="preserve">Con el objeto de reducir el impacto de la situación descrita, se identifican las siguientes alternativas, no excluyentes entre sí:</w:t>
      </w:r>
    </w:p>
    <w:p>
      <w:pPr>
        <w:pStyle w:val="Textoindependiente"/>
        <w:numPr>
          <w:ilvl w:val="0"/>
          <w:numId w:val="15"/>
        </w:numPr>
        <w:spacing w:after="100" w:line="276" w:lineRule="auto"/>
        <w:ind w:right="272"/>
        <w:jc w:val="both"/>
      </w:pPr>
      <w:r>
        <w:t xml:space="preserve">Publicar, junto con la subestación asignada a cada medio de generación de pequeña escala, el camino eléctrico considerado y la distancia eléctrica a las subestaciones candidatas más próximas, de modo que los coordinados puedan verificar el resultado y anticipar las observaciones.</w:t>
      </w:r>
    </w:p>
    <w:p>
      <w:pPr>
        <w:pStyle w:val="Textoindependiente"/>
        <w:numPr>
          <w:ilvl w:val="0"/>
          <w:numId w:val="15"/>
        </w:numPr>
        <w:spacing w:after="100" w:line="276" w:lineRule="auto"/>
        <w:ind w:right="272"/>
        <w:jc w:val="both"/>
      </w:pPr>
      <w:r>
        <w:t xml:space="preserve">Validar los valores de reactancia de los transformadores de la base de instalaciones, en particular los de alta reactancia, como Itahue 154/66 kV y Temuco 220/66 kV, y los que corresponden a unidades en paralelo, y evaluar representar las unidades en paralelo por su reactancia equivalente, por ser estos los parámetros que determinan la asignación.</w:t>
      </w:r>
    </w:p>
    <w:p>
      <w:pPr>
        <w:pStyle w:val="Textoindependiente"/>
        <w:numPr>
          <w:ilvl w:val="0"/>
          <w:numId w:val="15"/>
        </w:numPr>
        <w:spacing w:after="100" w:line="276" w:lineRule="auto"/>
        <w:ind w:right="272"/>
        <w:jc w:val="both"/>
      </w:pPr>
      <w:r>
        <w:t xml:space="preserve">Formalizar y documentar el criterio con que actualmente se homologan manualmente barras como Temuco 66 kV a la subestación del mismo emplazamiento, de modo que la regla sea explícita, se aplique de manera uniforme a todos los casos equivalentes y pueda ser verificada por los coordinados, en lugar de depender de ajustes caso a caso.</w:t>
      </w:r>
    </w:p>
    <w:p>
      <w:pPr>
        <w:pStyle w:val="Textoindependiente"/>
        <w:numPr>
          <w:ilvl w:val="0"/>
          <w:numId w:val="15"/>
        </w:numPr>
        <w:spacing w:after="100" w:line="276" w:lineRule="auto"/>
        <w:ind w:right="272"/>
        <w:jc w:val="both"/>
      </w:pPr>
      <w:r>
        <w:t xml:space="preserve">Evaluar la incorporación de un criterio complementario para los casos en que el camino seleccionado rodee un camino directo de longitud notoriamente menor, por ejemplo privilegiando la subestación más cercana en distancia cuando la diferencia de distancia eléctrica respecto del camino seleccionado se explique únicamente por un transformador.</w:t>
      </w:r>
    </w:p>
    <w:p>
      <w:pPr>
        <w:pStyle w:val="Textoindependiente"/>
        <w:numPr>
          <w:ilvl w:val="0"/>
          <w:numId w:val="15"/>
        </w:numPr>
        <w:spacing w:after="100" w:line="276" w:lineRule="auto"/>
        <w:ind w:right="272"/>
        <w:jc w:val="both"/>
      </w:pPr>
      <w:r>
        <w:t xml:space="preserve">Documentar y comunicar a los coordinados el criterio de distancia eléctrica y su diferencia con la distancia geográfica, a fin de reducir las discrepancias originadas en la interpretación del concepto de subestación más cercana.</w:t>
      </w:r>
    </w:p>
    <w:sectPr w:rsidR="00F43104" w:rsidRPr="001A06AA" w:rsidSect="00E4237C">
      <w:headerReference w:type="default" r:id="rId9"/>
      <w:footerReference w:type="default" r:id="rId10"/>
      <w:pgSz w:w="12240" w:h="15840"/>
      <w:pgMar w:top="1740" w:right="1021" w:bottom="1276" w:left="1021" w:header="438" w:footer="495"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1909637" w14:textId="77777777" w:rsidR="00B07233" w:rsidRDefault="00B07233">
      <w:r>
        <w:separator/>
      </w:r>
    </w:p>
  </w:endnote>
  <w:endnote w:type="continuationSeparator" w:id="0">
    <w:p w14:paraId="45F9712B" w14:textId="77777777" w:rsidR="00B07233" w:rsidRDefault="00B0723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rlito">
    <w:altName w:val="Calibri"/>
    <w:charset w:val="00"/>
    <w:family w:val="swiss"/>
    <w:pitch w:val="variable"/>
  </w:font>
  <w:font w:name="Arial">
    <w:altName w:val="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mbria">
    <w:panose1 w:val="02040503050406030204"/>
    <w:charset w:val="00"/>
    <w:family w:val="roman"/>
    <w:pitch w:val="variable"/>
    <w:sig w:usb0="E00006FF" w:usb1="420024FF" w:usb2="02000000" w:usb3="00000000" w:csb0="0000019F" w:csb1="00000000"/>
  </w:font>
  <w:font w:name="Aptos Narrow">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BC4E63" w14:textId="0ADD472A" w:rsidR="00F15603" w:rsidRDefault="00F15603">
    <w:pPr>
      <w:pStyle w:val="Textoindependiente"/>
      <w:spacing w:line="14" w:lineRule="auto"/>
      <w:rPr>
        <w:sz w:val="20"/>
      </w:rPr>
    </w:pPr>
    <w:r>
      <w:rPr>
        <w:noProof/>
      </w:rPr>
      <mc:AlternateContent>
        <mc:Choice Requires="wps">
          <w:drawing>
            <wp:anchor distT="0" distB="0" distL="114300" distR="114300" simplePos="0" relativeHeight="487127552" behindDoc="1" locked="0" layoutInCell="1" allowOverlap="1" wp14:anchorId="5F0232AB" wp14:editId="65FFBAD2">
              <wp:simplePos x="0" y="0"/>
              <wp:positionH relativeFrom="page">
                <wp:posOffset>685800</wp:posOffset>
              </wp:positionH>
              <wp:positionV relativeFrom="page">
                <wp:posOffset>9566275</wp:posOffset>
              </wp:positionV>
              <wp:extent cx="6402070" cy="208915"/>
              <wp:effectExtent l="0" t="0" r="0" b="0"/>
              <wp:wrapNone/>
              <wp:docPr id="20" name="AutoShape 1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6402070" cy="208915"/>
                      </a:xfrm>
                      <a:custGeom>
                        <a:avLst/>
                        <a:gdLst>
                          <a:gd name="T0" fmla="+- 0 1090 1080"/>
                          <a:gd name="T1" fmla="*/ T0 w 10082"/>
                          <a:gd name="T2" fmla="+- 0 15065 15065"/>
                          <a:gd name="T3" fmla="*/ 15065 h 329"/>
                          <a:gd name="T4" fmla="+- 0 1080 1080"/>
                          <a:gd name="T5" fmla="*/ T4 w 10082"/>
                          <a:gd name="T6" fmla="+- 0 15065 15065"/>
                          <a:gd name="T7" fmla="*/ 15065 h 329"/>
                          <a:gd name="T8" fmla="+- 0 1080 1080"/>
                          <a:gd name="T9" fmla="*/ T8 w 10082"/>
                          <a:gd name="T10" fmla="+- 0 15384 15065"/>
                          <a:gd name="T11" fmla="*/ 15384 h 329"/>
                          <a:gd name="T12" fmla="+- 0 1090 1080"/>
                          <a:gd name="T13" fmla="*/ T12 w 10082"/>
                          <a:gd name="T14" fmla="+- 0 15384 15065"/>
                          <a:gd name="T15" fmla="*/ 15384 h 329"/>
                          <a:gd name="T16" fmla="+- 0 1090 1080"/>
                          <a:gd name="T17" fmla="*/ T16 w 10082"/>
                          <a:gd name="T18" fmla="+- 0 15065 15065"/>
                          <a:gd name="T19" fmla="*/ 15065 h 329"/>
                          <a:gd name="T20" fmla="+- 0 10075 1080"/>
                          <a:gd name="T21" fmla="*/ T20 w 10082"/>
                          <a:gd name="T22" fmla="+- 0 15065 15065"/>
                          <a:gd name="T23" fmla="*/ 15065 h 329"/>
                          <a:gd name="T24" fmla="+- 0 10065 1080"/>
                          <a:gd name="T25" fmla="*/ T24 w 10082"/>
                          <a:gd name="T26" fmla="+- 0 15065 15065"/>
                          <a:gd name="T27" fmla="*/ 15065 h 329"/>
                          <a:gd name="T28" fmla="+- 0 1090 1080"/>
                          <a:gd name="T29" fmla="*/ T28 w 10082"/>
                          <a:gd name="T30" fmla="+- 0 15065 15065"/>
                          <a:gd name="T31" fmla="*/ 15065 h 329"/>
                          <a:gd name="T32" fmla="+- 0 1090 1080"/>
                          <a:gd name="T33" fmla="*/ T32 w 10082"/>
                          <a:gd name="T34" fmla="+- 0 15074 15065"/>
                          <a:gd name="T35" fmla="*/ 15074 h 329"/>
                          <a:gd name="T36" fmla="+- 0 10065 1080"/>
                          <a:gd name="T37" fmla="*/ T36 w 10082"/>
                          <a:gd name="T38" fmla="+- 0 15074 15065"/>
                          <a:gd name="T39" fmla="*/ 15074 h 329"/>
                          <a:gd name="T40" fmla="+- 0 10075 1080"/>
                          <a:gd name="T41" fmla="*/ T40 w 10082"/>
                          <a:gd name="T42" fmla="+- 0 15074 15065"/>
                          <a:gd name="T43" fmla="*/ 15074 h 329"/>
                          <a:gd name="T44" fmla="+- 0 10075 1080"/>
                          <a:gd name="T45" fmla="*/ T44 w 10082"/>
                          <a:gd name="T46" fmla="+- 0 15065 15065"/>
                          <a:gd name="T47" fmla="*/ 15065 h 329"/>
                          <a:gd name="T48" fmla="+- 0 11162 1080"/>
                          <a:gd name="T49" fmla="*/ T48 w 10082"/>
                          <a:gd name="T50" fmla="+- 0 15384 15065"/>
                          <a:gd name="T51" fmla="*/ 15384 h 329"/>
                          <a:gd name="T52" fmla="+- 0 11152 1080"/>
                          <a:gd name="T53" fmla="*/ T52 w 10082"/>
                          <a:gd name="T54" fmla="+- 0 15384 15065"/>
                          <a:gd name="T55" fmla="*/ 15384 h 329"/>
                          <a:gd name="T56" fmla="+- 0 10065 1080"/>
                          <a:gd name="T57" fmla="*/ T56 w 10082"/>
                          <a:gd name="T58" fmla="+- 0 15384 15065"/>
                          <a:gd name="T59" fmla="*/ 15384 h 329"/>
                          <a:gd name="T60" fmla="+- 0 10060 1080"/>
                          <a:gd name="T61" fmla="*/ T60 w 10082"/>
                          <a:gd name="T62" fmla="+- 0 15384 15065"/>
                          <a:gd name="T63" fmla="*/ 15384 h 329"/>
                          <a:gd name="T64" fmla="+- 0 10060 1080"/>
                          <a:gd name="T65" fmla="*/ T64 w 10082"/>
                          <a:gd name="T66" fmla="+- 0 15384 15065"/>
                          <a:gd name="T67" fmla="*/ 15384 h 329"/>
                          <a:gd name="T68" fmla="+- 0 10051 1080"/>
                          <a:gd name="T69" fmla="*/ T68 w 10082"/>
                          <a:gd name="T70" fmla="+- 0 15384 15065"/>
                          <a:gd name="T71" fmla="*/ 15384 h 329"/>
                          <a:gd name="T72" fmla="+- 0 1090 1080"/>
                          <a:gd name="T73" fmla="*/ T72 w 10082"/>
                          <a:gd name="T74" fmla="+- 0 15384 15065"/>
                          <a:gd name="T75" fmla="*/ 15384 h 329"/>
                          <a:gd name="T76" fmla="+- 0 1080 1080"/>
                          <a:gd name="T77" fmla="*/ T76 w 10082"/>
                          <a:gd name="T78" fmla="+- 0 15384 15065"/>
                          <a:gd name="T79" fmla="*/ 15384 h 329"/>
                          <a:gd name="T80" fmla="+- 0 1080 1080"/>
                          <a:gd name="T81" fmla="*/ T80 w 10082"/>
                          <a:gd name="T82" fmla="+- 0 15394 15065"/>
                          <a:gd name="T83" fmla="*/ 15394 h 329"/>
                          <a:gd name="T84" fmla="+- 0 1090 1080"/>
                          <a:gd name="T85" fmla="*/ T84 w 10082"/>
                          <a:gd name="T86" fmla="+- 0 15394 15065"/>
                          <a:gd name="T87" fmla="*/ 15394 h 329"/>
                          <a:gd name="T88" fmla="+- 0 10051 1080"/>
                          <a:gd name="T89" fmla="*/ T88 w 10082"/>
                          <a:gd name="T90" fmla="+- 0 15394 15065"/>
                          <a:gd name="T91" fmla="*/ 15394 h 329"/>
                          <a:gd name="T92" fmla="+- 0 10060 1080"/>
                          <a:gd name="T93" fmla="*/ T92 w 10082"/>
                          <a:gd name="T94" fmla="+- 0 15394 15065"/>
                          <a:gd name="T95" fmla="*/ 15394 h 329"/>
                          <a:gd name="T96" fmla="+- 0 10060 1080"/>
                          <a:gd name="T97" fmla="*/ T96 w 10082"/>
                          <a:gd name="T98" fmla="+- 0 15394 15065"/>
                          <a:gd name="T99" fmla="*/ 15394 h 329"/>
                          <a:gd name="T100" fmla="+- 0 10065 1080"/>
                          <a:gd name="T101" fmla="*/ T100 w 10082"/>
                          <a:gd name="T102" fmla="+- 0 15394 15065"/>
                          <a:gd name="T103" fmla="*/ 15394 h 329"/>
                          <a:gd name="T104" fmla="+- 0 11152 1080"/>
                          <a:gd name="T105" fmla="*/ T104 w 10082"/>
                          <a:gd name="T106" fmla="+- 0 15394 15065"/>
                          <a:gd name="T107" fmla="*/ 15394 h 329"/>
                          <a:gd name="T108" fmla="+- 0 11162 1080"/>
                          <a:gd name="T109" fmla="*/ T108 w 10082"/>
                          <a:gd name="T110" fmla="+- 0 15394 15065"/>
                          <a:gd name="T111" fmla="*/ 15394 h 329"/>
                          <a:gd name="T112" fmla="+- 0 11162 1080"/>
                          <a:gd name="T113" fmla="*/ T112 w 10082"/>
                          <a:gd name="T114" fmla="+- 0 15384 15065"/>
                          <a:gd name="T115" fmla="*/ 15384 h 329"/>
                          <a:gd name="T116" fmla="+- 0 11162 1080"/>
                          <a:gd name="T117" fmla="*/ T116 w 10082"/>
                          <a:gd name="T118" fmla="+- 0 15065 15065"/>
                          <a:gd name="T119" fmla="*/ 15065 h 329"/>
                          <a:gd name="T120" fmla="+- 0 11152 1080"/>
                          <a:gd name="T121" fmla="*/ T120 w 10082"/>
                          <a:gd name="T122" fmla="+- 0 15065 15065"/>
                          <a:gd name="T123" fmla="*/ 15065 h 329"/>
                          <a:gd name="T124" fmla="+- 0 11152 1080"/>
                          <a:gd name="T125" fmla="*/ T124 w 10082"/>
                          <a:gd name="T126" fmla="+- 0 15065 15065"/>
                          <a:gd name="T127" fmla="*/ 15065 h 329"/>
                          <a:gd name="T128" fmla="+- 0 10075 1080"/>
                          <a:gd name="T129" fmla="*/ T128 w 10082"/>
                          <a:gd name="T130" fmla="+- 0 15065 15065"/>
                          <a:gd name="T131" fmla="*/ 15065 h 329"/>
                          <a:gd name="T132" fmla="+- 0 10075 1080"/>
                          <a:gd name="T133" fmla="*/ T132 w 10082"/>
                          <a:gd name="T134" fmla="+- 0 15074 15065"/>
                          <a:gd name="T135" fmla="*/ 15074 h 329"/>
                          <a:gd name="T136" fmla="+- 0 11152 1080"/>
                          <a:gd name="T137" fmla="*/ T136 w 10082"/>
                          <a:gd name="T138" fmla="+- 0 15074 15065"/>
                          <a:gd name="T139" fmla="*/ 15074 h 329"/>
                          <a:gd name="T140" fmla="+- 0 11152 1080"/>
                          <a:gd name="T141" fmla="*/ T140 w 10082"/>
                          <a:gd name="T142" fmla="+- 0 15384 15065"/>
                          <a:gd name="T143" fmla="*/ 15384 h 329"/>
                          <a:gd name="T144" fmla="+- 0 11162 1080"/>
                          <a:gd name="T145" fmla="*/ T144 w 10082"/>
                          <a:gd name="T146" fmla="+- 0 15384 15065"/>
                          <a:gd name="T147" fmla="*/ 15384 h 329"/>
                          <a:gd name="T148" fmla="+- 0 11162 1080"/>
                          <a:gd name="T149" fmla="*/ T148 w 10082"/>
                          <a:gd name="T150" fmla="+- 0 15065 15065"/>
                          <a:gd name="T151" fmla="*/ 15065 h 329"/>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 ang="0">
                            <a:pos x="T69" y="T71"/>
                          </a:cxn>
                          <a:cxn ang="0">
                            <a:pos x="T73" y="T75"/>
                          </a:cxn>
                          <a:cxn ang="0">
                            <a:pos x="T77" y="T79"/>
                          </a:cxn>
                          <a:cxn ang="0">
                            <a:pos x="T81" y="T83"/>
                          </a:cxn>
                          <a:cxn ang="0">
                            <a:pos x="T85" y="T87"/>
                          </a:cxn>
                          <a:cxn ang="0">
                            <a:pos x="T89" y="T91"/>
                          </a:cxn>
                          <a:cxn ang="0">
                            <a:pos x="T93" y="T95"/>
                          </a:cxn>
                          <a:cxn ang="0">
                            <a:pos x="T97" y="T99"/>
                          </a:cxn>
                          <a:cxn ang="0">
                            <a:pos x="T101" y="T103"/>
                          </a:cxn>
                          <a:cxn ang="0">
                            <a:pos x="T105" y="T107"/>
                          </a:cxn>
                          <a:cxn ang="0">
                            <a:pos x="T109" y="T111"/>
                          </a:cxn>
                          <a:cxn ang="0">
                            <a:pos x="T113" y="T115"/>
                          </a:cxn>
                          <a:cxn ang="0">
                            <a:pos x="T117" y="T119"/>
                          </a:cxn>
                          <a:cxn ang="0">
                            <a:pos x="T121" y="T123"/>
                          </a:cxn>
                          <a:cxn ang="0">
                            <a:pos x="T125" y="T127"/>
                          </a:cxn>
                          <a:cxn ang="0">
                            <a:pos x="T129" y="T131"/>
                          </a:cxn>
                          <a:cxn ang="0">
                            <a:pos x="T133" y="T135"/>
                          </a:cxn>
                          <a:cxn ang="0">
                            <a:pos x="T137" y="T139"/>
                          </a:cxn>
                          <a:cxn ang="0">
                            <a:pos x="T141" y="T143"/>
                          </a:cxn>
                          <a:cxn ang="0">
                            <a:pos x="T145" y="T147"/>
                          </a:cxn>
                          <a:cxn ang="0">
                            <a:pos x="T149" y="T151"/>
                          </a:cxn>
                        </a:cxnLst>
                        <a:rect l="0" t="0" r="r" b="b"/>
                        <a:pathLst>
                          <a:path w="10082" h="329">
                            <a:moveTo>
                              <a:pt x="10" y="0"/>
                            </a:moveTo>
                            <a:lnTo>
                              <a:pt x="0" y="0"/>
                            </a:lnTo>
                            <a:lnTo>
                              <a:pt x="0" y="319"/>
                            </a:lnTo>
                            <a:lnTo>
                              <a:pt x="10" y="319"/>
                            </a:lnTo>
                            <a:lnTo>
                              <a:pt x="10" y="0"/>
                            </a:lnTo>
                            <a:close/>
                            <a:moveTo>
                              <a:pt x="8995" y="0"/>
                            </a:moveTo>
                            <a:lnTo>
                              <a:pt x="8985" y="0"/>
                            </a:lnTo>
                            <a:lnTo>
                              <a:pt x="10" y="0"/>
                            </a:lnTo>
                            <a:lnTo>
                              <a:pt x="10" y="9"/>
                            </a:lnTo>
                            <a:lnTo>
                              <a:pt x="8985" y="9"/>
                            </a:lnTo>
                            <a:lnTo>
                              <a:pt x="8995" y="9"/>
                            </a:lnTo>
                            <a:lnTo>
                              <a:pt x="8995" y="0"/>
                            </a:lnTo>
                            <a:close/>
                            <a:moveTo>
                              <a:pt x="10082" y="319"/>
                            </a:moveTo>
                            <a:lnTo>
                              <a:pt x="10072" y="319"/>
                            </a:lnTo>
                            <a:lnTo>
                              <a:pt x="8985" y="319"/>
                            </a:lnTo>
                            <a:lnTo>
                              <a:pt x="8980" y="319"/>
                            </a:lnTo>
                            <a:lnTo>
                              <a:pt x="8971" y="319"/>
                            </a:lnTo>
                            <a:lnTo>
                              <a:pt x="10" y="319"/>
                            </a:lnTo>
                            <a:lnTo>
                              <a:pt x="0" y="319"/>
                            </a:lnTo>
                            <a:lnTo>
                              <a:pt x="0" y="329"/>
                            </a:lnTo>
                            <a:lnTo>
                              <a:pt x="10" y="329"/>
                            </a:lnTo>
                            <a:lnTo>
                              <a:pt x="8971" y="329"/>
                            </a:lnTo>
                            <a:lnTo>
                              <a:pt x="8980" y="329"/>
                            </a:lnTo>
                            <a:lnTo>
                              <a:pt x="8985" y="329"/>
                            </a:lnTo>
                            <a:lnTo>
                              <a:pt x="10072" y="329"/>
                            </a:lnTo>
                            <a:lnTo>
                              <a:pt x="10082" y="329"/>
                            </a:lnTo>
                            <a:lnTo>
                              <a:pt x="10082" y="319"/>
                            </a:lnTo>
                            <a:close/>
                            <a:moveTo>
                              <a:pt x="10082" y="0"/>
                            </a:moveTo>
                            <a:lnTo>
                              <a:pt x="10072" y="0"/>
                            </a:lnTo>
                            <a:lnTo>
                              <a:pt x="8995" y="0"/>
                            </a:lnTo>
                            <a:lnTo>
                              <a:pt x="8995" y="9"/>
                            </a:lnTo>
                            <a:lnTo>
                              <a:pt x="10072" y="9"/>
                            </a:lnTo>
                            <a:lnTo>
                              <a:pt x="10072" y="319"/>
                            </a:lnTo>
                            <a:lnTo>
                              <a:pt x="10082" y="319"/>
                            </a:lnTo>
                            <a:lnTo>
                              <a:pt x="10082" y="0"/>
                            </a:lnTo>
                            <a:close/>
                          </a:path>
                        </a:pathLst>
                      </a:custGeom>
                      <a:solidFill>
                        <a:srgbClr val="006FC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2E4A5314" id="AutoShape 12" o:spid="_x0000_s1026" style="position:absolute;margin-left:54pt;margin-top:753.25pt;width:504.1pt;height:16.45pt;z-index:-1618892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coordsize="10082,32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" path="m10,l,,,319r10,l10,xm8995,r-10,l10,r,9l8985,9r10,l8995,xm10082,319r-10,l8985,319r-5,l8971,319,10,319,,319r,10l10,329r8961,l8980,329r5,l10072,329r10,l10082,319xm10082,r-10,l8995,r,9l10072,9r,310l10082,319r,-319xe" fillcolor="#006fc0" stroked="f">
              <v:path arrowok="t" o:connecttype="custom" o:connectlocs="6350,9566275;0,9566275;0,9768840;6350,9768840;6350,9566275;5711825,9566275;5705475,9566275;6350,9566275;6350,9571990;5705475,9571990;5711825,9571990;5711825,9566275;6402070,9768840;6395720,9768840;5705475,9768840;5702300,9768840;5702300,9768840;5696585,9768840;6350,9768840;0,9768840;0,9775190;6350,9775190;5696585,9775190;5702300,9775190;5702300,9775190;5705475,9775190;6395720,9775190;6402070,9775190;6402070,9768840;6402070,9566275;6395720,9566275;6395720,9566275;5711825,9566275;5711825,9571990;6395720,9571990;6395720,9768840;6402070,9768840;6402070,9566275" o:connectangles="0,0,0,0,0,0,0,0,0,0,0,0,0,0,0,0,0,0,0,0,0,0,0,0,0,0,0,0,0,0,0,0,0,0,0,0,0,0"/>
              <w10:wrap anchorx="page" anchory="page"/>
            </v:shape>
          </w:pict>
        </mc:Fallback>
      </mc:AlternateContent>
    </w:r>
    <w:r>
      <w:rPr>
        <w:noProof/>
      </w:rPr>
      <mc:AlternateContent>
        <mc:Choice Requires="wps">
          <w:drawing>
            <wp:anchor distT="0" distB="0" distL="114300" distR="114300" simplePos="0" relativeHeight="487128576" behindDoc="1" locked="0" layoutInCell="1" allowOverlap="1" wp14:anchorId="353D7519" wp14:editId="1772C2D2">
              <wp:simplePos x="0" y="0"/>
              <wp:positionH relativeFrom="page">
                <wp:posOffset>6667500</wp:posOffset>
              </wp:positionH>
              <wp:positionV relativeFrom="page">
                <wp:posOffset>9562465</wp:posOffset>
              </wp:positionV>
              <wp:extent cx="140335" cy="153670"/>
              <wp:effectExtent l="0" t="0" r="0" b="0"/>
              <wp:wrapNone/>
              <wp:docPr id="18"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40335" cy="1536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4048D31" w14:textId="77777777" w:rsidR="00F15603" w:rsidRDefault="00F15603">
                          <w:pPr>
                            <w:spacing w:before="14"/>
                            <w:ind w:left="60"/>
                            <w:rPr>
                              <w:rFonts w:ascii="Arial"/>
                              <w:sz w:val="18"/>
                            </w:rPr>
                          </w:pPr>
                          <w:r>
                            <w:fldChar w:fldCharType="begin"/>
                          </w:r>
                          <w:r>
                            <w:rPr>
                              <w:rFonts w:ascii="Arial"/>
                              <w:color w:val="808080"/>
                              <w:w w:val="99"/>
                              <w:sz w:val="18"/>
                            </w:rPr>
                            <w:instrText xml:space="preserve"> PAGE </w:instrText>
                          </w:r>
                          <w:r>
                            <w:fldChar w:fldCharType="separate"/>
                          </w:r>
                          <w:r>
                            <w:t>2</w:t>
                          </w:r>
                          <w:r>
                            <w:fldChar w:fldCharType="end"/>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353D7519" id="_x0000_t202" coordsize="21600,21600" o:spt="202" path="m,l,21600r21600,l21600,xe">
              <v:stroke joinstyle="miter"/>
              <v:path gradientshapeok="t" o:connecttype="rect"/>
            </v:shapetype>
            <v:shape id="Text Box 10" o:spid="_x0000_s1026" type="#_x0000_t202" style="position:absolute;margin-left:525pt;margin-top:752.95pt;width:11.05pt;height:12.1pt;z-index:-1618790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" filled="f" stroked="f">
              <v:textbox inset="0,0,0,0">
                <w:txbxContent>
                  <w:p w14:paraId="44048D31" w14:textId="77777777" w:rsidR="00F15603" w:rsidRDefault="00F15603">
                    <w:pPr>
                      <w:spacing w:before="14"/>
                      <w:ind w:left="60"/>
                      <w:rPr>
                        <w:rFonts w:ascii="Arial"/>
                        <w:sz w:val="18"/>
                      </w:rPr>
                    </w:pPr>
                    <w:r>
                      <w:fldChar w:fldCharType="begin"/>
                    </w:r>
                    <w:r>
                      <w:rPr>
                        <w:rFonts w:ascii="Arial"/>
                        <w:color w:val="808080"/>
                        <w:w w:val="99"/>
                        <w:sz w:val="18"/>
                      </w:rPr>
                      <w:instrText xml:space="preserve"> PAGE </w:instrText>
                    </w:r>
                    <w:r>
                      <w:fldChar w:fldCharType="separate"/>
                    </w:r>
                    <w:r>
                      <w:t>2</w:t>
                    </w:r>
                    <w:r>
                      <w:fldChar w:fldCharType="end"/>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A7BD77D" w14:textId="77777777" w:rsidR="00B07233" w:rsidRDefault="00B07233">
      <w:r>
        <w:separator/>
      </w:r>
    </w:p>
  </w:footnote>
  <w:footnote w:type="continuationSeparator" w:id="0">
    <w:p w14:paraId="19EEBE8B" w14:textId="77777777" w:rsidR="00B07233" w:rsidRDefault="00B0723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2DF205" w14:textId="77777777" w:rsidR="00F15603" w:rsidRDefault="00F15603">
    <w:pPr>
      <w:pStyle w:val="Textoindependiente"/>
      <w:spacing w:line="14" w:lineRule="auto"/>
      <w:rPr>
        <w:sz w:val="20"/>
      </w:rPr>
    </w:pPr>
    <w:r>
      <w:rPr>
        <w:noProof/>
      </w:rPr>
      <w:drawing>
        <wp:anchor distT="0" distB="0" distL="0" distR="0" simplePos="0" relativeHeight="487127040" behindDoc="1" locked="0" layoutInCell="1" allowOverlap="1" wp14:anchorId="73C835A4" wp14:editId="62BED6BA">
          <wp:simplePos x="0" y="0"/>
          <wp:positionH relativeFrom="page">
            <wp:posOffset>5713016</wp:posOffset>
          </wp:positionH>
          <wp:positionV relativeFrom="page">
            <wp:posOffset>277985</wp:posOffset>
          </wp:positionV>
          <wp:extent cx="1324527" cy="832502"/>
          <wp:effectExtent l="0" t="0" r="0" b="0"/>
          <wp:wrapNone/>
          <wp:docPr id="1024371557" name="Imagen 10243715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2.jpeg"/>
                  <pic:cNvPicPr/>
                </pic:nvPicPr>
                <pic:blipFill>
                  <a:blip r:embed="rId1" cstate="print"/>
                  <a:stretch>
                    <a:fillRect/>
                  </a:stretch>
                </pic:blipFill>
                <pic:spPr>
                  <a:xfrm>
                    <a:off x="0" y="0"/>
                    <a:ext cx="1324527" cy="832502"/>
                  </a:xfrm>
                  <a:prstGeom prst="rect">
                    <a:avLst/>
                  </a:prstGeom>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62659F"/>
    <w:multiLevelType w:val="multilevel"/>
    <w:tmpl w:val="0D76C006"/>
    <w:lvl w:ilvl="0">
      <w:start w:val="3"/>
      <w:numFmt w:val="decimal"/>
      <w:lvlText w:val="%1"/>
      <w:lvlJc w:val="left"/>
      <w:pPr>
        <w:ind w:left="716" w:hanging="577"/>
      </w:pPr>
      <w:rPr>
        <w:rFonts w:hint="default"/>
        <w:lang w:val="es-ES" w:eastAsia="en-US" w:bidi="ar-SA"/>
      </w:rPr>
    </w:lvl>
    <w:lvl w:ilvl="1">
      <w:start w:val="1"/>
      <w:numFmt w:val="decimal"/>
      <w:lvlText w:val="%1.%2"/>
      <w:lvlJc w:val="left"/>
      <w:pPr>
        <w:ind w:left="716" w:hanging="577"/>
      </w:pPr>
      <w:rPr>
        <w:rFonts w:ascii="Carlito" w:eastAsia="Carlito" w:hAnsi="Carlito" w:cs="Carlito" w:hint="default"/>
        <w:b/>
        <w:bCs/>
        <w:spacing w:val="-1"/>
        <w:w w:val="99"/>
        <w:sz w:val="24"/>
        <w:szCs w:val="24"/>
        <w:lang w:val="es-ES" w:eastAsia="en-US" w:bidi="ar-SA"/>
      </w:rPr>
    </w:lvl>
    <w:lvl w:ilvl="2">
      <w:start w:val="1"/>
      <w:numFmt w:val="decimal"/>
      <w:lvlText w:val="%1.%2.%3"/>
      <w:lvlJc w:val="left"/>
      <w:pPr>
        <w:ind w:left="860" w:hanging="721"/>
      </w:pPr>
      <w:rPr>
        <w:rFonts w:ascii="Arial" w:eastAsia="Arial" w:hAnsi="Arial" w:cs="Arial" w:hint="default"/>
        <w:b/>
        <w:bCs/>
        <w:spacing w:val="-1"/>
        <w:w w:val="99"/>
        <w:sz w:val="20"/>
        <w:szCs w:val="20"/>
        <w:lang w:val="es-ES" w:eastAsia="en-US" w:bidi="ar-SA"/>
      </w:rPr>
    </w:lvl>
    <w:lvl w:ilvl="3">
      <w:start w:val="1"/>
      <w:numFmt w:val="upperRoman"/>
      <w:lvlText w:val="%4."/>
      <w:lvlJc w:val="right"/>
      <w:pPr>
        <w:ind w:left="860" w:hanging="471"/>
      </w:pPr>
      <w:rPr>
        <w:rFonts w:hint="default"/>
        <w:spacing w:val="-1"/>
        <w:w w:val="100"/>
        <w:sz w:val="22"/>
        <w:szCs w:val="22"/>
        <w:lang w:val="es-ES" w:eastAsia="en-US" w:bidi="ar-SA"/>
      </w:rPr>
    </w:lvl>
    <w:lvl w:ilvl="4">
      <w:numFmt w:val="bullet"/>
      <w:lvlText w:val="•"/>
      <w:lvlJc w:val="left"/>
      <w:pPr>
        <w:ind w:left="4053" w:hanging="471"/>
      </w:pPr>
      <w:rPr>
        <w:rFonts w:hint="default"/>
        <w:lang w:val="es-ES" w:eastAsia="en-US" w:bidi="ar-SA"/>
      </w:rPr>
    </w:lvl>
    <w:lvl w:ilvl="5">
      <w:numFmt w:val="bullet"/>
      <w:lvlText w:val="•"/>
      <w:lvlJc w:val="left"/>
      <w:pPr>
        <w:ind w:left="5117" w:hanging="471"/>
      </w:pPr>
      <w:rPr>
        <w:rFonts w:hint="default"/>
        <w:lang w:val="es-ES" w:eastAsia="en-US" w:bidi="ar-SA"/>
      </w:rPr>
    </w:lvl>
    <w:lvl w:ilvl="6">
      <w:numFmt w:val="bullet"/>
      <w:lvlText w:val="•"/>
      <w:lvlJc w:val="left"/>
      <w:pPr>
        <w:ind w:left="6182" w:hanging="471"/>
      </w:pPr>
      <w:rPr>
        <w:rFonts w:hint="default"/>
        <w:lang w:val="es-ES" w:eastAsia="en-US" w:bidi="ar-SA"/>
      </w:rPr>
    </w:lvl>
    <w:lvl w:ilvl="7">
      <w:numFmt w:val="bullet"/>
      <w:lvlText w:val="•"/>
      <w:lvlJc w:val="left"/>
      <w:pPr>
        <w:ind w:left="7246" w:hanging="471"/>
      </w:pPr>
      <w:rPr>
        <w:rFonts w:hint="default"/>
        <w:lang w:val="es-ES" w:eastAsia="en-US" w:bidi="ar-SA"/>
      </w:rPr>
    </w:lvl>
    <w:lvl w:ilvl="8">
      <w:numFmt w:val="bullet"/>
      <w:lvlText w:val="•"/>
      <w:lvlJc w:val="left"/>
      <w:pPr>
        <w:ind w:left="8311" w:hanging="471"/>
      </w:pPr>
      <w:rPr>
        <w:rFonts w:hint="default"/>
        <w:lang w:val="es-ES" w:eastAsia="en-US" w:bidi="ar-SA"/>
      </w:rPr>
    </w:lvl>
  </w:abstractNum>
  <w:abstractNum w:abstractNumId="1" w15:restartNumberingAfterBreak="0">
    <w:nsid w:val="05041E85"/>
    <w:multiLevelType w:val="hybridMultilevel"/>
    <w:tmpl w:val="23281F64"/>
    <w:lvl w:ilvl="0" w:tplc="835AA648">
      <w:numFmt w:val="bullet"/>
      <w:lvlText w:val="o"/>
      <w:lvlJc w:val="left"/>
      <w:pPr>
        <w:ind w:left="1580" w:hanging="360"/>
      </w:pPr>
      <w:rPr>
        <w:rFonts w:ascii="Courier New" w:eastAsia="Courier New" w:hAnsi="Courier New" w:cs="Courier New" w:hint="default"/>
        <w:w w:val="100"/>
        <w:sz w:val="22"/>
        <w:szCs w:val="22"/>
        <w:lang w:val="es-ES" w:eastAsia="en-US" w:bidi="ar-SA"/>
      </w:rPr>
    </w:lvl>
    <w:lvl w:ilvl="1" w:tplc="C5D4D62E">
      <w:numFmt w:val="bullet"/>
      <w:lvlText w:val=""/>
      <w:lvlJc w:val="left"/>
      <w:pPr>
        <w:ind w:left="2300" w:hanging="360"/>
      </w:pPr>
      <w:rPr>
        <w:rFonts w:ascii="Wingdings" w:eastAsia="Wingdings" w:hAnsi="Wingdings" w:cs="Wingdings" w:hint="default"/>
        <w:w w:val="100"/>
        <w:sz w:val="22"/>
        <w:szCs w:val="22"/>
        <w:lang w:val="es-ES" w:eastAsia="en-US" w:bidi="ar-SA"/>
      </w:rPr>
    </w:lvl>
    <w:lvl w:ilvl="2" w:tplc="2C504FAE">
      <w:numFmt w:val="bullet"/>
      <w:lvlText w:val=""/>
      <w:lvlJc w:val="left"/>
      <w:pPr>
        <w:ind w:left="3021" w:hanging="361"/>
      </w:pPr>
      <w:rPr>
        <w:rFonts w:ascii="Symbol" w:eastAsia="Symbol" w:hAnsi="Symbol" w:cs="Symbol" w:hint="default"/>
        <w:w w:val="100"/>
        <w:sz w:val="22"/>
        <w:szCs w:val="22"/>
        <w:lang w:val="es-ES" w:eastAsia="en-US" w:bidi="ar-SA"/>
      </w:rPr>
    </w:lvl>
    <w:lvl w:ilvl="3" w:tplc="31889078">
      <w:numFmt w:val="bullet"/>
      <w:lvlText w:val="•"/>
      <w:lvlJc w:val="left"/>
      <w:pPr>
        <w:ind w:left="3947" w:hanging="361"/>
      </w:pPr>
      <w:rPr>
        <w:rFonts w:hint="default"/>
        <w:lang w:val="es-ES" w:eastAsia="en-US" w:bidi="ar-SA"/>
      </w:rPr>
    </w:lvl>
    <w:lvl w:ilvl="4" w:tplc="F634C3F6">
      <w:numFmt w:val="bullet"/>
      <w:lvlText w:val="•"/>
      <w:lvlJc w:val="left"/>
      <w:pPr>
        <w:ind w:left="4875" w:hanging="361"/>
      </w:pPr>
      <w:rPr>
        <w:rFonts w:hint="default"/>
        <w:lang w:val="es-ES" w:eastAsia="en-US" w:bidi="ar-SA"/>
      </w:rPr>
    </w:lvl>
    <w:lvl w:ilvl="5" w:tplc="6CC09186">
      <w:numFmt w:val="bullet"/>
      <w:lvlText w:val="•"/>
      <w:lvlJc w:val="left"/>
      <w:pPr>
        <w:ind w:left="5802" w:hanging="361"/>
      </w:pPr>
      <w:rPr>
        <w:rFonts w:hint="default"/>
        <w:lang w:val="es-ES" w:eastAsia="en-US" w:bidi="ar-SA"/>
      </w:rPr>
    </w:lvl>
    <w:lvl w:ilvl="6" w:tplc="29785B6A">
      <w:numFmt w:val="bullet"/>
      <w:lvlText w:val="•"/>
      <w:lvlJc w:val="left"/>
      <w:pPr>
        <w:ind w:left="6730" w:hanging="361"/>
      </w:pPr>
      <w:rPr>
        <w:rFonts w:hint="default"/>
        <w:lang w:val="es-ES" w:eastAsia="en-US" w:bidi="ar-SA"/>
      </w:rPr>
    </w:lvl>
    <w:lvl w:ilvl="7" w:tplc="867CB296">
      <w:numFmt w:val="bullet"/>
      <w:lvlText w:val="•"/>
      <w:lvlJc w:val="left"/>
      <w:pPr>
        <w:ind w:left="7657" w:hanging="361"/>
      </w:pPr>
      <w:rPr>
        <w:rFonts w:hint="default"/>
        <w:lang w:val="es-ES" w:eastAsia="en-US" w:bidi="ar-SA"/>
      </w:rPr>
    </w:lvl>
    <w:lvl w:ilvl="8" w:tplc="ADB8F65A">
      <w:numFmt w:val="bullet"/>
      <w:lvlText w:val="•"/>
      <w:lvlJc w:val="left"/>
      <w:pPr>
        <w:ind w:left="8585" w:hanging="361"/>
      </w:pPr>
      <w:rPr>
        <w:rFonts w:hint="default"/>
        <w:lang w:val="es-ES" w:eastAsia="en-US" w:bidi="ar-SA"/>
      </w:rPr>
    </w:lvl>
  </w:abstractNum>
  <w:abstractNum w:abstractNumId="2" w15:restartNumberingAfterBreak="0">
    <w:nsid w:val="07155F46"/>
    <w:multiLevelType w:val="multilevel"/>
    <w:tmpl w:val="CF5486D2"/>
    <w:lvl w:ilvl="0">
      <w:start w:val="5"/>
      <w:numFmt w:val="decimal"/>
      <w:lvlText w:val="%1"/>
      <w:lvlJc w:val="left"/>
      <w:pPr>
        <w:ind w:left="716" w:hanging="577"/>
      </w:pPr>
      <w:rPr>
        <w:rFonts w:hint="default"/>
        <w:lang w:val="es-ES" w:eastAsia="en-US" w:bidi="ar-SA"/>
      </w:rPr>
    </w:lvl>
    <w:lvl w:ilvl="1">
      <w:start w:val="1"/>
      <w:numFmt w:val="decimal"/>
      <w:lvlText w:val="%1.%2"/>
      <w:lvlJc w:val="left"/>
      <w:pPr>
        <w:ind w:left="716" w:hanging="577"/>
      </w:pPr>
      <w:rPr>
        <w:rFonts w:ascii="Carlito" w:eastAsia="Carlito" w:hAnsi="Carlito" w:cs="Carlito" w:hint="default"/>
        <w:b/>
        <w:bCs/>
        <w:spacing w:val="-5"/>
        <w:w w:val="99"/>
        <w:sz w:val="24"/>
        <w:szCs w:val="24"/>
        <w:lang w:val="es-ES" w:eastAsia="en-US" w:bidi="ar-SA"/>
      </w:rPr>
    </w:lvl>
    <w:lvl w:ilvl="2">
      <w:start w:val="1"/>
      <w:numFmt w:val="decimal"/>
      <w:lvlText w:val="%3."/>
      <w:lvlJc w:val="left"/>
      <w:pPr>
        <w:ind w:left="860" w:hanging="360"/>
      </w:pPr>
      <w:rPr>
        <w:rFonts w:ascii="Carlito" w:eastAsia="Carlito" w:hAnsi="Carlito" w:cs="Carlito" w:hint="default"/>
        <w:b w:val="0"/>
        <w:bCs/>
        <w:w w:val="100"/>
        <w:sz w:val="22"/>
        <w:szCs w:val="22"/>
        <w:lang w:val="es-ES" w:eastAsia="en-US" w:bidi="ar-SA"/>
      </w:rPr>
    </w:lvl>
    <w:lvl w:ilvl="3">
      <w:numFmt w:val="bullet"/>
      <w:lvlText w:val="•"/>
      <w:lvlJc w:val="left"/>
      <w:pPr>
        <w:ind w:left="2988" w:hanging="360"/>
      </w:pPr>
      <w:rPr>
        <w:rFonts w:hint="default"/>
        <w:lang w:val="es-ES" w:eastAsia="en-US" w:bidi="ar-SA"/>
      </w:rPr>
    </w:lvl>
    <w:lvl w:ilvl="4">
      <w:numFmt w:val="bullet"/>
      <w:lvlText w:val="•"/>
      <w:lvlJc w:val="left"/>
      <w:pPr>
        <w:ind w:left="4053" w:hanging="360"/>
      </w:pPr>
      <w:rPr>
        <w:rFonts w:hint="default"/>
        <w:lang w:val="es-ES" w:eastAsia="en-US" w:bidi="ar-SA"/>
      </w:rPr>
    </w:lvl>
    <w:lvl w:ilvl="5">
      <w:numFmt w:val="bullet"/>
      <w:lvlText w:val="•"/>
      <w:lvlJc w:val="left"/>
      <w:pPr>
        <w:ind w:left="5117" w:hanging="360"/>
      </w:pPr>
      <w:rPr>
        <w:rFonts w:hint="default"/>
        <w:lang w:val="es-ES" w:eastAsia="en-US" w:bidi="ar-SA"/>
      </w:rPr>
    </w:lvl>
    <w:lvl w:ilvl="6">
      <w:numFmt w:val="bullet"/>
      <w:lvlText w:val="•"/>
      <w:lvlJc w:val="left"/>
      <w:pPr>
        <w:ind w:left="6182" w:hanging="360"/>
      </w:pPr>
      <w:rPr>
        <w:rFonts w:hint="default"/>
        <w:lang w:val="es-ES" w:eastAsia="en-US" w:bidi="ar-SA"/>
      </w:rPr>
    </w:lvl>
    <w:lvl w:ilvl="7">
      <w:numFmt w:val="bullet"/>
      <w:lvlText w:val="•"/>
      <w:lvlJc w:val="left"/>
      <w:pPr>
        <w:ind w:left="7246" w:hanging="360"/>
      </w:pPr>
      <w:rPr>
        <w:rFonts w:hint="default"/>
        <w:lang w:val="es-ES" w:eastAsia="en-US" w:bidi="ar-SA"/>
      </w:rPr>
    </w:lvl>
    <w:lvl w:ilvl="8">
      <w:numFmt w:val="bullet"/>
      <w:lvlText w:val="•"/>
      <w:lvlJc w:val="left"/>
      <w:pPr>
        <w:ind w:left="8311" w:hanging="360"/>
      </w:pPr>
      <w:rPr>
        <w:rFonts w:hint="default"/>
        <w:lang w:val="es-ES" w:eastAsia="en-US" w:bidi="ar-SA"/>
      </w:rPr>
    </w:lvl>
  </w:abstractNum>
  <w:abstractNum w:abstractNumId="3" w15:restartNumberingAfterBreak="0">
    <w:nsid w:val="0CCD3471"/>
    <w:multiLevelType w:val="multilevel"/>
    <w:tmpl w:val="0D76C006"/>
    <w:lvl w:ilvl="0">
      <w:start w:val="3"/>
      <w:numFmt w:val="decimal"/>
      <w:lvlText w:val="%1"/>
      <w:lvlJc w:val="left"/>
      <w:pPr>
        <w:ind w:left="716" w:hanging="577"/>
      </w:pPr>
      <w:rPr>
        <w:rFonts w:hint="default"/>
        <w:lang w:val="es-ES" w:eastAsia="en-US" w:bidi="ar-SA"/>
      </w:rPr>
    </w:lvl>
    <w:lvl w:ilvl="1">
      <w:start w:val="1"/>
      <w:numFmt w:val="decimal"/>
      <w:lvlText w:val="%1.%2"/>
      <w:lvlJc w:val="left"/>
      <w:pPr>
        <w:ind w:left="716" w:hanging="577"/>
      </w:pPr>
      <w:rPr>
        <w:rFonts w:ascii="Carlito" w:eastAsia="Carlito" w:hAnsi="Carlito" w:cs="Carlito" w:hint="default"/>
        <w:b/>
        <w:bCs/>
        <w:spacing w:val="-1"/>
        <w:w w:val="99"/>
        <w:sz w:val="24"/>
        <w:szCs w:val="24"/>
        <w:lang w:val="es-ES" w:eastAsia="en-US" w:bidi="ar-SA"/>
      </w:rPr>
    </w:lvl>
    <w:lvl w:ilvl="2">
      <w:start w:val="1"/>
      <w:numFmt w:val="decimal"/>
      <w:lvlText w:val="%1.%2.%3"/>
      <w:lvlJc w:val="left"/>
      <w:pPr>
        <w:ind w:left="860" w:hanging="721"/>
      </w:pPr>
      <w:rPr>
        <w:rFonts w:ascii="Arial" w:eastAsia="Arial" w:hAnsi="Arial" w:cs="Arial" w:hint="default"/>
        <w:b/>
        <w:bCs/>
        <w:spacing w:val="-1"/>
        <w:w w:val="99"/>
        <w:sz w:val="20"/>
        <w:szCs w:val="20"/>
        <w:lang w:val="es-ES" w:eastAsia="en-US" w:bidi="ar-SA"/>
      </w:rPr>
    </w:lvl>
    <w:lvl w:ilvl="3">
      <w:start w:val="1"/>
      <w:numFmt w:val="upperRoman"/>
      <w:lvlText w:val="%4."/>
      <w:lvlJc w:val="right"/>
      <w:pPr>
        <w:ind w:left="860" w:hanging="471"/>
      </w:pPr>
      <w:rPr>
        <w:rFonts w:hint="default"/>
        <w:spacing w:val="-1"/>
        <w:w w:val="100"/>
        <w:sz w:val="22"/>
        <w:szCs w:val="22"/>
        <w:lang w:val="es-ES" w:eastAsia="en-US" w:bidi="ar-SA"/>
      </w:rPr>
    </w:lvl>
    <w:lvl w:ilvl="4">
      <w:numFmt w:val="bullet"/>
      <w:lvlText w:val="•"/>
      <w:lvlJc w:val="left"/>
      <w:pPr>
        <w:ind w:left="4053" w:hanging="471"/>
      </w:pPr>
      <w:rPr>
        <w:rFonts w:hint="default"/>
        <w:lang w:val="es-ES" w:eastAsia="en-US" w:bidi="ar-SA"/>
      </w:rPr>
    </w:lvl>
    <w:lvl w:ilvl="5">
      <w:numFmt w:val="bullet"/>
      <w:lvlText w:val="•"/>
      <w:lvlJc w:val="left"/>
      <w:pPr>
        <w:ind w:left="5117" w:hanging="471"/>
      </w:pPr>
      <w:rPr>
        <w:rFonts w:hint="default"/>
        <w:lang w:val="es-ES" w:eastAsia="en-US" w:bidi="ar-SA"/>
      </w:rPr>
    </w:lvl>
    <w:lvl w:ilvl="6">
      <w:numFmt w:val="bullet"/>
      <w:lvlText w:val="•"/>
      <w:lvlJc w:val="left"/>
      <w:pPr>
        <w:ind w:left="6182" w:hanging="471"/>
      </w:pPr>
      <w:rPr>
        <w:rFonts w:hint="default"/>
        <w:lang w:val="es-ES" w:eastAsia="en-US" w:bidi="ar-SA"/>
      </w:rPr>
    </w:lvl>
    <w:lvl w:ilvl="7">
      <w:numFmt w:val="bullet"/>
      <w:lvlText w:val="•"/>
      <w:lvlJc w:val="left"/>
      <w:pPr>
        <w:ind w:left="7246" w:hanging="471"/>
      </w:pPr>
      <w:rPr>
        <w:rFonts w:hint="default"/>
        <w:lang w:val="es-ES" w:eastAsia="en-US" w:bidi="ar-SA"/>
      </w:rPr>
    </w:lvl>
    <w:lvl w:ilvl="8">
      <w:numFmt w:val="bullet"/>
      <w:lvlText w:val="•"/>
      <w:lvlJc w:val="left"/>
      <w:pPr>
        <w:ind w:left="8311" w:hanging="471"/>
      </w:pPr>
      <w:rPr>
        <w:rFonts w:hint="default"/>
        <w:lang w:val="es-ES" w:eastAsia="en-US" w:bidi="ar-SA"/>
      </w:rPr>
    </w:lvl>
  </w:abstractNum>
  <w:abstractNum w:abstractNumId="4" w15:restartNumberingAfterBreak="0">
    <w:nsid w:val="0D510205"/>
    <w:multiLevelType w:val="hybridMultilevel"/>
    <w:tmpl w:val="C2AA83D2"/>
    <w:lvl w:ilvl="0" w:tplc="1CF2C02A">
      <w:start w:val="1"/>
      <w:numFmt w:val="decimal"/>
      <w:lvlText w:val="%1."/>
      <w:lvlJc w:val="left"/>
      <w:pPr>
        <w:ind w:left="1065" w:hanging="705"/>
      </w:pPr>
      <w:rPr>
        <w:rFonts w:hint="default"/>
      </w:rPr>
    </w:lvl>
    <w:lvl w:ilvl="1" w:tplc="340A0019">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5" w15:restartNumberingAfterBreak="0">
    <w:nsid w:val="17B779D3"/>
    <w:multiLevelType w:val="multilevel"/>
    <w:tmpl w:val="AE0C7796"/>
    <w:lvl w:ilvl="0">
      <w:start w:val="3"/>
      <w:numFmt w:val="decimal"/>
      <w:lvlText w:val="%1"/>
      <w:lvlJc w:val="left"/>
      <w:pPr>
        <w:ind w:left="716" w:hanging="577"/>
      </w:pPr>
      <w:rPr>
        <w:rFonts w:hint="default"/>
        <w:lang w:val="es-ES" w:eastAsia="en-US" w:bidi="ar-SA"/>
      </w:rPr>
    </w:lvl>
    <w:lvl w:ilvl="1">
      <w:start w:val="1"/>
      <w:numFmt w:val="decimal"/>
      <w:lvlText w:val="%1.%2"/>
      <w:lvlJc w:val="left"/>
      <w:pPr>
        <w:ind w:left="716" w:hanging="577"/>
      </w:pPr>
      <w:rPr>
        <w:rFonts w:ascii="Carlito" w:eastAsia="Carlito" w:hAnsi="Carlito" w:cs="Carlito" w:hint="default"/>
        <w:b/>
        <w:bCs/>
        <w:spacing w:val="-1"/>
        <w:w w:val="99"/>
        <w:sz w:val="24"/>
        <w:szCs w:val="24"/>
        <w:lang w:val="es-ES" w:eastAsia="en-US" w:bidi="ar-SA"/>
      </w:rPr>
    </w:lvl>
    <w:lvl w:ilvl="2">
      <w:start w:val="1"/>
      <w:numFmt w:val="decimal"/>
      <w:lvlText w:val="%1.%2.%3"/>
      <w:lvlJc w:val="left"/>
      <w:pPr>
        <w:ind w:left="860" w:hanging="721"/>
      </w:pPr>
      <w:rPr>
        <w:rFonts w:ascii="Arial" w:eastAsia="Arial" w:hAnsi="Arial" w:cs="Arial" w:hint="default"/>
        <w:b/>
        <w:bCs/>
        <w:spacing w:val="-1"/>
        <w:w w:val="99"/>
        <w:sz w:val="20"/>
        <w:szCs w:val="20"/>
        <w:lang w:val="es-ES" w:eastAsia="en-US" w:bidi="ar-SA"/>
      </w:rPr>
    </w:lvl>
    <w:lvl w:ilvl="3">
      <w:start w:val="1"/>
      <w:numFmt w:val="lowerLetter"/>
      <w:lvlText w:val="%4."/>
      <w:lvlJc w:val="left"/>
      <w:pPr>
        <w:ind w:left="860" w:hanging="471"/>
      </w:pPr>
      <w:rPr>
        <w:rFonts w:ascii="Carlito" w:eastAsia="Carlito" w:hAnsi="Carlito" w:cs="Carlito" w:hint="default"/>
        <w:spacing w:val="-1"/>
        <w:w w:val="100"/>
        <w:sz w:val="22"/>
        <w:szCs w:val="22"/>
        <w:lang w:val="es-ES" w:eastAsia="en-US" w:bidi="ar-SA"/>
      </w:rPr>
    </w:lvl>
    <w:lvl w:ilvl="4">
      <w:numFmt w:val="bullet"/>
      <w:lvlText w:val="•"/>
      <w:lvlJc w:val="left"/>
      <w:pPr>
        <w:ind w:left="4053" w:hanging="471"/>
      </w:pPr>
      <w:rPr>
        <w:rFonts w:hint="default"/>
        <w:lang w:val="es-ES" w:eastAsia="en-US" w:bidi="ar-SA"/>
      </w:rPr>
    </w:lvl>
    <w:lvl w:ilvl="5">
      <w:numFmt w:val="bullet"/>
      <w:lvlText w:val="•"/>
      <w:lvlJc w:val="left"/>
      <w:pPr>
        <w:ind w:left="5117" w:hanging="471"/>
      </w:pPr>
      <w:rPr>
        <w:rFonts w:hint="default"/>
        <w:lang w:val="es-ES" w:eastAsia="en-US" w:bidi="ar-SA"/>
      </w:rPr>
    </w:lvl>
    <w:lvl w:ilvl="6">
      <w:numFmt w:val="bullet"/>
      <w:lvlText w:val="•"/>
      <w:lvlJc w:val="left"/>
      <w:pPr>
        <w:ind w:left="6182" w:hanging="471"/>
      </w:pPr>
      <w:rPr>
        <w:rFonts w:hint="default"/>
        <w:lang w:val="es-ES" w:eastAsia="en-US" w:bidi="ar-SA"/>
      </w:rPr>
    </w:lvl>
    <w:lvl w:ilvl="7">
      <w:numFmt w:val="bullet"/>
      <w:lvlText w:val="•"/>
      <w:lvlJc w:val="left"/>
      <w:pPr>
        <w:ind w:left="7246" w:hanging="471"/>
      </w:pPr>
      <w:rPr>
        <w:rFonts w:hint="default"/>
        <w:lang w:val="es-ES" w:eastAsia="en-US" w:bidi="ar-SA"/>
      </w:rPr>
    </w:lvl>
    <w:lvl w:ilvl="8">
      <w:numFmt w:val="bullet"/>
      <w:lvlText w:val="•"/>
      <w:lvlJc w:val="left"/>
      <w:pPr>
        <w:ind w:left="8311" w:hanging="471"/>
      </w:pPr>
      <w:rPr>
        <w:rFonts w:hint="default"/>
        <w:lang w:val="es-ES" w:eastAsia="en-US" w:bidi="ar-SA"/>
      </w:rPr>
    </w:lvl>
  </w:abstractNum>
  <w:abstractNum w:abstractNumId="6" w15:restartNumberingAfterBreak="0">
    <w:nsid w:val="1B053B13"/>
    <w:multiLevelType w:val="hybridMultilevel"/>
    <w:tmpl w:val="F872F0C8"/>
    <w:lvl w:ilvl="0" w:tplc="340A0001">
      <w:start w:val="1"/>
      <w:numFmt w:val="bullet"/>
      <w:lvlText w:val=""/>
      <w:lvlJc w:val="left"/>
      <w:pPr>
        <w:ind w:left="860" w:hanging="360"/>
      </w:pPr>
      <w:rPr>
        <w:rFonts w:ascii="Symbol" w:hAnsi="Symbol" w:hint="default"/>
      </w:rPr>
    </w:lvl>
    <w:lvl w:ilvl="1" w:tplc="340A0003" w:tentative="1">
      <w:start w:val="1"/>
      <w:numFmt w:val="bullet"/>
      <w:lvlText w:val="o"/>
      <w:lvlJc w:val="left"/>
      <w:pPr>
        <w:ind w:left="1580" w:hanging="360"/>
      </w:pPr>
      <w:rPr>
        <w:rFonts w:ascii="Courier New" w:hAnsi="Courier New" w:cs="Courier New" w:hint="default"/>
      </w:rPr>
    </w:lvl>
    <w:lvl w:ilvl="2" w:tplc="340A0005" w:tentative="1">
      <w:start w:val="1"/>
      <w:numFmt w:val="bullet"/>
      <w:lvlText w:val=""/>
      <w:lvlJc w:val="left"/>
      <w:pPr>
        <w:ind w:left="2300" w:hanging="360"/>
      </w:pPr>
      <w:rPr>
        <w:rFonts w:ascii="Wingdings" w:hAnsi="Wingdings" w:hint="default"/>
      </w:rPr>
    </w:lvl>
    <w:lvl w:ilvl="3" w:tplc="340A0001" w:tentative="1">
      <w:start w:val="1"/>
      <w:numFmt w:val="bullet"/>
      <w:lvlText w:val=""/>
      <w:lvlJc w:val="left"/>
      <w:pPr>
        <w:ind w:left="3020" w:hanging="360"/>
      </w:pPr>
      <w:rPr>
        <w:rFonts w:ascii="Symbol" w:hAnsi="Symbol" w:hint="default"/>
      </w:rPr>
    </w:lvl>
    <w:lvl w:ilvl="4" w:tplc="340A0003" w:tentative="1">
      <w:start w:val="1"/>
      <w:numFmt w:val="bullet"/>
      <w:lvlText w:val="o"/>
      <w:lvlJc w:val="left"/>
      <w:pPr>
        <w:ind w:left="3740" w:hanging="360"/>
      </w:pPr>
      <w:rPr>
        <w:rFonts w:ascii="Courier New" w:hAnsi="Courier New" w:cs="Courier New" w:hint="default"/>
      </w:rPr>
    </w:lvl>
    <w:lvl w:ilvl="5" w:tplc="340A0005" w:tentative="1">
      <w:start w:val="1"/>
      <w:numFmt w:val="bullet"/>
      <w:lvlText w:val=""/>
      <w:lvlJc w:val="left"/>
      <w:pPr>
        <w:ind w:left="4460" w:hanging="360"/>
      </w:pPr>
      <w:rPr>
        <w:rFonts w:ascii="Wingdings" w:hAnsi="Wingdings" w:hint="default"/>
      </w:rPr>
    </w:lvl>
    <w:lvl w:ilvl="6" w:tplc="340A0001" w:tentative="1">
      <w:start w:val="1"/>
      <w:numFmt w:val="bullet"/>
      <w:lvlText w:val=""/>
      <w:lvlJc w:val="left"/>
      <w:pPr>
        <w:ind w:left="5180" w:hanging="360"/>
      </w:pPr>
      <w:rPr>
        <w:rFonts w:ascii="Symbol" w:hAnsi="Symbol" w:hint="default"/>
      </w:rPr>
    </w:lvl>
    <w:lvl w:ilvl="7" w:tplc="340A0003" w:tentative="1">
      <w:start w:val="1"/>
      <w:numFmt w:val="bullet"/>
      <w:lvlText w:val="o"/>
      <w:lvlJc w:val="left"/>
      <w:pPr>
        <w:ind w:left="5900" w:hanging="360"/>
      </w:pPr>
      <w:rPr>
        <w:rFonts w:ascii="Courier New" w:hAnsi="Courier New" w:cs="Courier New" w:hint="default"/>
      </w:rPr>
    </w:lvl>
    <w:lvl w:ilvl="8" w:tplc="340A0005" w:tentative="1">
      <w:start w:val="1"/>
      <w:numFmt w:val="bullet"/>
      <w:lvlText w:val=""/>
      <w:lvlJc w:val="left"/>
      <w:pPr>
        <w:ind w:left="6620" w:hanging="360"/>
      </w:pPr>
      <w:rPr>
        <w:rFonts w:ascii="Wingdings" w:hAnsi="Wingdings" w:hint="default"/>
      </w:rPr>
    </w:lvl>
  </w:abstractNum>
  <w:abstractNum w:abstractNumId="7" w15:restartNumberingAfterBreak="0">
    <w:nsid w:val="255D2692"/>
    <w:multiLevelType w:val="hybridMultilevel"/>
    <w:tmpl w:val="A3BCE3EA"/>
    <w:lvl w:ilvl="0" w:tplc="24DC5F6A">
      <w:start w:val="1"/>
      <w:numFmt w:val="decimal"/>
      <w:lvlText w:val="%1."/>
      <w:lvlJc w:val="left"/>
      <w:pPr>
        <w:ind w:left="1210" w:hanging="711"/>
      </w:pPr>
      <w:rPr>
        <w:rFonts w:ascii="Carlito" w:eastAsia="Carlito" w:hAnsi="Carlito" w:cs="Carlito" w:hint="default"/>
        <w:b w:val="0"/>
        <w:bCs w:val="0"/>
        <w:w w:val="100"/>
        <w:sz w:val="22"/>
        <w:szCs w:val="22"/>
        <w:lang w:val="es-ES" w:eastAsia="en-US" w:bidi="ar-SA"/>
      </w:rPr>
    </w:lvl>
    <w:lvl w:ilvl="1" w:tplc="31D2D338">
      <w:numFmt w:val="bullet"/>
      <w:lvlText w:val="•"/>
      <w:lvlJc w:val="left"/>
      <w:pPr>
        <w:ind w:left="2142" w:hanging="711"/>
      </w:pPr>
      <w:rPr>
        <w:rFonts w:hint="default"/>
        <w:lang w:val="es-ES" w:eastAsia="en-US" w:bidi="ar-SA"/>
      </w:rPr>
    </w:lvl>
    <w:lvl w:ilvl="2" w:tplc="946EB7C8">
      <w:numFmt w:val="bullet"/>
      <w:lvlText w:val="•"/>
      <w:lvlJc w:val="left"/>
      <w:pPr>
        <w:ind w:left="3064" w:hanging="711"/>
      </w:pPr>
      <w:rPr>
        <w:rFonts w:hint="default"/>
        <w:lang w:val="es-ES" w:eastAsia="en-US" w:bidi="ar-SA"/>
      </w:rPr>
    </w:lvl>
    <w:lvl w:ilvl="3" w:tplc="F57C32B2">
      <w:numFmt w:val="bullet"/>
      <w:lvlText w:val="•"/>
      <w:lvlJc w:val="left"/>
      <w:pPr>
        <w:ind w:left="3986" w:hanging="711"/>
      </w:pPr>
      <w:rPr>
        <w:rFonts w:hint="default"/>
        <w:lang w:val="es-ES" w:eastAsia="en-US" w:bidi="ar-SA"/>
      </w:rPr>
    </w:lvl>
    <w:lvl w:ilvl="4" w:tplc="2842E1C2">
      <w:numFmt w:val="bullet"/>
      <w:lvlText w:val="•"/>
      <w:lvlJc w:val="left"/>
      <w:pPr>
        <w:ind w:left="4908" w:hanging="711"/>
      </w:pPr>
      <w:rPr>
        <w:rFonts w:hint="default"/>
        <w:lang w:val="es-ES" w:eastAsia="en-US" w:bidi="ar-SA"/>
      </w:rPr>
    </w:lvl>
    <w:lvl w:ilvl="5" w:tplc="5E04150E">
      <w:numFmt w:val="bullet"/>
      <w:lvlText w:val="•"/>
      <w:lvlJc w:val="left"/>
      <w:pPr>
        <w:ind w:left="5830" w:hanging="711"/>
      </w:pPr>
      <w:rPr>
        <w:rFonts w:hint="default"/>
        <w:lang w:val="es-ES" w:eastAsia="en-US" w:bidi="ar-SA"/>
      </w:rPr>
    </w:lvl>
    <w:lvl w:ilvl="6" w:tplc="FABC8D92">
      <w:numFmt w:val="bullet"/>
      <w:lvlText w:val="•"/>
      <w:lvlJc w:val="left"/>
      <w:pPr>
        <w:ind w:left="6752" w:hanging="711"/>
      </w:pPr>
      <w:rPr>
        <w:rFonts w:hint="default"/>
        <w:lang w:val="es-ES" w:eastAsia="en-US" w:bidi="ar-SA"/>
      </w:rPr>
    </w:lvl>
    <w:lvl w:ilvl="7" w:tplc="A7748766">
      <w:numFmt w:val="bullet"/>
      <w:lvlText w:val="•"/>
      <w:lvlJc w:val="left"/>
      <w:pPr>
        <w:ind w:left="7674" w:hanging="711"/>
      </w:pPr>
      <w:rPr>
        <w:rFonts w:hint="default"/>
        <w:lang w:val="es-ES" w:eastAsia="en-US" w:bidi="ar-SA"/>
      </w:rPr>
    </w:lvl>
    <w:lvl w:ilvl="8" w:tplc="B8A4E392">
      <w:numFmt w:val="bullet"/>
      <w:lvlText w:val="•"/>
      <w:lvlJc w:val="left"/>
      <w:pPr>
        <w:ind w:left="8596" w:hanging="711"/>
      </w:pPr>
      <w:rPr>
        <w:rFonts w:hint="default"/>
        <w:lang w:val="es-ES" w:eastAsia="en-US" w:bidi="ar-SA"/>
      </w:rPr>
    </w:lvl>
  </w:abstractNum>
  <w:abstractNum w:abstractNumId="8" w15:restartNumberingAfterBreak="0">
    <w:nsid w:val="27760835"/>
    <w:multiLevelType w:val="multilevel"/>
    <w:tmpl w:val="0D76C006"/>
    <w:lvl w:ilvl="0">
      <w:start w:val="3"/>
      <w:numFmt w:val="decimal"/>
      <w:lvlText w:val="%1"/>
      <w:lvlJc w:val="left"/>
      <w:pPr>
        <w:ind w:left="716" w:hanging="577"/>
      </w:pPr>
      <w:rPr>
        <w:rFonts w:hint="default"/>
        <w:lang w:val="es-ES" w:eastAsia="en-US" w:bidi="ar-SA"/>
      </w:rPr>
    </w:lvl>
    <w:lvl w:ilvl="1">
      <w:start w:val="1"/>
      <w:numFmt w:val="decimal"/>
      <w:lvlText w:val="%1.%2"/>
      <w:lvlJc w:val="left"/>
      <w:pPr>
        <w:ind w:left="716" w:hanging="577"/>
      </w:pPr>
      <w:rPr>
        <w:rFonts w:ascii="Carlito" w:eastAsia="Carlito" w:hAnsi="Carlito" w:cs="Carlito" w:hint="default"/>
        <w:b/>
        <w:bCs/>
        <w:spacing w:val="-1"/>
        <w:w w:val="99"/>
        <w:sz w:val="24"/>
        <w:szCs w:val="24"/>
        <w:lang w:val="es-ES" w:eastAsia="en-US" w:bidi="ar-SA"/>
      </w:rPr>
    </w:lvl>
    <w:lvl w:ilvl="2">
      <w:start w:val="1"/>
      <w:numFmt w:val="decimal"/>
      <w:lvlText w:val="%1.%2.%3"/>
      <w:lvlJc w:val="left"/>
      <w:pPr>
        <w:ind w:left="860" w:hanging="721"/>
      </w:pPr>
      <w:rPr>
        <w:rFonts w:ascii="Arial" w:eastAsia="Arial" w:hAnsi="Arial" w:cs="Arial" w:hint="default"/>
        <w:b/>
        <w:bCs/>
        <w:spacing w:val="-1"/>
        <w:w w:val="99"/>
        <w:sz w:val="20"/>
        <w:szCs w:val="20"/>
        <w:lang w:val="es-ES" w:eastAsia="en-US" w:bidi="ar-SA"/>
      </w:rPr>
    </w:lvl>
    <w:lvl w:ilvl="3">
      <w:start w:val="1"/>
      <w:numFmt w:val="upperRoman"/>
      <w:lvlText w:val="%4."/>
      <w:lvlJc w:val="right"/>
      <w:pPr>
        <w:ind w:left="860" w:hanging="471"/>
      </w:pPr>
      <w:rPr>
        <w:rFonts w:hint="default"/>
        <w:spacing w:val="-1"/>
        <w:w w:val="100"/>
        <w:sz w:val="22"/>
        <w:szCs w:val="22"/>
        <w:lang w:val="es-ES" w:eastAsia="en-US" w:bidi="ar-SA"/>
      </w:rPr>
    </w:lvl>
    <w:lvl w:ilvl="4">
      <w:numFmt w:val="bullet"/>
      <w:lvlText w:val="•"/>
      <w:lvlJc w:val="left"/>
      <w:pPr>
        <w:ind w:left="4053" w:hanging="471"/>
      </w:pPr>
      <w:rPr>
        <w:rFonts w:hint="default"/>
        <w:lang w:val="es-ES" w:eastAsia="en-US" w:bidi="ar-SA"/>
      </w:rPr>
    </w:lvl>
    <w:lvl w:ilvl="5">
      <w:numFmt w:val="bullet"/>
      <w:lvlText w:val="•"/>
      <w:lvlJc w:val="left"/>
      <w:pPr>
        <w:ind w:left="5117" w:hanging="471"/>
      </w:pPr>
      <w:rPr>
        <w:rFonts w:hint="default"/>
        <w:lang w:val="es-ES" w:eastAsia="en-US" w:bidi="ar-SA"/>
      </w:rPr>
    </w:lvl>
    <w:lvl w:ilvl="6">
      <w:numFmt w:val="bullet"/>
      <w:lvlText w:val="•"/>
      <w:lvlJc w:val="left"/>
      <w:pPr>
        <w:ind w:left="6182" w:hanging="471"/>
      </w:pPr>
      <w:rPr>
        <w:rFonts w:hint="default"/>
        <w:lang w:val="es-ES" w:eastAsia="en-US" w:bidi="ar-SA"/>
      </w:rPr>
    </w:lvl>
    <w:lvl w:ilvl="7">
      <w:numFmt w:val="bullet"/>
      <w:lvlText w:val="•"/>
      <w:lvlJc w:val="left"/>
      <w:pPr>
        <w:ind w:left="7246" w:hanging="471"/>
      </w:pPr>
      <w:rPr>
        <w:rFonts w:hint="default"/>
        <w:lang w:val="es-ES" w:eastAsia="en-US" w:bidi="ar-SA"/>
      </w:rPr>
    </w:lvl>
    <w:lvl w:ilvl="8">
      <w:numFmt w:val="bullet"/>
      <w:lvlText w:val="•"/>
      <w:lvlJc w:val="left"/>
      <w:pPr>
        <w:ind w:left="8311" w:hanging="471"/>
      </w:pPr>
      <w:rPr>
        <w:rFonts w:hint="default"/>
        <w:lang w:val="es-ES" w:eastAsia="en-US" w:bidi="ar-SA"/>
      </w:rPr>
    </w:lvl>
  </w:abstractNum>
  <w:abstractNum w:abstractNumId="9" w15:restartNumberingAfterBreak="0">
    <w:nsid w:val="33823603"/>
    <w:multiLevelType w:val="hybridMultilevel"/>
    <w:tmpl w:val="B1BAA3C0"/>
    <w:lvl w:ilvl="0" w:tplc="8780C92C">
      <w:numFmt w:val="bullet"/>
      <w:lvlText w:val=""/>
      <w:lvlJc w:val="left"/>
      <w:pPr>
        <w:ind w:left="860" w:hanging="360"/>
      </w:pPr>
      <w:rPr>
        <w:rFonts w:ascii="Symbol" w:eastAsia="Symbol" w:hAnsi="Symbol" w:cs="Symbol" w:hint="default"/>
        <w:w w:val="100"/>
        <w:sz w:val="22"/>
        <w:szCs w:val="22"/>
        <w:lang w:val="es-ES" w:eastAsia="en-US" w:bidi="ar-SA"/>
      </w:rPr>
    </w:lvl>
    <w:lvl w:ilvl="1" w:tplc="24AEA956">
      <w:numFmt w:val="bullet"/>
      <w:lvlText w:val="•"/>
      <w:lvlJc w:val="left"/>
      <w:pPr>
        <w:ind w:left="1580" w:hanging="360"/>
      </w:pPr>
      <w:rPr>
        <w:rFonts w:hint="default"/>
        <w:lang w:val="es-ES" w:eastAsia="en-US" w:bidi="ar-SA"/>
      </w:rPr>
    </w:lvl>
    <w:lvl w:ilvl="2" w:tplc="C9B60800">
      <w:numFmt w:val="bullet"/>
      <w:lvlText w:val="•"/>
      <w:lvlJc w:val="left"/>
      <w:pPr>
        <w:ind w:left="2564" w:hanging="360"/>
      </w:pPr>
      <w:rPr>
        <w:rFonts w:hint="default"/>
        <w:lang w:val="es-ES" w:eastAsia="en-US" w:bidi="ar-SA"/>
      </w:rPr>
    </w:lvl>
    <w:lvl w:ilvl="3" w:tplc="6D0AAC02">
      <w:numFmt w:val="bullet"/>
      <w:lvlText w:val="•"/>
      <w:lvlJc w:val="left"/>
      <w:pPr>
        <w:ind w:left="3548" w:hanging="360"/>
      </w:pPr>
      <w:rPr>
        <w:rFonts w:hint="default"/>
        <w:lang w:val="es-ES" w:eastAsia="en-US" w:bidi="ar-SA"/>
      </w:rPr>
    </w:lvl>
    <w:lvl w:ilvl="4" w:tplc="4666079A">
      <w:numFmt w:val="bullet"/>
      <w:lvlText w:val="•"/>
      <w:lvlJc w:val="left"/>
      <w:pPr>
        <w:ind w:left="4533" w:hanging="360"/>
      </w:pPr>
      <w:rPr>
        <w:rFonts w:hint="default"/>
        <w:lang w:val="es-ES" w:eastAsia="en-US" w:bidi="ar-SA"/>
      </w:rPr>
    </w:lvl>
    <w:lvl w:ilvl="5" w:tplc="12687B58">
      <w:numFmt w:val="bullet"/>
      <w:lvlText w:val="•"/>
      <w:lvlJc w:val="left"/>
      <w:pPr>
        <w:ind w:left="5517" w:hanging="360"/>
      </w:pPr>
      <w:rPr>
        <w:rFonts w:hint="default"/>
        <w:lang w:val="es-ES" w:eastAsia="en-US" w:bidi="ar-SA"/>
      </w:rPr>
    </w:lvl>
    <w:lvl w:ilvl="6" w:tplc="6F6E4C9A">
      <w:numFmt w:val="bullet"/>
      <w:lvlText w:val="•"/>
      <w:lvlJc w:val="left"/>
      <w:pPr>
        <w:ind w:left="6502" w:hanging="360"/>
      </w:pPr>
      <w:rPr>
        <w:rFonts w:hint="default"/>
        <w:lang w:val="es-ES" w:eastAsia="en-US" w:bidi="ar-SA"/>
      </w:rPr>
    </w:lvl>
    <w:lvl w:ilvl="7" w:tplc="47389E0A">
      <w:numFmt w:val="bullet"/>
      <w:lvlText w:val="•"/>
      <w:lvlJc w:val="left"/>
      <w:pPr>
        <w:ind w:left="7486" w:hanging="360"/>
      </w:pPr>
      <w:rPr>
        <w:rFonts w:hint="default"/>
        <w:lang w:val="es-ES" w:eastAsia="en-US" w:bidi="ar-SA"/>
      </w:rPr>
    </w:lvl>
    <w:lvl w:ilvl="8" w:tplc="7E4E0F0C">
      <w:numFmt w:val="bullet"/>
      <w:lvlText w:val="•"/>
      <w:lvlJc w:val="left"/>
      <w:pPr>
        <w:ind w:left="8471" w:hanging="360"/>
      </w:pPr>
      <w:rPr>
        <w:rFonts w:hint="default"/>
        <w:lang w:val="es-ES" w:eastAsia="en-US" w:bidi="ar-SA"/>
      </w:rPr>
    </w:lvl>
  </w:abstractNum>
  <w:abstractNum w:abstractNumId="10" w15:restartNumberingAfterBreak="0">
    <w:nsid w:val="3FF9660F"/>
    <w:multiLevelType w:val="multilevel"/>
    <w:tmpl w:val="B5425CD8"/>
    <w:lvl w:ilvl="0">
      <w:start w:val="3"/>
      <w:numFmt w:val="decimal"/>
      <w:lvlText w:val="%1"/>
      <w:lvlJc w:val="left"/>
      <w:pPr>
        <w:ind w:left="1004" w:hanging="865"/>
      </w:pPr>
      <w:rPr>
        <w:rFonts w:hint="default"/>
        <w:lang w:val="es-ES" w:eastAsia="en-US" w:bidi="ar-SA"/>
      </w:rPr>
    </w:lvl>
    <w:lvl w:ilvl="1">
      <w:start w:val="1"/>
      <w:numFmt w:val="decimal"/>
      <w:lvlText w:val="%1.%2"/>
      <w:lvlJc w:val="left"/>
      <w:pPr>
        <w:ind w:left="1004" w:hanging="865"/>
      </w:pPr>
      <w:rPr>
        <w:rFonts w:hint="default"/>
        <w:lang w:val="es-ES" w:eastAsia="en-US" w:bidi="ar-SA"/>
      </w:rPr>
    </w:lvl>
    <w:lvl w:ilvl="2">
      <w:start w:val="7"/>
      <w:numFmt w:val="decimal"/>
      <w:lvlText w:val="%1.%2.%3"/>
      <w:lvlJc w:val="left"/>
      <w:pPr>
        <w:ind w:left="1004" w:hanging="865"/>
      </w:pPr>
      <w:rPr>
        <w:rFonts w:hint="default"/>
        <w:lang w:val="es-ES" w:eastAsia="en-US" w:bidi="ar-SA"/>
      </w:rPr>
    </w:lvl>
    <w:lvl w:ilvl="3">
      <w:start w:val="1"/>
      <w:numFmt w:val="decimal"/>
      <w:lvlText w:val="%1.%2.%3.%4"/>
      <w:lvlJc w:val="left"/>
      <w:pPr>
        <w:ind w:left="1004" w:hanging="865"/>
      </w:pPr>
      <w:rPr>
        <w:rFonts w:ascii="Arial" w:eastAsia="Arial" w:hAnsi="Arial" w:cs="Arial" w:hint="default"/>
        <w:b/>
        <w:bCs/>
        <w:i w:val="0"/>
        <w:iCs w:val="0"/>
        <w:spacing w:val="-3"/>
        <w:w w:val="100"/>
        <w:sz w:val="22"/>
        <w:szCs w:val="22"/>
        <w:lang w:val="es-ES" w:eastAsia="en-US" w:bidi="ar-SA"/>
      </w:rPr>
    </w:lvl>
    <w:lvl w:ilvl="4">
      <w:numFmt w:val="bullet"/>
      <w:lvlText w:val="•"/>
      <w:lvlJc w:val="left"/>
      <w:pPr>
        <w:ind w:left="4776" w:hanging="865"/>
      </w:pPr>
      <w:rPr>
        <w:rFonts w:hint="default"/>
        <w:lang w:val="es-ES" w:eastAsia="en-US" w:bidi="ar-SA"/>
      </w:rPr>
    </w:lvl>
    <w:lvl w:ilvl="5">
      <w:numFmt w:val="bullet"/>
      <w:lvlText w:val="•"/>
      <w:lvlJc w:val="left"/>
      <w:pPr>
        <w:ind w:left="5720" w:hanging="865"/>
      </w:pPr>
      <w:rPr>
        <w:rFonts w:hint="default"/>
        <w:lang w:val="es-ES" w:eastAsia="en-US" w:bidi="ar-SA"/>
      </w:rPr>
    </w:lvl>
    <w:lvl w:ilvl="6">
      <w:numFmt w:val="bullet"/>
      <w:lvlText w:val="•"/>
      <w:lvlJc w:val="left"/>
      <w:pPr>
        <w:ind w:left="6664" w:hanging="865"/>
      </w:pPr>
      <w:rPr>
        <w:rFonts w:hint="default"/>
        <w:lang w:val="es-ES" w:eastAsia="en-US" w:bidi="ar-SA"/>
      </w:rPr>
    </w:lvl>
    <w:lvl w:ilvl="7">
      <w:numFmt w:val="bullet"/>
      <w:lvlText w:val="•"/>
      <w:lvlJc w:val="left"/>
      <w:pPr>
        <w:ind w:left="7608" w:hanging="865"/>
      </w:pPr>
      <w:rPr>
        <w:rFonts w:hint="default"/>
        <w:lang w:val="es-ES" w:eastAsia="en-US" w:bidi="ar-SA"/>
      </w:rPr>
    </w:lvl>
    <w:lvl w:ilvl="8">
      <w:numFmt w:val="bullet"/>
      <w:lvlText w:val="•"/>
      <w:lvlJc w:val="left"/>
      <w:pPr>
        <w:ind w:left="8552" w:hanging="865"/>
      </w:pPr>
      <w:rPr>
        <w:rFonts w:hint="default"/>
        <w:lang w:val="es-ES" w:eastAsia="en-US" w:bidi="ar-SA"/>
      </w:rPr>
    </w:lvl>
  </w:abstractNum>
  <w:abstractNum w:abstractNumId="11" w15:restartNumberingAfterBreak="0">
    <w:nsid w:val="4B530462"/>
    <w:multiLevelType w:val="hybridMultilevel"/>
    <w:tmpl w:val="9AF67658"/>
    <w:lvl w:ilvl="0" w:tplc="A95CD038">
      <w:numFmt w:val="bullet"/>
      <w:lvlText w:val=""/>
      <w:lvlJc w:val="left"/>
      <w:pPr>
        <w:ind w:left="860" w:hanging="360"/>
      </w:pPr>
      <w:rPr>
        <w:rFonts w:ascii="Symbol" w:eastAsia="Symbol" w:hAnsi="Symbol" w:cs="Symbol" w:hint="default"/>
        <w:w w:val="100"/>
        <w:sz w:val="22"/>
        <w:szCs w:val="22"/>
        <w:lang w:val="es-ES" w:eastAsia="en-US" w:bidi="ar-SA"/>
      </w:rPr>
    </w:lvl>
    <w:lvl w:ilvl="1" w:tplc="A044DC7C">
      <w:numFmt w:val="bullet"/>
      <w:lvlText w:val="•"/>
      <w:lvlJc w:val="left"/>
      <w:pPr>
        <w:ind w:left="1818" w:hanging="360"/>
      </w:pPr>
      <w:rPr>
        <w:rFonts w:hint="default"/>
        <w:lang w:val="es-ES" w:eastAsia="en-US" w:bidi="ar-SA"/>
      </w:rPr>
    </w:lvl>
    <w:lvl w:ilvl="2" w:tplc="2FFAF218">
      <w:numFmt w:val="bullet"/>
      <w:lvlText w:val="•"/>
      <w:lvlJc w:val="left"/>
      <w:pPr>
        <w:ind w:left="2776" w:hanging="360"/>
      </w:pPr>
      <w:rPr>
        <w:rFonts w:hint="default"/>
        <w:lang w:val="es-ES" w:eastAsia="en-US" w:bidi="ar-SA"/>
      </w:rPr>
    </w:lvl>
    <w:lvl w:ilvl="3" w:tplc="34C277FA">
      <w:numFmt w:val="bullet"/>
      <w:lvlText w:val="•"/>
      <w:lvlJc w:val="left"/>
      <w:pPr>
        <w:ind w:left="3734" w:hanging="360"/>
      </w:pPr>
      <w:rPr>
        <w:rFonts w:hint="default"/>
        <w:lang w:val="es-ES" w:eastAsia="en-US" w:bidi="ar-SA"/>
      </w:rPr>
    </w:lvl>
    <w:lvl w:ilvl="4" w:tplc="2954DCA0">
      <w:numFmt w:val="bullet"/>
      <w:lvlText w:val="•"/>
      <w:lvlJc w:val="left"/>
      <w:pPr>
        <w:ind w:left="4692" w:hanging="360"/>
      </w:pPr>
      <w:rPr>
        <w:rFonts w:hint="default"/>
        <w:lang w:val="es-ES" w:eastAsia="en-US" w:bidi="ar-SA"/>
      </w:rPr>
    </w:lvl>
    <w:lvl w:ilvl="5" w:tplc="7B2A6026">
      <w:numFmt w:val="bullet"/>
      <w:lvlText w:val="•"/>
      <w:lvlJc w:val="left"/>
      <w:pPr>
        <w:ind w:left="5650" w:hanging="360"/>
      </w:pPr>
      <w:rPr>
        <w:rFonts w:hint="default"/>
        <w:lang w:val="es-ES" w:eastAsia="en-US" w:bidi="ar-SA"/>
      </w:rPr>
    </w:lvl>
    <w:lvl w:ilvl="6" w:tplc="F74A5EF2">
      <w:numFmt w:val="bullet"/>
      <w:lvlText w:val="•"/>
      <w:lvlJc w:val="left"/>
      <w:pPr>
        <w:ind w:left="6608" w:hanging="360"/>
      </w:pPr>
      <w:rPr>
        <w:rFonts w:hint="default"/>
        <w:lang w:val="es-ES" w:eastAsia="en-US" w:bidi="ar-SA"/>
      </w:rPr>
    </w:lvl>
    <w:lvl w:ilvl="7" w:tplc="CF92CF94">
      <w:numFmt w:val="bullet"/>
      <w:lvlText w:val="•"/>
      <w:lvlJc w:val="left"/>
      <w:pPr>
        <w:ind w:left="7566" w:hanging="360"/>
      </w:pPr>
      <w:rPr>
        <w:rFonts w:hint="default"/>
        <w:lang w:val="es-ES" w:eastAsia="en-US" w:bidi="ar-SA"/>
      </w:rPr>
    </w:lvl>
    <w:lvl w:ilvl="8" w:tplc="F508F96C">
      <w:numFmt w:val="bullet"/>
      <w:lvlText w:val="•"/>
      <w:lvlJc w:val="left"/>
      <w:pPr>
        <w:ind w:left="8524" w:hanging="360"/>
      </w:pPr>
      <w:rPr>
        <w:rFonts w:hint="default"/>
        <w:lang w:val="es-ES" w:eastAsia="en-US" w:bidi="ar-SA"/>
      </w:rPr>
    </w:lvl>
  </w:abstractNum>
  <w:abstractNum w:abstractNumId="12" w15:restartNumberingAfterBreak="0">
    <w:nsid w:val="5C0B4980"/>
    <w:multiLevelType w:val="multilevel"/>
    <w:tmpl w:val="56EC1FF2"/>
    <w:lvl w:ilvl="0">
      <w:start w:val="1"/>
      <w:numFmt w:val="decimal"/>
      <w:lvlText w:val="%1"/>
      <w:lvlJc w:val="left"/>
      <w:pPr>
        <w:ind w:left="536" w:hanging="397"/>
      </w:pPr>
      <w:rPr>
        <w:rFonts w:ascii="Carlito" w:eastAsia="Carlito" w:hAnsi="Carlito" w:cs="Carlito" w:hint="default"/>
        <w:b/>
        <w:bCs/>
        <w:w w:val="99"/>
        <w:sz w:val="20"/>
        <w:szCs w:val="20"/>
        <w:lang w:val="es-ES" w:eastAsia="en-US" w:bidi="ar-SA"/>
      </w:rPr>
    </w:lvl>
    <w:lvl w:ilvl="1">
      <w:start w:val="1"/>
      <w:numFmt w:val="decimal"/>
      <w:lvlText w:val="%1.%2"/>
      <w:lvlJc w:val="left"/>
      <w:pPr>
        <w:ind w:left="982" w:hanging="447"/>
      </w:pPr>
      <w:rPr>
        <w:rFonts w:ascii="Carlito" w:eastAsia="Carlito" w:hAnsi="Carlito" w:cs="Carlito" w:hint="default"/>
        <w:w w:val="100"/>
        <w:sz w:val="18"/>
        <w:szCs w:val="18"/>
        <w:lang w:val="es-ES" w:eastAsia="en-US" w:bidi="ar-SA"/>
      </w:rPr>
    </w:lvl>
    <w:lvl w:ilvl="2">
      <w:numFmt w:val="bullet"/>
      <w:lvlText w:val="•"/>
      <w:lvlJc w:val="left"/>
      <w:pPr>
        <w:ind w:left="2031" w:hanging="447"/>
      </w:pPr>
      <w:rPr>
        <w:rFonts w:hint="default"/>
        <w:lang w:val="es-ES" w:eastAsia="en-US" w:bidi="ar-SA"/>
      </w:rPr>
    </w:lvl>
    <w:lvl w:ilvl="3">
      <w:numFmt w:val="bullet"/>
      <w:lvlText w:val="•"/>
      <w:lvlJc w:val="left"/>
      <w:pPr>
        <w:ind w:left="3082" w:hanging="447"/>
      </w:pPr>
      <w:rPr>
        <w:rFonts w:hint="default"/>
        <w:lang w:val="es-ES" w:eastAsia="en-US" w:bidi="ar-SA"/>
      </w:rPr>
    </w:lvl>
    <w:lvl w:ilvl="4">
      <w:numFmt w:val="bullet"/>
      <w:lvlText w:val="•"/>
      <w:lvlJc w:val="left"/>
      <w:pPr>
        <w:ind w:left="4133" w:hanging="447"/>
      </w:pPr>
      <w:rPr>
        <w:rFonts w:hint="default"/>
        <w:lang w:val="es-ES" w:eastAsia="en-US" w:bidi="ar-SA"/>
      </w:rPr>
    </w:lvl>
    <w:lvl w:ilvl="5">
      <w:numFmt w:val="bullet"/>
      <w:lvlText w:val="•"/>
      <w:lvlJc w:val="left"/>
      <w:pPr>
        <w:ind w:left="5184" w:hanging="447"/>
      </w:pPr>
      <w:rPr>
        <w:rFonts w:hint="default"/>
        <w:lang w:val="es-ES" w:eastAsia="en-US" w:bidi="ar-SA"/>
      </w:rPr>
    </w:lvl>
    <w:lvl w:ilvl="6">
      <w:numFmt w:val="bullet"/>
      <w:lvlText w:val="•"/>
      <w:lvlJc w:val="left"/>
      <w:pPr>
        <w:ind w:left="6235" w:hanging="447"/>
      </w:pPr>
      <w:rPr>
        <w:rFonts w:hint="default"/>
        <w:lang w:val="es-ES" w:eastAsia="en-US" w:bidi="ar-SA"/>
      </w:rPr>
    </w:lvl>
    <w:lvl w:ilvl="7">
      <w:numFmt w:val="bullet"/>
      <w:lvlText w:val="•"/>
      <w:lvlJc w:val="left"/>
      <w:pPr>
        <w:ind w:left="7286" w:hanging="447"/>
      </w:pPr>
      <w:rPr>
        <w:rFonts w:hint="default"/>
        <w:lang w:val="es-ES" w:eastAsia="en-US" w:bidi="ar-SA"/>
      </w:rPr>
    </w:lvl>
    <w:lvl w:ilvl="8">
      <w:numFmt w:val="bullet"/>
      <w:lvlText w:val="•"/>
      <w:lvlJc w:val="left"/>
      <w:pPr>
        <w:ind w:left="8337" w:hanging="447"/>
      </w:pPr>
      <w:rPr>
        <w:rFonts w:hint="default"/>
        <w:lang w:val="es-ES" w:eastAsia="en-US" w:bidi="ar-SA"/>
      </w:rPr>
    </w:lvl>
  </w:abstractNum>
  <w:abstractNum w:abstractNumId="13" w15:restartNumberingAfterBreak="0">
    <w:nsid w:val="7AC82C18"/>
    <w:multiLevelType w:val="hybridMultilevel"/>
    <w:tmpl w:val="C868F9C4"/>
    <w:lvl w:ilvl="0" w:tplc="F5B25E00">
      <w:start w:val="1"/>
      <w:numFmt w:val="decimal"/>
      <w:lvlText w:val="%1."/>
      <w:lvlJc w:val="left"/>
      <w:pPr>
        <w:ind w:left="860" w:hanging="360"/>
      </w:pPr>
      <w:rPr>
        <w:rFonts w:ascii="Carlito" w:eastAsia="Carlito" w:hAnsi="Carlito" w:cs="Carlito" w:hint="default"/>
        <w:w w:val="100"/>
        <w:sz w:val="22"/>
        <w:szCs w:val="22"/>
        <w:lang w:val="es-ES" w:eastAsia="en-US" w:bidi="ar-SA"/>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14" w15:restartNumberingAfterBreak="0">
    <w:nsid w:val="7F024B16"/>
    <w:multiLevelType w:val="hybridMultilevel"/>
    <w:tmpl w:val="A97099A8"/>
    <w:lvl w:ilvl="0" w:tplc="56B85D0C">
      <w:start w:val="1"/>
      <w:numFmt w:val="decimal"/>
      <w:lvlText w:val="%1"/>
      <w:lvlJc w:val="left"/>
      <w:pPr>
        <w:ind w:left="572" w:hanging="433"/>
      </w:pPr>
      <w:rPr>
        <w:rFonts w:ascii="Carlito" w:eastAsia="Carlito" w:hAnsi="Carlito" w:cs="Carlito" w:hint="default"/>
        <w:b/>
        <w:bCs/>
        <w:spacing w:val="-2"/>
        <w:w w:val="100"/>
        <w:sz w:val="24"/>
        <w:szCs w:val="24"/>
        <w:lang w:val="es-ES" w:eastAsia="en-US" w:bidi="ar-SA"/>
      </w:rPr>
    </w:lvl>
    <w:lvl w:ilvl="1" w:tplc="F5B25E00">
      <w:start w:val="1"/>
      <w:numFmt w:val="decimal"/>
      <w:lvlText w:val="%2."/>
      <w:lvlJc w:val="left"/>
      <w:pPr>
        <w:ind w:left="860" w:hanging="360"/>
      </w:pPr>
      <w:rPr>
        <w:rFonts w:ascii="Carlito" w:eastAsia="Carlito" w:hAnsi="Carlito" w:cs="Carlito" w:hint="default"/>
        <w:w w:val="100"/>
        <w:sz w:val="22"/>
        <w:szCs w:val="22"/>
        <w:lang w:val="es-ES" w:eastAsia="en-US" w:bidi="ar-SA"/>
      </w:rPr>
    </w:lvl>
    <w:lvl w:ilvl="2" w:tplc="7970393A">
      <w:numFmt w:val="bullet"/>
      <w:lvlText w:val="•"/>
      <w:lvlJc w:val="left"/>
      <w:pPr>
        <w:ind w:left="1924" w:hanging="360"/>
      </w:pPr>
      <w:rPr>
        <w:rFonts w:hint="default"/>
        <w:lang w:val="es-ES" w:eastAsia="en-US" w:bidi="ar-SA"/>
      </w:rPr>
    </w:lvl>
    <w:lvl w:ilvl="3" w:tplc="E4285336">
      <w:numFmt w:val="bullet"/>
      <w:lvlText w:val="•"/>
      <w:lvlJc w:val="left"/>
      <w:pPr>
        <w:ind w:left="2988" w:hanging="360"/>
      </w:pPr>
      <w:rPr>
        <w:rFonts w:hint="default"/>
        <w:lang w:val="es-ES" w:eastAsia="en-US" w:bidi="ar-SA"/>
      </w:rPr>
    </w:lvl>
    <w:lvl w:ilvl="4" w:tplc="90AA4D2E">
      <w:numFmt w:val="bullet"/>
      <w:lvlText w:val="•"/>
      <w:lvlJc w:val="left"/>
      <w:pPr>
        <w:ind w:left="4053" w:hanging="360"/>
      </w:pPr>
      <w:rPr>
        <w:rFonts w:hint="default"/>
        <w:lang w:val="es-ES" w:eastAsia="en-US" w:bidi="ar-SA"/>
      </w:rPr>
    </w:lvl>
    <w:lvl w:ilvl="5" w:tplc="39445302">
      <w:numFmt w:val="bullet"/>
      <w:lvlText w:val="•"/>
      <w:lvlJc w:val="left"/>
      <w:pPr>
        <w:ind w:left="5117" w:hanging="360"/>
      </w:pPr>
      <w:rPr>
        <w:rFonts w:hint="default"/>
        <w:lang w:val="es-ES" w:eastAsia="en-US" w:bidi="ar-SA"/>
      </w:rPr>
    </w:lvl>
    <w:lvl w:ilvl="6" w:tplc="05D88E9C">
      <w:numFmt w:val="bullet"/>
      <w:lvlText w:val="•"/>
      <w:lvlJc w:val="left"/>
      <w:pPr>
        <w:ind w:left="6182" w:hanging="360"/>
      </w:pPr>
      <w:rPr>
        <w:rFonts w:hint="default"/>
        <w:lang w:val="es-ES" w:eastAsia="en-US" w:bidi="ar-SA"/>
      </w:rPr>
    </w:lvl>
    <w:lvl w:ilvl="7" w:tplc="731A2F72">
      <w:numFmt w:val="bullet"/>
      <w:lvlText w:val="•"/>
      <w:lvlJc w:val="left"/>
      <w:pPr>
        <w:ind w:left="7246" w:hanging="360"/>
      </w:pPr>
      <w:rPr>
        <w:rFonts w:hint="default"/>
        <w:lang w:val="es-ES" w:eastAsia="en-US" w:bidi="ar-SA"/>
      </w:rPr>
    </w:lvl>
    <w:lvl w:ilvl="8" w:tplc="76867D3A">
      <w:numFmt w:val="bullet"/>
      <w:lvlText w:val="•"/>
      <w:lvlJc w:val="left"/>
      <w:pPr>
        <w:ind w:left="8311" w:hanging="360"/>
      </w:pPr>
      <w:rPr>
        <w:rFonts w:hint="default"/>
        <w:lang w:val="es-ES" w:eastAsia="en-US" w:bidi="ar-SA"/>
      </w:rPr>
    </w:lvl>
  </w:abstractNum>
  <w:num w:numId="1" w16cid:durableId="2134401557">
    <w:abstractNumId w:val="2"/>
  </w:num>
  <w:num w:numId="2" w16cid:durableId="646663673">
    <w:abstractNumId w:val="1"/>
  </w:num>
  <w:num w:numId="3" w16cid:durableId="422648203">
    <w:abstractNumId w:val="9"/>
  </w:num>
  <w:num w:numId="4" w16cid:durableId="1193686079">
    <w:abstractNumId w:val="10"/>
  </w:num>
  <w:num w:numId="5" w16cid:durableId="744038079">
    <w:abstractNumId w:val="5"/>
  </w:num>
  <w:num w:numId="6" w16cid:durableId="141191983">
    <w:abstractNumId w:val="11"/>
  </w:num>
  <w:num w:numId="7" w16cid:durableId="475075908">
    <w:abstractNumId w:val="7"/>
  </w:num>
  <w:num w:numId="8" w16cid:durableId="818302501">
    <w:abstractNumId w:val="14"/>
  </w:num>
  <w:num w:numId="9" w16cid:durableId="1664159573">
    <w:abstractNumId w:val="12"/>
  </w:num>
  <w:num w:numId="10" w16cid:durableId="856508754">
    <w:abstractNumId w:val="13"/>
  </w:num>
  <w:num w:numId="11" w16cid:durableId="574243535">
    <w:abstractNumId w:val="8"/>
  </w:num>
  <w:num w:numId="12" w16cid:durableId="477309627">
    <w:abstractNumId w:val="4"/>
  </w:num>
  <w:num w:numId="13" w16cid:durableId="119030282">
    <w:abstractNumId w:val="3"/>
  </w:num>
  <w:num w:numId="14" w16cid:durableId="1677423358">
    <w:abstractNumId w:val="0"/>
  </w:num>
  <w:num w:numId="15" w16cid:durableId="1218512809">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hyphenationZone w:val="425"/>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926EF"/>
    <w:rsid w:val="000012B9"/>
    <w:rsid w:val="00001306"/>
    <w:rsid w:val="00005E92"/>
    <w:rsid w:val="00030834"/>
    <w:rsid w:val="00037CD7"/>
    <w:rsid w:val="00043615"/>
    <w:rsid w:val="00054449"/>
    <w:rsid w:val="0006246E"/>
    <w:rsid w:val="00066524"/>
    <w:rsid w:val="00071588"/>
    <w:rsid w:val="00071A62"/>
    <w:rsid w:val="000951A2"/>
    <w:rsid w:val="000974B3"/>
    <w:rsid w:val="000A2DD8"/>
    <w:rsid w:val="000B19AE"/>
    <w:rsid w:val="000E26B9"/>
    <w:rsid w:val="0011227F"/>
    <w:rsid w:val="00135C28"/>
    <w:rsid w:val="00177D5A"/>
    <w:rsid w:val="00187D26"/>
    <w:rsid w:val="00193F41"/>
    <w:rsid w:val="001A06AA"/>
    <w:rsid w:val="001A0F59"/>
    <w:rsid w:val="001A45DA"/>
    <w:rsid w:val="001B1A5F"/>
    <w:rsid w:val="001C5ACD"/>
    <w:rsid w:val="001E2B60"/>
    <w:rsid w:val="001E41F7"/>
    <w:rsid w:val="00201736"/>
    <w:rsid w:val="00232362"/>
    <w:rsid w:val="00234F44"/>
    <w:rsid w:val="002361B0"/>
    <w:rsid w:val="00237207"/>
    <w:rsid w:val="00281EB7"/>
    <w:rsid w:val="00291A4C"/>
    <w:rsid w:val="002926EF"/>
    <w:rsid w:val="00300FA1"/>
    <w:rsid w:val="00322F9A"/>
    <w:rsid w:val="003232F8"/>
    <w:rsid w:val="0033007D"/>
    <w:rsid w:val="003453C0"/>
    <w:rsid w:val="003709C9"/>
    <w:rsid w:val="003748FE"/>
    <w:rsid w:val="003A0FED"/>
    <w:rsid w:val="003E7CCF"/>
    <w:rsid w:val="003F1034"/>
    <w:rsid w:val="003F272A"/>
    <w:rsid w:val="00401370"/>
    <w:rsid w:val="0040359A"/>
    <w:rsid w:val="00412550"/>
    <w:rsid w:val="00424E1A"/>
    <w:rsid w:val="00456417"/>
    <w:rsid w:val="004A3799"/>
    <w:rsid w:val="004B12FC"/>
    <w:rsid w:val="004B14C8"/>
    <w:rsid w:val="004B3693"/>
    <w:rsid w:val="004C6ADF"/>
    <w:rsid w:val="004D1EA4"/>
    <w:rsid w:val="004E2390"/>
    <w:rsid w:val="004F1DB6"/>
    <w:rsid w:val="00500EC5"/>
    <w:rsid w:val="005157A1"/>
    <w:rsid w:val="00535A1D"/>
    <w:rsid w:val="0053658F"/>
    <w:rsid w:val="00583513"/>
    <w:rsid w:val="00595D17"/>
    <w:rsid w:val="005B5646"/>
    <w:rsid w:val="005C2C37"/>
    <w:rsid w:val="005C3C1D"/>
    <w:rsid w:val="00600D21"/>
    <w:rsid w:val="006366BF"/>
    <w:rsid w:val="00656D40"/>
    <w:rsid w:val="00695167"/>
    <w:rsid w:val="006A7A17"/>
    <w:rsid w:val="006B0AB2"/>
    <w:rsid w:val="006B2FAA"/>
    <w:rsid w:val="006B5104"/>
    <w:rsid w:val="006E6412"/>
    <w:rsid w:val="006F34E2"/>
    <w:rsid w:val="007048BF"/>
    <w:rsid w:val="00726188"/>
    <w:rsid w:val="00733BED"/>
    <w:rsid w:val="00772FD8"/>
    <w:rsid w:val="00792561"/>
    <w:rsid w:val="007A0ACA"/>
    <w:rsid w:val="007A1F12"/>
    <w:rsid w:val="007A4097"/>
    <w:rsid w:val="007B663D"/>
    <w:rsid w:val="007B67F8"/>
    <w:rsid w:val="007D235F"/>
    <w:rsid w:val="007D2CDF"/>
    <w:rsid w:val="007E35C1"/>
    <w:rsid w:val="007E4A45"/>
    <w:rsid w:val="00800D60"/>
    <w:rsid w:val="008168D8"/>
    <w:rsid w:val="00817B51"/>
    <w:rsid w:val="00831E5E"/>
    <w:rsid w:val="0083376B"/>
    <w:rsid w:val="00847DB8"/>
    <w:rsid w:val="00870BFF"/>
    <w:rsid w:val="008831A5"/>
    <w:rsid w:val="00893772"/>
    <w:rsid w:val="008A045F"/>
    <w:rsid w:val="008A5801"/>
    <w:rsid w:val="008A6F14"/>
    <w:rsid w:val="008D07DB"/>
    <w:rsid w:val="008E0C85"/>
    <w:rsid w:val="0091171F"/>
    <w:rsid w:val="009148C7"/>
    <w:rsid w:val="00974C97"/>
    <w:rsid w:val="00977CDE"/>
    <w:rsid w:val="00986267"/>
    <w:rsid w:val="0099038E"/>
    <w:rsid w:val="009A072A"/>
    <w:rsid w:val="009A1B1E"/>
    <w:rsid w:val="009C167D"/>
    <w:rsid w:val="009E7F71"/>
    <w:rsid w:val="00A32A9F"/>
    <w:rsid w:val="00A40D98"/>
    <w:rsid w:val="00A71D59"/>
    <w:rsid w:val="00A9390B"/>
    <w:rsid w:val="00AA13AF"/>
    <w:rsid w:val="00AB65E9"/>
    <w:rsid w:val="00AC506C"/>
    <w:rsid w:val="00AF19A1"/>
    <w:rsid w:val="00AF37AD"/>
    <w:rsid w:val="00B07233"/>
    <w:rsid w:val="00B17FE9"/>
    <w:rsid w:val="00B5127E"/>
    <w:rsid w:val="00B75564"/>
    <w:rsid w:val="00B76208"/>
    <w:rsid w:val="00B809D6"/>
    <w:rsid w:val="00B95BCB"/>
    <w:rsid w:val="00BC07D8"/>
    <w:rsid w:val="00C16E91"/>
    <w:rsid w:val="00C17F80"/>
    <w:rsid w:val="00C27461"/>
    <w:rsid w:val="00C56368"/>
    <w:rsid w:val="00C60FFA"/>
    <w:rsid w:val="00C66C76"/>
    <w:rsid w:val="00C86AB8"/>
    <w:rsid w:val="00C93D5F"/>
    <w:rsid w:val="00CB76F9"/>
    <w:rsid w:val="00CC0331"/>
    <w:rsid w:val="00CC6FB6"/>
    <w:rsid w:val="00CD17AC"/>
    <w:rsid w:val="00D039BD"/>
    <w:rsid w:val="00D06461"/>
    <w:rsid w:val="00D20D0E"/>
    <w:rsid w:val="00D3481E"/>
    <w:rsid w:val="00D57CE1"/>
    <w:rsid w:val="00D67180"/>
    <w:rsid w:val="00D70A98"/>
    <w:rsid w:val="00D7396E"/>
    <w:rsid w:val="00D768AC"/>
    <w:rsid w:val="00D81150"/>
    <w:rsid w:val="00D85818"/>
    <w:rsid w:val="00D94848"/>
    <w:rsid w:val="00DA0004"/>
    <w:rsid w:val="00DA4061"/>
    <w:rsid w:val="00DB507C"/>
    <w:rsid w:val="00DD24C3"/>
    <w:rsid w:val="00E13EB6"/>
    <w:rsid w:val="00E17C51"/>
    <w:rsid w:val="00E26AA9"/>
    <w:rsid w:val="00E40FFA"/>
    <w:rsid w:val="00E4237C"/>
    <w:rsid w:val="00E451F3"/>
    <w:rsid w:val="00E64E53"/>
    <w:rsid w:val="00E73CD8"/>
    <w:rsid w:val="00E75E63"/>
    <w:rsid w:val="00E7737D"/>
    <w:rsid w:val="00EC0033"/>
    <w:rsid w:val="00ED69E0"/>
    <w:rsid w:val="00F00F7D"/>
    <w:rsid w:val="00F15603"/>
    <w:rsid w:val="00F16161"/>
    <w:rsid w:val="00F27B6E"/>
    <w:rsid w:val="00F355C5"/>
    <w:rsid w:val="00F43104"/>
    <w:rsid w:val="00F57C4E"/>
    <w:rsid w:val="00F81845"/>
    <w:rsid w:val="00F879DC"/>
    <w:rsid w:val="00FA40C7"/>
    <w:rsid w:val="00FC2103"/>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B56BC95"/>
  <w15:docId w15:val="{A69B43E7-EAEA-4593-A874-697A01A64C7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Carlito" w:eastAsia="Carlito" w:hAnsi="Carlito" w:cs="Carlito"/>
      <w:lang w:val="es-ES"/>
    </w:rPr>
  </w:style>
  <w:style w:type="paragraph" w:styleId="Ttulo1">
    <w:name w:val="heading 1"/>
    <w:basedOn w:val="Normal"/>
    <w:link w:val="Ttulo1Car"/>
    <w:uiPriority w:val="9"/>
    <w:qFormat/>
    <w:pPr>
      <w:spacing w:before="18"/>
      <w:ind w:left="572" w:hanging="433"/>
      <w:outlineLvl w:val="0"/>
    </w:pPr>
    <w:rPr>
      <w:b/>
      <w:bCs/>
      <w:sz w:val="24"/>
      <w:szCs w:val="24"/>
    </w:rPr>
  </w:style>
  <w:style w:type="paragraph" w:styleId="Ttulo2">
    <w:name w:val="heading 2"/>
    <w:basedOn w:val="Normal"/>
    <w:uiPriority w:val="9"/>
    <w:unhideWhenUsed/>
    <w:qFormat/>
    <w:pPr>
      <w:spacing w:before="38"/>
      <w:ind w:left="860"/>
      <w:outlineLvl w:val="1"/>
    </w:pPr>
    <w:rPr>
      <w:b/>
      <w:bCs/>
    </w:rPr>
  </w:style>
  <w:style w:type="paragraph" w:styleId="Ttulo3">
    <w:name w:val="heading 3"/>
    <w:basedOn w:val="Normal"/>
    <w:uiPriority w:val="9"/>
    <w:unhideWhenUsed/>
    <w:qFormat/>
    <w:pPr>
      <w:ind w:left="1004" w:hanging="865"/>
      <w:outlineLvl w:val="2"/>
    </w:pPr>
    <w:rPr>
      <w:b/>
      <w:bCs/>
      <w:i/>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 Normal"/>
    <w:uiPriority w:val="2"/>
    <w:semiHidden/>
    <w:unhideWhenUsed/>
    <w:qFormat/>
    <w:tblPr>
      <w:tblInd w:w="0" w:type="dxa"/>
      <w:tblCellMar>
        <w:top w:w="0" w:type="dxa"/>
        <w:left w:w="0" w:type="dxa"/>
        <w:bottom w:w="0" w:type="dxa"/>
        <w:right w:w="0" w:type="dxa"/>
      </w:tblCellMar>
    </w:tblPr>
  </w:style>
  <w:style w:type="paragraph" w:styleId="TDC1">
    <w:name w:val="toc 1"/>
    <w:basedOn w:val="Normal"/>
    <w:uiPriority w:val="39"/>
    <w:qFormat/>
    <w:pPr>
      <w:spacing w:before="240"/>
      <w:ind w:left="536" w:hanging="397"/>
    </w:pPr>
    <w:rPr>
      <w:b/>
      <w:bCs/>
      <w:sz w:val="20"/>
      <w:szCs w:val="20"/>
    </w:rPr>
  </w:style>
  <w:style w:type="paragraph" w:styleId="TDC2">
    <w:name w:val="toc 2"/>
    <w:basedOn w:val="Normal"/>
    <w:uiPriority w:val="39"/>
    <w:qFormat/>
    <w:pPr>
      <w:ind w:left="982" w:hanging="447"/>
    </w:pPr>
    <w:rPr>
      <w:rFonts w:ascii="Arial" w:eastAsia="Arial" w:hAnsi="Arial" w:cs="Arial"/>
      <w:sz w:val="18"/>
      <w:szCs w:val="18"/>
    </w:rPr>
  </w:style>
  <w:style w:type="paragraph" w:styleId="Textoindependiente">
    <w:name w:val="Body Text"/>
    <w:basedOn w:val="Normal"/>
    <w:link w:val="TextoindependienteCar"/>
    <w:uiPriority w:val="1"/>
    <w:qFormat/>
  </w:style>
  <w:style w:type="paragraph" w:styleId="Ttulo">
    <w:name w:val="Title"/>
    <w:basedOn w:val="Normal"/>
    <w:uiPriority w:val="10"/>
    <w:qFormat/>
    <w:pPr>
      <w:spacing w:before="3"/>
      <w:ind w:left="879" w:right="785" w:hanging="8"/>
      <w:jc w:val="center"/>
    </w:pPr>
    <w:rPr>
      <w:sz w:val="48"/>
      <w:szCs w:val="48"/>
    </w:rPr>
  </w:style>
  <w:style w:type="paragraph" w:styleId="Prrafodelista">
    <w:name w:val="List Paragraph"/>
    <w:basedOn w:val="Normal"/>
    <w:uiPriority w:val="1"/>
    <w:qFormat/>
    <w:pPr>
      <w:ind w:left="860" w:hanging="361"/>
    </w:pPr>
  </w:style>
  <w:style w:type="paragraph" w:customStyle="1" w:styleId="TableParagraph">
    <w:name w:val="Table Paragraph"/>
    <w:basedOn w:val="Normal"/>
    <w:uiPriority w:val="1"/>
    <w:qFormat/>
  </w:style>
  <w:style w:type="paragraph" w:styleId="Encabezado">
    <w:name w:val="header"/>
    <w:basedOn w:val="Normal"/>
    <w:link w:val="EncabezadoCar"/>
    <w:uiPriority w:val="99"/>
    <w:unhideWhenUsed/>
    <w:rsid w:val="00B75564"/>
    <w:pPr>
      <w:tabs>
        <w:tab w:val="center" w:pos="4419"/>
        <w:tab w:val="right" w:pos="8838"/>
      </w:tabs>
    </w:pPr>
  </w:style>
  <w:style w:type="character" w:customStyle="1" w:styleId="EncabezadoCar">
    <w:name w:val="Encabezado Car"/>
    <w:basedOn w:val="Fuentedeprrafopredeter"/>
    <w:link w:val="Encabezado"/>
    <w:uiPriority w:val="99"/>
    <w:rsid w:val="00B75564"/>
    <w:rPr>
      <w:rFonts w:ascii="Carlito" w:eastAsia="Carlito" w:hAnsi="Carlito" w:cs="Carlito"/>
      <w:lang w:val="es-ES"/>
    </w:rPr>
  </w:style>
  <w:style w:type="paragraph" w:styleId="Piedepgina">
    <w:name w:val="footer"/>
    <w:basedOn w:val="Normal"/>
    <w:link w:val="PiedepginaCar"/>
    <w:uiPriority w:val="99"/>
    <w:unhideWhenUsed/>
    <w:rsid w:val="00B75564"/>
    <w:pPr>
      <w:tabs>
        <w:tab w:val="center" w:pos="4419"/>
        <w:tab w:val="right" w:pos="8838"/>
      </w:tabs>
    </w:pPr>
  </w:style>
  <w:style w:type="character" w:customStyle="1" w:styleId="PiedepginaCar">
    <w:name w:val="Pie de página Car"/>
    <w:basedOn w:val="Fuentedeprrafopredeter"/>
    <w:link w:val="Piedepgina"/>
    <w:uiPriority w:val="99"/>
    <w:rsid w:val="00B75564"/>
    <w:rPr>
      <w:rFonts w:ascii="Carlito" w:eastAsia="Carlito" w:hAnsi="Carlito" w:cs="Carlito"/>
      <w:lang w:val="es-ES"/>
    </w:rPr>
  </w:style>
  <w:style w:type="paragraph" w:styleId="Textodeglobo">
    <w:name w:val="Balloon Text"/>
    <w:basedOn w:val="Normal"/>
    <w:link w:val="TextodegloboCar"/>
    <w:uiPriority w:val="99"/>
    <w:semiHidden/>
    <w:unhideWhenUsed/>
    <w:rsid w:val="008A045F"/>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8A045F"/>
    <w:rPr>
      <w:rFonts w:ascii="Segoe UI" w:eastAsia="Carlito" w:hAnsi="Segoe UI" w:cs="Segoe UI"/>
      <w:sz w:val="18"/>
      <w:szCs w:val="18"/>
      <w:lang w:val="es-ES"/>
    </w:rPr>
  </w:style>
  <w:style w:type="character" w:styleId="Textodelmarcadordeposicin">
    <w:name w:val="Placeholder Text"/>
    <w:basedOn w:val="Fuentedeprrafopredeter"/>
    <w:uiPriority w:val="99"/>
    <w:semiHidden/>
    <w:rsid w:val="00D20D0E"/>
    <w:rPr>
      <w:color w:val="808080"/>
    </w:rPr>
  </w:style>
  <w:style w:type="paragraph" w:styleId="TtuloTDC">
    <w:name w:val="TOC Heading"/>
    <w:basedOn w:val="Ttulo1"/>
    <w:next w:val="Normal"/>
    <w:uiPriority w:val="39"/>
    <w:unhideWhenUsed/>
    <w:qFormat/>
    <w:rsid w:val="00A32A9F"/>
    <w:pPr>
      <w:keepNext/>
      <w:keepLines/>
      <w:widowControl/>
      <w:autoSpaceDE/>
      <w:autoSpaceDN/>
      <w:spacing w:before="240" w:line="259" w:lineRule="auto"/>
      <w:ind w:left="0" w:firstLine="0"/>
      <w:outlineLvl w:val="9"/>
    </w:pPr>
    <w:rPr>
      <w:rFonts w:asciiTheme="majorHAnsi" w:eastAsiaTheme="majorEastAsia" w:hAnsiTheme="majorHAnsi" w:cstheme="majorBidi"/>
      <w:b w:val="0"/>
      <w:bCs w:val="0"/>
      <w:color w:val="365F91" w:themeColor="accent1" w:themeShade="BF"/>
      <w:sz w:val="32"/>
      <w:szCs w:val="32"/>
      <w:lang w:val="es-CL" w:eastAsia="es-CL"/>
    </w:rPr>
  </w:style>
  <w:style w:type="character" w:styleId="Hipervnculo">
    <w:name w:val="Hyperlink"/>
    <w:basedOn w:val="Fuentedeprrafopredeter"/>
    <w:uiPriority w:val="99"/>
    <w:unhideWhenUsed/>
    <w:rsid w:val="00A32A9F"/>
    <w:rPr>
      <w:color w:val="0000FF" w:themeColor="hyperlink"/>
      <w:u w:val="single"/>
    </w:rPr>
  </w:style>
  <w:style w:type="character" w:styleId="Refdecomentario">
    <w:name w:val="annotation reference"/>
    <w:basedOn w:val="Fuentedeprrafopredeter"/>
    <w:uiPriority w:val="99"/>
    <w:semiHidden/>
    <w:unhideWhenUsed/>
    <w:rsid w:val="00D039BD"/>
    <w:rPr>
      <w:sz w:val="16"/>
      <w:szCs w:val="16"/>
    </w:rPr>
  </w:style>
  <w:style w:type="paragraph" w:styleId="Textocomentario">
    <w:name w:val="annotation text"/>
    <w:basedOn w:val="Normal"/>
    <w:link w:val="TextocomentarioCar"/>
    <w:uiPriority w:val="99"/>
    <w:semiHidden/>
    <w:unhideWhenUsed/>
    <w:rsid w:val="00D039BD"/>
    <w:rPr>
      <w:sz w:val="20"/>
      <w:szCs w:val="20"/>
    </w:rPr>
  </w:style>
  <w:style w:type="character" w:customStyle="1" w:styleId="TextocomentarioCar">
    <w:name w:val="Texto comentario Car"/>
    <w:basedOn w:val="Fuentedeprrafopredeter"/>
    <w:link w:val="Textocomentario"/>
    <w:uiPriority w:val="99"/>
    <w:semiHidden/>
    <w:rsid w:val="00D039BD"/>
    <w:rPr>
      <w:rFonts w:ascii="Carlito" w:eastAsia="Carlito" w:hAnsi="Carlito" w:cs="Carlito"/>
      <w:sz w:val="20"/>
      <w:szCs w:val="20"/>
      <w:lang w:val="es-ES"/>
    </w:rPr>
  </w:style>
  <w:style w:type="paragraph" w:styleId="Asuntodelcomentario">
    <w:name w:val="annotation subject"/>
    <w:basedOn w:val="Textocomentario"/>
    <w:next w:val="Textocomentario"/>
    <w:link w:val="AsuntodelcomentarioCar"/>
    <w:uiPriority w:val="99"/>
    <w:semiHidden/>
    <w:unhideWhenUsed/>
    <w:rsid w:val="00D039BD"/>
    <w:rPr>
      <w:b/>
      <w:bCs/>
    </w:rPr>
  </w:style>
  <w:style w:type="character" w:customStyle="1" w:styleId="AsuntodelcomentarioCar">
    <w:name w:val="Asunto del comentario Car"/>
    <w:basedOn w:val="TextocomentarioCar"/>
    <w:link w:val="Asuntodelcomentario"/>
    <w:uiPriority w:val="99"/>
    <w:semiHidden/>
    <w:rsid w:val="00D039BD"/>
    <w:rPr>
      <w:rFonts w:ascii="Carlito" w:eastAsia="Carlito" w:hAnsi="Carlito" w:cs="Carlito"/>
      <w:b/>
      <w:bCs/>
      <w:sz w:val="20"/>
      <w:szCs w:val="20"/>
      <w:lang w:val="es-ES"/>
    </w:rPr>
  </w:style>
  <w:style w:type="paragraph" w:styleId="Revisin">
    <w:name w:val="Revision"/>
    <w:hidden/>
    <w:uiPriority w:val="99"/>
    <w:semiHidden/>
    <w:rsid w:val="00066524"/>
    <w:pPr>
      <w:widowControl/>
      <w:autoSpaceDE/>
      <w:autoSpaceDN/>
    </w:pPr>
    <w:rPr>
      <w:rFonts w:ascii="Carlito" w:eastAsia="Carlito" w:hAnsi="Carlito" w:cs="Carlito"/>
      <w:lang w:val="es-ES"/>
    </w:rPr>
  </w:style>
  <w:style w:type="character" w:customStyle="1" w:styleId="Ttulo1Car">
    <w:name w:val="Título 1 Car"/>
    <w:basedOn w:val="Fuentedeprrafopredeter"/>
    <w:link w:val="Ttulo1"/>
    <w:uiPriority w:val="9"/>
    <w:rsid w:val="008E0C85"/>
    <w:rPr>
      <w:rFonts w:ascii="Carlito" w:eastAsia="Carlito" w:hAnsi="Carlito" w:cs="Carlito"/>
      <w:b/>
      <w:bCs/>
      <w:sz w:val="24"/>
      <w:szCs w:val="24"/>
      <w:lang w:val="es-ES"/>
    </w:rPr>
  </w:style>
  <w:style w:type="character" w:customStyle="1" w:styleId="TextoindependienteCar">
    <w:name w:val="Texto independiente Car"/>
    <w:basedOn w:val="Fuentedeprrafopredeter"/>
    <w:link w:val="Textoindependiente"/>
    <w:uiPriority w:val="1"/>
    <w:rsid w:val="005157A1"/>
    <w:rPr>
      <w:rFonts w:ascii="Carlito" w:eastAsia="Carlito" w:hAnsi="Carlito" w:cs="Carlito"/>
      <w:lang w:val="es-E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5198612">
      <w:marLeft w:val="0"/>
      <w:marRight w:val="0"/>
      <w:marTop w:val="0"/>
      <w:marBottom w:val="0"/>
      <w:divBdr>
        <w:top w:val="none" w:sz="0" w:space="0" w:color="auto"/>
        <w:left w:val="none" w:sz="0" w:space="0" w:color="auto"/>
        <w:bottom w:val="none" w:sz="0" w:space="0" w:color="auto"/>
        <w:right w:val="none" w:sz="0" w:space="0" w:color="auto"/>
      </w:divBdr>
    </w:div>
    <w:div w:id="148718685">
      <w:bodyDiv w:val="1"/>
      <w:marLeft w:val="0"/>
      <w:marRight w:val="0"/>
      <w:marTop w:val="0"/>
      <w:marBottom w:val="0"/>
      <w:divBdr>
        <w:top w:val="none" w:sz="0" w:space="0" w:color="auto"/>
        <w:left w:val="none" w:sz="0" w:space="0" w:color="auto"/>
        <w:bottom w:val="none" w:sz="0" w:space="0" w:color="auto"/>
        <w:right w:val="none" w:sz="0" w:space="0" w:color="auto"/>
      </w:divBdr>
    </w:div>
    <w:div w:id="172763405">
      <w:bodyDiv w:val="1"/>
      <w:marLeft w:val="0"/>
      <w:marRight w:val="0"/>
      <w:marTop w:val="0"/>
      <w:marBottom w:val="0"/>
      <w:divBdr>
        <w:top w:val="none" w:sz="0" w:space="0" w:color="auto"/>
        <w:left w:val="none" w:sz="0" w:space="0" w:color="auto"/>
        <w:bottom w:val="none" w:sz="0" w:space="0" w:color="auto"/>
        <w:right w:val="none" w:sz="0" w:space="0" w:color="auto"/>
      </w:divBdr>
    </w:div>
    <w:div w:id="425460471">
      <w:bodyDiv w:val="1"/>
      <w:marLeft w:val="0"/>
      <w:marRight w:val="0"/>
      <w:marTop w:val="0"/>
      <w:marBottom w:val="0"/>
      <w:divBdr>
        <w:top w:val="none" w:sz="0" w:space="0" w:color="auto"/>
        <w:left w:val="none" w:sz="0" w:space="0" w:color="auto"/>
        <w:bottom w:val="none" w:sz="0" w:space="0" w:color="auto"/>
        <w:right w:val="none" w:sz="0" w:space="0" w:color="auto"/>
      </w:divBdr>
    </w:div>
    <w:div w:id="500966745">
      <w:bodyDiv w:val="1"/>
      <w:marLeft w:val="0"/>
      <w:marRight w:val="0"/>
      <w:marTop w:val="0"/>
      <w:marBottom w:val="0"/>
      <w:divBdr>
        <w:top w:val="none" w:sz="0" w:space="0" w:color="auto"/>
        <w:left w:val="none" w:sz="0" w:space="0" w:color="auto"/>
        <w:bottom w:val="none" w:sz="0" w:space="0" w:color="auto"/>
        <w:right w:val="none" w:sz="0" w:space="0" w:color="auto"/>
      </w:divBdr>
    </w:div>
    <w:div w:id="532571543">
      <w:bodyDiv w:val="1"/>
      <w:marLeft w:val="0"/>
      <w:marRight w:val="0"/>
      <w:marTop w:val="0"/>
      <w:marBottom w:val="0"/>
      <w:divBdr>
        <w:top w:val="none" w:sz="0" w:space="0" w:color="auto"/>
        <w:left w:val="none" w:sz="0" w:space="0" w:color="auto"/>
        <w:bottom w:val="none" w:sz="0" w:space="0" w:color="auto"/>
        <w:right w:val="none" w:sz="0" w:space="0" w:color="auto"/>
      </w:divBdr>
    </w:div>
    <w:div w:id="559445643">
      <w:bodyDiv w:val="1"/>
      <w:marLeft w:val="0"/>
      <w:marRight w:val="0"/>
      <w:marTop w:val="0"/>
      <w:marBottom w:val="0"/>
      <w:divBdr>
        <w:top w:val="none" w:sz="0" w:space="0" w:color="auto"/>
        <w:left w:val="none" w:sz="0" w:space="0" w:color="auto"/>
        <w:bottom w:val="none" w:sz="0" w:space="0" w:color="auto"/>
        <w:right w:val="none" w:sz="0" w:space="0" w:color="auto"/>
      </w:divBdr>
    </w:div>
    <w:div w:id="705257499">
      <w:bodyDiv w:val="1"/>
      <w:marLeft w:val="0"/>
      <w:marRight w:val="0"/>
      <w:marTop w:val="0"/>
      <w:marBottom w:val="0"/>
      <w:divBdr>
        <w:top w:val="none" w:sz="0" w:space="0" w:color="auto"/>
        <w:left w:val="none" w:sz="0" w:space="0" w:color="auto"/>
        <w:bottom w:val="none" w:sz="0" w:space="0" w:color="auto"/>
        <w:right w:val="none" w:sz="0" w:space="0" w:color="auto"/>
      </w:divBdr>
    </w:div>
    <w:div w:id="840776772">
      <w:bodyDiv w:val="1"/>
      <w:marLeft w:val="0"/>
      <w:marRight w:val="0"/>
      <w:marTop w:val="0"/>
      <w:marBottom w:val="0"/>
      <w:divBdr>
        <w:top w:val="none" w:sz="0" w:space="0" w:color="auto"/>
        <w:left w:val="none" w:sz="0" w:space="0" w:color="auto"/>
        <w:bottom w:val="none" w:sz="0" w:space="0" w:color="auto"/>
        <w:right w:val="none" w:sz="0" w:space="0" w:color="auto"/>
      </w:divBdr>
    </w:div>
    <w:div w:id="968165246">
      <w:bodyDiv w:val="1"/>
      <w:marLeft w:val="0"/>
      <w:marRight w:val="0"/>
      <w:marTop w:val="0"/>
      <w:marBottom w:val="0"/>
      <w:divBdr>
        <w:top w:val="none" w:sz="0" w:space="0" w:color="auto"/>
        <w:left w:val="none" w:sz="0" w:space="0" w:color="auto"/>
        <w:bottom w:val="none" w:sz="0" w:space="0" w:color="auto"/>
        <w:right w:val="none" w:sz="0" w:space="0" w:color="auto"/>
      </w:divBdr>
    </w:div>
    <w:div w:id="1348559444">
      <w:bodyDiv w:val="1"/>
      <w:marLeft w:val="0"/>
      <w:marRight w:val="0"/>
      <w:marTop w:val="0"/>
      <w:marBottom w:val="0"/>
      <w:divBdr>
        <w:top w:val="none" w:sz="0" w:space="0" w:color="auto"/>
        <w:left w:val="none" w:sz="0" w:space="0" w:color="auto"/>
        <w:bottom w:val="none" w:sz="0" w:space="0" w:color="auto"/>
        <w:right w:val="none" w:sz="0" w:space="0" w:color="auto"/>
      </w:divBdr>
    </w:div>
    <w:div w:id="1479611183">
      <w:bodyDiv w:val="1"/>
      <w:marLeft w:val="0"/>
      <w:marRight w:val="0"/>
      <w:marTop w:val="0"/>
      <w:marBottom w:val="0"/>
      <w:divBdr>
        <w:top w:val="none" w:sz="0" w:space="0" w:color="auto"/>
        <w:left w:val="none" w:sz="0" w:space="0" w:color="auto"/>
        <w:bottom w:val="none" w:sz="0" w:space="0" w:color="auto"/>
        <w:right w:val="none" w:sz="0" w:space="0" w:color="auto"/>
      </w:divBdr>
    </w:div>
    <w:div w:id="1626496093">
      <w:bodyDiv w:val="1"/>
      <w:marLeft w:val="0"/>
      <w:marRight w:val="0"/>
      <w:marTop w:val="0"/>
      <w:marBottom w:val="0"/>
      <w:divBdr>
        <w:top w:val="none" w:sz="0" w:space="0" w:color="auto"/>
        <w:left w:val="none" w:sz="0" w:space="0" w:color="auto"/>
        <w:bottom w:val="none" w:sz="0" w:space="0" w:color="auto"/>
        <w:right w:val="none" w:sz="0" w:space="0" w:color="auto"/>
      </w:divBdr>
    </w:div>
    <w:div w:id="1642416205">
      <w:bodyDiv w:val="1"/>
      <w:marLeft w:val="0"/>
      <w:marRight w:val="0"/>
      <w:marTop w:val="0"/>
      <w:marBottom w:val="0"/>
      <w:divBdr>
        <w:top w:val="none" w:sz="0" w:space="0" w:color="auto"/>
        <w:left w:val="none" w:sz="0" w:space="0" w:color="auto"/>
        <w:bottom w:val="none" w:sz="0" w:space="0" w:color="auto"/>
        <w:right w:val="none" w:sz="0" w:space="0" w:color="auto"/>
      </w:divBdr>
    </w:div>
    <w:div w:id="1899437722">
      <w:bodyDiv w:val="1"/>
      <w:marLeft w:val="0"/>
      <w:marRight w:val="0"/>
      <w:marTop w:val="0"/>
      <w:marBottom w:val="0"/>
      <w:divBdr>
        <w:top w:val="none" w:sz="0" w:space="0" w:color="auto"/>
        <w:left w:val="none" w:sz="0" w:space="0" w:color="auto"/>
        <w:bottom w:val="none" w:sz="0" w:space="0" w:color="auto"/>
        <w:right w:val="none" w:sz="0" w:space="0" w:color="auto"/>
      </w:divBdr>
    </w:div>
    <w:div w:id="1932929293">
      <w:bodyDiv w:val="1"/>
      <w:marLeft w:val="0"/>
      <w:marRight w:val="0"/>
      <w:marTop w:val="0"/>
      <w:marBottom w:val="0"/>
      <w:divBdr>
        <w:top w:val="none" w:sz="0" w:space="0" w:color="auto"/>
        <w:left w:val="none" w:sz="0" w:space="0" w:color="auto"/>
        <w:bottom w:val="none" w:sz="0" w:space="0" w:color="auto"/>
        <w:right w:val="none" w:sz="0" w:space="0" w:color="auto"/>
      </w:divBdr>
    </w:div>
    <w:div w:id="2088992428">
      <w:bodyDiv w:val="1"/>
      <w:marLeft w:val="0"/>
      <w:marRight w:val="0"/>
      <w:marTop w:val="0"/>
      <w:marBottom w:val="0"/>
      <w:divBdr>
        <w:top w:val="none" w:sz="0" w:space="0" w:color="auto"/>
        <w:left w:val="none" w:sz="0" w:space="0" w:color="auto"/>
        <w:bottom w:val="none" w:sz="0" w:space="0" w:color="auto"/>
        <w:right w:val="none" w:sz="0" w:space="0" w:color="auto"/>
      </w:divBdr>
    </w:div>
    <w:div w:id="2091271064">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 Id="rIdFig1" Type="http://schemas.openxmlformats.org/officeDocument/2006/relationships/image" Target="media/image_fig1.png"/><Relationship Id="rIdFig2" Type="http://schemas.openxmlformats.org/officeDocument/2006/relationships/image" Target="media/image_fig2.png"/><Relationship Id="rIdFig3" Type="http://schemas.openxmlformats.org/officeDocument/2006/relationships/image" Target="media/image_fig3.png"/></Relationships>
</file>

<file path=word/_rels/header1.xml.rels><?xml version="1.0" encoding="UTF-8" standalone="yes"?>
<Relationships xmlns="http://schemas.openxmlformats.org/package/2006/relationships"><Relationship Id="rId1"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4C8362C-ED36-4E86-9413-1BB453807DD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512</TotalTime>
  <Pages>4</Pages>
  <Words>978</Words>
  <Characters>5383</Characters>
  <Application>Microsoft Office Word</Application>
  <DocSecurity>0</DocSecurity>
  <Lines>44</Lines>
  <Paragraphs>12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6349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DPTP</dc:creator>
  <cp:lastModifiedBy>Alonso Flores</cp:lastModifiedBy>
  <cp:revision>11</cp:revision>
  <cp:lastPrinted>2023-04-21T12:44:00Z</cp:lastPrinted>
  <dcterms:created xsi:type="dcterms:W3CDTF">2026-03-31T20:16:00Z</dcterms:created>
  <dcterms:modified xsi:type="dcterms:W3CDTF">2026-10-05T22:13:00Z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2019-12-31T00:00:00Z</vt:filetime>
  </property>
  <property fmtid="{D5CDD505-2E9C-101B-9397-08002B2CF9AE}" pid="3" name="Creator">
    <vt:lpwstr>Microsoft® Word para Office 365</vt:lpwstr>
  </property>
  <property fmtid="{D5CDD505-2E9C-101B-9397-08002B2CF9AE}" pid="4" name="LastSaved">
    <vt:filetime>2020-07-06T00:00:00Z</vt:filetime>
  </property>
</Properties>
</file>