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66A1E3BA"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297C9554"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817FD930"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85169BFA"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medios de generación de pequeña escala a que se refiere el artículo segundo transitorio del decreto N° 88/2019, del Ministerio de Energía, valorizan sus inyecciones de energía y potencia al precio de nudo de la subestación del Sistema de Transmisión Nacional más cercana. La determinación de cuál es dicha subestación corresponde al Coordinador y se efectúa mediante el criterio de mínima distancia eléctrica, también denominado mínimo camino eléctrico.</w:t>
      </w:r>
    </w:p>
    <w:p>
      <w:pPr>
        <w:pStyle w:val="Textoindependiente"/>
        <w:spacing w:after="200" w:line="276" w:lineRule="auto"/>
        <w:ind w:left="140" w:right="272"/>
        <w:jc w:val="both"/>
      </w:pPr>
      <w:r>
        <w:t xml:space="preserve">Como fuente de la metodología descrita en esta minuta se utiliza el siguiente extracto del numeral 2.2 del decreto de precios de nudo publicado en el Diario Oficial el 26 de noviembre de 2025 (edición N° 44.309, disponible en https://www.diariooficial.interior.gob.cl/publicaciones/2025/11/26/44309/01/2730484.pdf):</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una situación problemática de su aplicación: la asignación de una subestación eléctricamente más cercana a pesar de existir otra subestación a una distancia geográfica considerablemente menor.</w:t>
      </w:r>
    </w:p>
    <w:p>
      <w:pPr>
        <w:pStyle w:val="Textoindependiente"/>
        <w:spacing w:after="0"/>
      </w:pPr>
    </w:p>
    <w:p w14:paraId="1E3A36D0"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2732CD84"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FA3E8464"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FCAED79C"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w:t>
      </w:r>
    </w:p>
    <w:p>
      <w:pPr>
        <w:pStyle w:val="Textoindependiente"/>
        <w:spacing w:after="200" w:line="276" w:lineRule="auto"/>
        <w:ind w:left="140" w:right="272"/>
        <w:jc w:val="both"/>
      </w:pPr>
      <w:r>
        <w:t xml:space="preserve">La “distancia” que considera el decreto no es la longitud geográfica que separa el punto de inyección de la subestación, sino su distancia eléctrica, representada por la reactancia de los tramos que los vinculan. De este modo, la distancia eléctrica de un camino entre dos barras corresponde a la suma de las reactancias de los tramos que lo componen, y el mínimo camino eléctrico entre un punto de inyección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subestación del Sistema de Transmisión Nacional más cercana a un medio de generación de pequeña escala se efectúa de la siguiente forma:</w:t>
      </w:r>
    </w:p>
    <w:p>
      <w:pPr>
        <w:pStyle w:val="Textoindependiente"/>
        <w:numPr>
          <w:ilvl w:val="0"/>
          <w:numId w:val="15"/>
        </w:numPr>
        <w:spacing w:after="100" w:line="276" w:lineRule="auto"/>
        <w:ind w:right="272"/>
        <w:jc w:val="both"/>
      </w:pPr>
      <w:r>
        <w:t xml:space="preserve">Se identifica la barra del sistema en la que se ubica el punto de inyección del medio de generación.</w:t>
      </w:r>
    </w:p>
    <w:p>
      <w:pPr>
        <w:pStyle w:val="Textoindependiente"/>
        <w:numPr>
          <w:ilvl w:val="0"/>
          <w:numId w:val="15"/>
        </w:numPr>
        <w:spacing w:after="100" w:line="276" w:lineRule="auto"/>
        <w:ind w:right="272"/>
        <w:jc w:val="both"/>
      </w:pPr>
      <w:r>
        <w:t xml:space="preserve">Se identifican las subestaciones que forman parte del Sistema de Transmisión Nacional y que son candidatas a ser asignadas.</w:t>
      </w:r>
    </w:p>
    <w:p>
      <w:pPr>
        <w:pStyle w:val="Textoindependiente"/>
        <w:numPr>
          <w:ilvl w:val="0"/>
          <w:numId w:val="15"/>
        </w:numPr>
        <w:spacing w:after="100" w:line="276" w:lineRule="auto"/>
        <w:ind w:right="272"/>
        <w:jc w:val="both"/>
      </w:pPr>
      <w:r>
        <w:t xml:space="preserve">Para cada subestación candidata se determina el camino de mínima reactancia acumulada desde el punto de inyección, considerando únicamente las instalaciones operativas en el período.</w:t>
      </w:r>
    </w:p>
    <w:p>
      <w:pPr>
        <w:pStyle w:val="Textoindependiente"/>
        <w:numPr>
          <w:ilvl w:val="0"/>
          <w:numId w:val="15"/>
        </w:numPr>
        <w:spacing w:after="100" w:line="276" w:lineRule="auto"/>
        <w:ind w:right="272"/>
        <w:jc w:val="both"/>
      </w:pPr>
      <w:r>
        <w:t xml:space="preserve">Se asigna la subestación cuya distancia eléctrica resulta menor, y el precio de nudo de dicha subestación se aplica a las inyecciones del medio de generación.</w:t>
      </w:r>
    </w:p>
    <w:p>
      <w:pPr>
        <w:pStyle w:val="Textoindependiente"/>
        <w:spacing w:after="200" w:line="276" w:lineRule="auto"/>
        <w:ind w:left="140" w:right="272"/>
        <w:jc w:val="both"/>
      </w:pPr>
      <w:r>
        <w:t xml:space="preserve">La Figura 1 ilustra el criterio con un ejemplo conceptual: aunque ambas subestaciones se encuentran vinculadas al punto de inyección, se asigna la subestación A, por cuanto la suma de reactancias del camino que conduce a ella es menor.</w:t>
      </w:r>
    </w:p>
    <w:p>
      <w:pPr>
        <w:pStyle w:val="Textoindependiente"/>
        <w:spacing w:before="120"/>
        <w:jc w:val="center"/>
      </w:pPr>
      <w:r>
        <w:rPr>
          <w:noProof/>
        </w:rPr>
        <w:drawing>
          <wp:inline distT="0" distB="0" distL="0" distR="0">
            <wp:extent cx="4754880" cy="212653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754880" cy="212653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subestación asignada es la de menor suma de reactancias.</w:t>
      </w:r>
    </w:p>
    <w:p>
      <w:pPr>
        <w:pStyle w:val="Textoindependiente"/>
        <w:spacing w:after="200" w:line="276" w:lineRule="auto"/>
        <w:ind w:left="140" w:right="272"/>
        <w:jc w:val="both"/>
      </w:pPr>
      <w:r>
        <w:t xml:space="preserve">Cabe destacar que, como la reactancia de una línea es proporcional a su longitud, en una red simple la distancia eléctrica y la distancia geográfica suelen coincidir. Sin embargo, la distancia eléctrica depende también de la topología de la red, del nivel de tensión y de los transformadores que deban atravesarse, por lo que ambas distancias pueden diferir de manera significativa, como se muestra en el caso siguiente.</w:t>
      </w:r>
    </w:p>
    <w:p>
      <w:pPr>
        <w:pStyle w:val="Textoindependiente"/>
        <w:spacing w:after="0"/>
      </w:pPr>
    </w:p>
    <w:p w14:paraId="2CCAD98B"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PROBLEMÁTICO: SUBESTACIÓN ELÉCTRICAMENTE MÁS CERCANA VERSUS SUBESTACIÓN GEOGRÁFICAMENTE MÁS CERCANA</w:t>
      </w:r>
      <w:bookmarkEnd w:id="112"/>
    </w:p>
    <w:p w14:paraId="698BC697"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3F47F803"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ED8BAE2A"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Para ilustrar la situación se considera un medio de generación de pequeña escala conectado en la barra Taltal 110 kV, en la zona de Diego de Almagro, Región de Antofagasta. En sus cercanías existen dos subestaciones de 220 kV candidatas: Paposo, ubicada a aproximadamente 44 km en línea recta hacia el norte, y Diego de Almagro, ubicada a aproximadamente 118 km en línea recta hacia el sureste.</w:t>
      </w:r>
    </w:p>
    <w:p>
      <w:pPr>
        <w:pStyle w:val="Textoindependiente"/>
        <w:spacing w:after="200" w:line="276" w:lineRule="auto"/>
        <w:ind w:left="140" w:right="272"/>
        <w:jc w:val="both"/>
      </w:pPr>
      <w:r>
        <w:t xml:space="preserve">Desde el punto de vista geográfico, la subestación más cercana es claramente Paposo. Sin embargo, la barra Taltal 110 kV no posee ningún vínculo eléctrico directo con Paposo: su única conexión con el sistema de 220 kV se realiza a través de la red de 110 kV Taltal – Las Luces – Óxidos – Javiera – Diego de Almagro y del transformador 220/110 kV de Diego de Almagro. Para llegar eléctricamente a Paposo se debe, además, recorrer la red de 220 kV Diego de Almagro – San Francisco – Tap Taltal 1 – Paposo, según se muestra en la Figura 2.</w:t>
      </w:r>
    </w:p>
    <w:p>
      <w:pPr>
        <w:pStyle w:val="Textoindependiente"/>
        <w:spacing w:before="120"/>
        <w:jc w:val="center"/>
      </w:pPr>
      <w:r>
        <w:rPr>
          <w:noProof/>
        </w:rPr>
        <w:drawing>
          <wp:inline distT="0" distB="0" distL="0" distR="0">
            <wp:extent cx="5029200" cy="2674004"/>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029200" cy="267400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eléctricos desde la barra Taltal 110 kV hacia las subestaciones Diego de Almagro 220 kV y Paposo 220 kV (reactancias según base de instalaciones).</w:t>
      </w:r>
    </w:p>
    <w:p>
      <w:pPr>
        <w:pStyle w:val="Textoindependiente"/>
        <w:spacing w:after="200" w:line="276" w:lineRule="auto"/>
        <w:ind w:left="140" w:right="272"/>
        <w:jc w:val="both"/>
      </w:pPr>
      <w:r>
        <w:t xml:space="preserve">Las reactancias de los tramos que componen cada camino, de acuerdo con la base de instalaciones utilizada por el Coordinador, se presentan a continuación:</w:t>
      </w:r>
    </w:p>
    <w:tbl>
      <w:tblPr>
        <w:tblW w:w="9100" w:type="dxa"/>
        <w:tblInd w:w="549" w:type="dxa"/>
        <w:tblCellMar>
          <w:left w:w="70" w:type="dxa"/>
          <w:right w:w="70" w:type="dxa"/>
        </w:tblCellMar>
        <w:tblLook w:val="04A0"/>
      </w:tblPr>
      <w:tblGrid>
        <w:gridCol w:w="3600"/>
        <w:gridCol w:w="1200"/>
        <w:gridCol w:w="1100"/>
        <w:gridCol w:w="1700"/>
        <w:gridCol w:w="1500"/>
      </w:tblGrid>
      <w:tr>
        <w:trPr>
          <w:trHeight w:val="300"/>
        </w:trPr>
        <w:tc>
          <w:tcPr>
            <w:tcW w:w="36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Tramo</w:t>
            </w:r>
          </w:p>
        </w:tc>
        <w:tc>
          <w:tcPr>
            <w:tcW w:w="12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Tensión [kV]</w:t>
            </w:r>
          </w:p>
        </w:tc>
        <w:tc>
          <w:tcPr>
            <w:tcW w:w="11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7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a D. Almagro</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a Paposo</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Taltal – Las Luces</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110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15,39</w:t>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Las Luces – Óxidos</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110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4,37</w:t>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Óxidos – Javiera</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110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18,41</w:t>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Javiera – Diego de Almagro</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110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10,99</w:t>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Diego de Almagro 220/110</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220/110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9,02</w:t>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Diego de Almagro – San Francisco</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47,50</w:t>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San Francisco – Tap Taltal 1</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21,61</w:t>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Tap Taltal 1 – Paposo</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8,00</w:t>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Distancia eléctrica total [ohm]</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58,2</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135,3</w:t>
            </w:r>
          </w:p>
        </w:tc>
      </w:tr>
      <w:tr>
        <w:trPr>
          <w:trHeight w:val="300"/>
        </w:trPr>
        <w:tc>
          <w:tcPr>
            <w:tcW w:w="3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Distancia geográfica aproximada [km]</w:t>
            </w:r>
          </w:p>
        </w:tc>
        <w:tc>
          <w:tcPr>
            <w:tcW w:w="12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118</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44</w:t>
            </w:r>
          </w:p>
        </w:tc>
      </w:tr>
    </w:tbl>
    <w:p>
      <w:pPr>
        <w:pStyle w:val="Textoindependiente"/>
        <w:spacing w:after="0"/>
      </w:pPr>
    </w:p>
    <w:p>
      <w:pPr>
        <w:pStyle w:val="Textoindependiente"/>
        <w:spacing w:after="200" w:line="276" w:lineRule="auto"/>
        <w:ind w:left="140" w:right="272"/>
        <w:jc w:val="both"/>
      </w:pPr>
      <w:r>
        <w:t xml:space="preserve">Como se observa, la subestación Diego de Almagro 220 kV se encuentra a una distancia eléctrica de 58,2 ohm, mientras que la subestación Paposo 220 kV se encuentra a 135,3 ohm, es decir, más del doble. En consecuencia, la metodología asigna al medio de generación la subestación Diego de Almagro, y sus inyecciones se valorizan al precio de nudo de dicha subestación, a pesar de que Paposo se ubica a menos de la mitad de la distancia geográfica (Figura 3).</w:t>
      </w:r>
    </w:p>
    <w:p>
      <w:pPr>
        <w:pStyle w:val="Textoindependiente"/>
        <w:spacing w:before="120"/>
        <w:jc w:val="center"/>
      </w:pPr>
      <w:r>
        <w:rPr>
          <w:noProof/>
        </w:rPr>
        <w:drawing>
          <wp:inline distT="0" distB="0" distL="0" distR="0">
            <wp:extent cx="4846320" cy="1835621"/>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4846320" cy="1835621"/>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Comparación de ambas subestaciones en distancia geográfica y en distancia eléctrica.</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el medio de generación queda asociado a una subestación alejada de su ubicación, lo que dificulta la explicación del resultado y motiva observaciones y discrepancias en los procesos de valorización, especialmente cuando los precios de nudo de ambas subestaciones difieren.</w:t>
      </w:r>
    </w:p>
    <w:p>
      <w:pPr>
        <w:pStyle w:val="Textoindependiente"/>
        <w:numPr>
          <w:ilvl w:val="0"/>
          <w:numId w:val="15"/>
        </w:numPr>
        <w:spacing w:after="100" w:line="276" w:lineRule="auto"/>
        <w:ind w:right="272"/>
        <w:jc w:val="both"/>
      </w:pPr>
      <w:r>
        <w:rPr>
          <w:b/>
          <w:bCs/>
        </w:rPr>
        <w:t xml:space="preserve">Dependencia de la topología y no de la cercanía:</w:t>
      </w:r>
      <w:r>
        <w:t xml:space="preserve"> la asignación no depende de la ubicación del medio de generación sino de las instalaciones a través de las cuales se conecta. Dos medios de generación geográficamente próximos pueden ser asignados a subestaciones distintas si se conectan a redes diferentes, y un mismo medio de generación puede cambiar de subestación ante la entrada en operación de una nueva línea o transformador.</w:t>
      </w:r>
    </w:p>
    <w:p>
      <w:pPr>
        <w:pStyle w:val="Textoindependiente"/>
        <w:numPr>
          <w:ilvl w:val="0"/>
          <w:numId w:val="15"/>
        </w:numPr>
        <w:spacing w:after="100" w:line="276" w:lineRule="auto"/>
        <w:ind w:right="272"/>
        <w:jc w:val="both"/>
      </w:pPr>
      <w:r>
        <w:rPr>
          <w:b/>
          <w:bCs/>
        </w:rPr>
        <w:t xml:space="preserve">Sensibilidad a los parámetros de la base de instalaciones:</w:t>
      </w:r>
      <w:r>
        <w:t xml:space="preserve"> el resultado depende de los valores de reactancia de cada tramo, por lo que errores u omisiones en dichos valores, en particular en transformadores y tramos de 220 kV, pueden alterar la subestación asignada en los casos en que las distancias eléctricas de dos candidatas sean similares.</w:t>
      </w:r>
    </w:p>
    <w:p>
      <w:pPr>
        <w:pStyle w:val="Textoindependiente"/>
        <w:spacing w:after="0"/>
      </w:pPr>
      <w:r>
        <w:br w:type="page"/>
      </w:r>
    </w:p>
    <w:p w14:paraId="28E238CC"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36610541"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514B4543"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2FA26B23"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 la situación descrita, se identifican las siguientes alternativas, no excluyentes entre sí:</w:t>
      </w:r>
    </w:p>
    <w:p>
      <w:pPr>
        <w:pStyle w:val="Textoindependiente"/>
        <w:numPr>
          <w:ilvl w:val="0"/>
          <w:numId w:val="15"/>
        </w:numPr>
        <w:spacing w:after="100" w:line="276" w:lineRule="auto"/>
        <w:ind w:right="272"/>
        <w:jc w:val="both"/>
      </w:pPr>
      <w:r>
        <w:t xml:space="preserve">Publicar, junto con la subestación asignada a cada medio de generación de pequeña escala, el camino eléctrico considerado y la distancia eléctrica a las subestaciones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periódicamente los valores de reactancia de la base de instalaciones utilizada, priorizando los transformadores y los tramos que vinculan las redes zonales con el Sistema de Transmisión Nacional, por ser los que determinan la asignación.</w:t>
      </w:r>
    </w:p>
    <w:p>
      <w:pPr>
        <w:pStyle w:val="Textoindependiente"/>
        <w:numPr>
          <w:ilvl w:val="0"/>
          <w:numId w:val="15"/>
        </w:numPr>
        <w:spacing w:after="100" w:line="276" w:lineRule="auto"/>
        <w:ind w:right="272"/>
        <w:jc w:val="both"/>
      </w:pPr>
      <w:r>
        <w:t xml:space="preserve">Evaluar la incorporación de un criterio complementario para los casos en que la subestación eléctricamente más cercana se encuentre a una distancia geográfica notoriamente mayor que otra subestación candidata, o en que las distancias eléctricas de dos candidatas difieran en menos que la tolerancia de los datos, mediante una regla de desempate documentada.</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