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70"/>
        <w:gridCol w:w="5175"/>
        <w:tblGridChange w:id="0">
          <w:tblGrid>
            <w:gridCol w:w="4470"/>
            <w:gridCol w:w="517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rtl w:val="0"/>
              </w:rPr>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Durante esta fase del plan de trabajo, hemos avanzado en varias actividades clave, como el análisis de requisitos, la planificación del cronograma del proyecto, la elaboración de la documentación y el desarrollo del Front End de la aplicación móvil. Hasta el momento, hemos cumplido con el objetivo específico de finalizar toda la documentación requerida y hemos avanzado parcialmente en el desarrollo de la aplicación móvil. Estas actividades se han llevado a cabo mediante reuniones periódicas con el equipo de trabajo, donde se ha reportado y monitoreando el progreso de cada tarea de manera eficiente.</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No se registraron cambios en los objetivos.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No se registraron cambios en la metodología.</w:t>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w:t>
            </w:r>
            <w:r w:rsidDel="00000000" w:rsidR="00000000" w:rsidRPr="00000000">
              <w:rPr>
                <w:rFonts w:ascii="Calibri" w:cs="Calibri" w:eastAsia="Calibri" w:hAnsi="Calibri"/>
                <w:i w:val="1"/>
                <w:color w:val="548dd4"/>
                <w:sz w:val="20"/>
                <w:szCs w:val="20"/>
                <w:rtl w:val="0"/>
              </w:rPr>
              <w:t xml:space="preserve">resguardaste</w:t>
            </w:r>
            <w:r w:rsidDel="00000000" w:rsidR="00000000" w:rsidRPr="00000000">
              <w:rPr>
                <w:rFonts w:ascii="Calibri" w:cs="Calibri" w:eastAsia="Calibri" w:hAnsi="Calibri"/>
                <w:i w:val="1"/>
                <w:color w:val="548dd4"/>
                <w:sz w:val="20"/>
                <w:szCs w:val="20"/>
                <w:rtl w:val="0"/>
              </w:rPr>
              <w:t xml:space="preserve"> la calidad de tu Proyecto APT a partir de aspectos propios de tu disciplina (correcta aplicación de metodologías, actividades, herramientas, recursos propios, etc.).</w:t>
            </w:r>
          </w:p>
          <w:p w:rsidR="00000000" w:rsidDel="00000000" w:rsidP="00000000" w:rsidRDefault="00000000" w:rsidRPr="00000000" w14:paraId="0000001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9">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Documentación: SRS, Acta</w:t>
            </w:r>
          </w:p>
          <w:p w:rsidR="00000000" w:rsidDel="00000000" w:rsidP="00000000" w:rsidRDefault="00000000" w:rsidRPr="00000000" w14:paraId="0000001A">
            <w:pPr>
              <w:ind w:left="720" w:firstLine="0"/>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9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45"/>
        <w:gridCol w:w="1080"/>
        <w:gridCol w:w="1125"/>
        <w:gridCol w:w="1260"/>
        <w:gridCol w:w="1290"/>
        <w:gridCol w:w="1815"/>
        <w:gridCol w:w="1425"/>
        <w:gridCol w:w="1710"/>
        <w:tblGridChange w:id="0">
          <w:tblGrid>
            <w:gridCol w:w="1245"/>
            <w:gridCol w:w="1080"/>
            <w:gridCol w:w="1125"/>
            <w:gridCol w:w="1260"/>
            <w:gridCol w:w="1290"/>
            <w:gridCol w:w="1815"/>
            <w:gridCol w:w="1425"/>
            <w:gridCol w:w="1710"/>
          </w:tblGrid>
        </w:tblGridChange>
      </w:tblGrid>
      <w:tr>
        <w:trPr>
          <w:cantSplit w:val="0"/>
          <w:trHeight w:val="60" w:hRule="atLeast"/>
          <w:tblHeader w:val="0"/>
        </w:trPr>
        <w:tc>
          <w:tcPr>
            <w:gridSpan w:val="8"/>
            <w:vAlign w:val="center"/>
          </w:tcPr>
          <w:p w:rsidR="00000000" w:rsidDel="00000000" w:rsidP="00000000" w:rsidRDefault="00000000" w:rsidRPr="00000000" w14:paraId="0000001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4016.9905598958326" w:hRule="atLeast"/>
          <w:tblHeader w:val="0"/>
        </w:trPr>
        <w:tc>
          <w:tcPr/>
          <w:p w:rsidR="00000000" w:rsidDel="00000000" w:rsidP="00000000" w:rsidRDefault="00000000" w:rsidRPr="00000000" w14:paraId="0000002E">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0">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5">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7">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295" w:hRule="atLeast"/>
          <w:tblHeader w:val="0"/>
        </w:trPr>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3A">
            <w:pPr>
              <w:jc w:val="both"/>
              <w:rPr>
                <w:b w:val="1"/>
                <w:sz w:val="18"/>
                <w:szCs w:val="18"/>
              </w:rPr>
            </w:pPr>
            <w:r w:rsidDel="00000000" w:rsidR="00000000" w:rsidRPr="00000000">
              <w:rPr>
                <w:i w:val="1"/>
                <w:color w:val="548dd4"/>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Google Meet, documentos del departamento</w:t>
            </w:r>
          </w:p>
        </w:tc>
        <w:tc>
          <w:tcPr/>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La falta de disponibilidad de los entrevistados puede retrasar el proceso de recolección de datos.</w:t>
            </w:r>
          </w:p>
          <w:sdt>
            <w:sdtPr>
              <w:lock w:val="contentLocked"/>
              <w:tag w:val="goog_rdk_0"/>
            </w:sdtPr>
            <w:sdtContent>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F">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040">
            <w:pPr>
              <w:jc w:val="both"/>
              <w:rPr>
                <w:i w:val="1"/>
                <w:color w:val="548dd4"/>
                <w:sz w:val="18"/>
                <w:szCs w:val="18"/>
              </w:rPr>
            </w:pPr>
            <w:r w:rsidDel="00000000" w:rsidR="00000000" w:rsidRPr="00000000">
              <w:rPr>
                <w:rtl w:val="0"/>
              </w:rPr>
            </w:r>
          </w:p>
          <w:sdt>
            <w:sdtPr>
              <w:lock w:val="contentLocked"/>
              <w:tag w:val="goog_rdk_1"/>
            </w:sdtPr>
            <w:sdtContent>
              <w:tbl>
                <w:tblPr>
                  <w:tblStyle w:val="Table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1">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042">
            <w:pPr>
              <w:jc w:val="both"/>
              <w:rPr>
                <w:b w:val="1"/>
                <w:sz w:val="18"/>
                <w:szCs w:val="18"/>
              </w:rPr>
            </w:pPr>
            <w:r w:rsidDel="00000000" w:rsidR="00000000" w:rsidRPr="00000000">
              <w:rPr>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Finalizado</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Gestión de proyectos de TI</w:t>
            </w:r>
          </w:p>
        </w:tc>
        <w:tc>
          <w:tcPr/>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Planificación y Cronograma del Proyecto</w:t>
            </w:r>
          </w:p>
        </w:tc>
        <w:tc>
          <w:tcPr/>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Project </w:t>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Alonso Melgajero</w:t>
            </w:r>
            <w:r w:rsidDel="00000000" w:rsidR="00000000" w:rsidRPr="00000000">
              <w:rPr>
                <w:rtl w:val="0"/>
              </w:rPr>
            </w:r>
          </w:p>
        </w:tc>
        <w:tc>
          <w:tcPr/>
          <w:p w:rsidR="00000000" w:rsidDel="00000000" w:rsidP="00000000" w:rsidRDefault="00000000" w:rsidRPr="00000000" w14:paraId="0000004A">
            <w:pPr>
              <w:jc w:val="both"/>
              <w:rPr>
                <w:i w:val="1"/>
                <w:color w:val="548dd4"/>
                <w:sz w:val="18"/>
                <w:szCs w:val="18"/>
              </w:rPr>
            </w:pPr>
            <w:r w:rsidDel="00000000" w:rsidR="00000000" w:rsidRPr="00000000">
              <w:rPr>
                <w:i w:val="1"/>
                <w:color w:val="548dd4"/>
                <w:sz w:val="18"/>
                <w:szCs w:val="18"/>
                <w:rtl w:val="0"/>
              </w:rPr>
              <w:t xml:space="preserve">facilitar la coordinación del equipo y el seguimiento del progreso.</w:t>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Finalizado</w:t>
            </w: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tuvimos dificultad en el proceso de planificación y algunos errores en la documentación</w:t>
            </w: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4E">
            <w:pPr>
              <w:jc w:val="both"/>
              <w:rPr>
                <w:i w:val="1"/>
                <w:color w:val="548dd4"/>
                <w:sz w:val="18"/>
                <w:szCs w:val="18"/>
              </w:rPr>
            </w:pPr>
            <w:r w:rsidDel="00000000" w:rsidR="00000000" w:rsidRPr="00000000">
              <w:rPr>
                <w:i w:val="1"/>
                <w:color w:val="548dd4"/>
                <w:sz w:val="18"/>
                <w:szCs w:val="18"/>
                <w:rtl w:val="0"/>
              </w:rPr>
              <w:t xml:space="preserve">Documentación</w:t>
            </w:r>
          </w:p>
        </w:tc>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Computadores, Planillas y herramientas de Software</w:t>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Tapia</w:t>
            </w:r>
            <w:r w:rsidDel="00000000" w:rsidR="00000000" w:rsidRPr="00000000">
              <w:rPr>
                <w:rtl w:val="0"/>
              </w:rPr>
            </w:r>
          </w:p>
        </w:tc>
        <w:tc>
          <w:tcPr/>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Revisar la documentación al menos dos veces antes de finalizar para asegurar la precisión y claridad.</w:t>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revisión</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realizaron ajustes en los requisitos funcionales, caso de uso, en el diagrama de procesos</w:t>
            </w: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Diseño de interfaces de usuario</w:t>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Creación de Mockups</w:t>
            </w:r>
          </w:p>
        </w:tc>
        <w:tc>
          <w:tcPr/>
          <w:p w:rsidR="00000000" w:rsidDel="00000000" w:rsidP="00000000" w:rsidRDefault="00000000" w:rsidRPr="00000000" w14:paraId="00000057">
            <w:pPr>
              <w:jc w:val="both"/>
              <w:rPr>
                <w:i w:val="1"/>
                <w:color w:val="548dd4"/>
                <w:sz w:val="18"/>
                <w:szCs w:val="18"/>
              </w:rPr>
            </w:pPr>
            <w:r w:rsidDel="00000000" w:rsidR="00000000" w:rsidRPr="00000000">
              <w:rPr>
                <w:i w:val="1"/>
                <w:color w:val="548dd4"/>
                <w:sz w:val="18"/>
                <w:szCs w:val="18"/>
                <w:rtl w:val="0"/>
              </w:rPr>
              <w:t xml:space="preserve">Figma</w:t>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Tapia</w:t>
            </w:r>
            <w:r w:rsidDel="00000000" w:rsidR="00000000" w:rsidRPr="00000000">
              <w:rPr>
                <w:rtl w:val="0"/>
              </w:rPr>
            </w:r>
          </w:p>
        </w:tc>
        <w:tc>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Las revisiones constantes con los usuarios finales pueden facilitar un diseño más acertado y usable.</w:t>
            </w:r>
          </w:p>
        </w:tc>
        <w:tc>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Finalizado</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Según los cambios realizados en la documentación se realizaron ajustes dentro del mockup</w:t>
            </w: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5D">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5E">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5F">
            <w:pPr>
              <w:jc w:val="both"/>
              <w:rPr>
                <w:i w:val="1"/>
                <w:color w:val="548dd4"/>
                <w:sz w:val="18"/>
                <w:szCs w:val="18"/>
              </w:rPr>
            </w:pPr>
            <w:r w:rsidDel="00000000" w:rsidR="00000000" w:rsidRPr="00000000">
              <w:rPr>
                <w:i w:val="1"/>
                <w:color w:val="548dd4"/>
                <w:sz w:val="18"/>
                <w:szCs w:val="18"/>
                <w:rtl w:val="0"/>
              </w:rPr>
              <w:t xml:space="preserve">Computadores, Android Studio y Visual Studio</w:t>
            </w:r>
          </w:p>
        </w:tc>
        <w:tc>
          <w:tcPr/>
          <w:p w:rsidR="00000000" w:rsidDel="00000000" w:rsidP="00000000" w:rsidRDefault="00000000" w:rsidRPr="00000000" w14:paraId="0000006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Semanas</w:t>
            </w: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Alonso Melgajero</w:t>
            </w:r>
            <w:r w:rsidDel="00000000" w:rsidR="00000000" w:rsidRPr="00000000">
              <w:rPr>
                <w:rtl w:val="0"/>
              </w:rPr>
            </w:r>
          </w:p>
        </w:tc>
        <w:tc>
          <w:tcPr/>
          <w:p w:rsidR="00000000" w:rsidDel="00000000" w:rsidP="00000000" w:rsidRDefault="00000000" w:rsidRPr="00000000" w14:paraId="0000006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revisión</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65">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Computadores, Firebase</w:t>
            </w:r>
          </w:p>
        </w:tc>
        <w:tc>
          <w:tcPr/>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Semanas</w:t>
            </w: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6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revisión</w:t>
            </w:r>
            <w:r w:rsidDel="00000000" w:rsidR="00000000" w:rsidRPr="00000000">
              <w:rPr>
                <w:rtl w:val="0"/>
              </w:rPr>
            </w:r>
          </w:p>
        </w:tc>
        <w:tc>
          <w:tcPr/>
          <w:p w:rsidR="00000000" w:rsidDel="00000000" w:rsidP="00000000" w:rsidRDefault="00000000" w:rsidRPr="00000000" w14:paraId="0000006C">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6D">
            <w:pPr>
              <w:jc w:val="both"/>
              <w:rPr>
                <w:i w:val="1"/>
                <w:color w:val="548dd4"/>
                <w:sz w:val="18"/>
                <w:szCs w:val="18"/>
              </w:rPr>
            </w:pPr>
            <w:r w:rsidDel="00000000" w:rsidR="00000000" w:rsidRPr="00000000">
              <w:rPr>
                <w:i w:val="1"/>
                <w:color w:val="548dd4"/>
                <w:sz w:val="18"/>
                <w:szCs w:val="18"/>
                <w:rtl w:val="0"/>
              </w:rPr>
              <w:t xml:space="preserve">Pruebas de calidad</w:t>
            </w:r>
          </w:p>
        </w:tc>
        <w:tc>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Pruebas Unitarias e Integración</w:t>
            </w:r>
          </w:p>
        </w:tc>
        <w:tc>
          <w:tcPr/>
          <w:p w:rsidR="00000000" w:rsidDel="00000000" w:rsidP="00000000" w:rsidRDefault="00000000" w:rsidRPr="00000000" w14:paraId="0000006F">
            <w:pPr>
              <w:jc w:val="both"/>
              <w:rPr>
                <w:i w:val="1"/>
                <w:color w:val="548dd4"/>
                <w:sz w:val="18"/>
                <w:szCs w:val="18"/>
              </w:rPr>
            </w:pPr>
            <w:r w:rsidDel="00000000" w:rsidR="00000000" w:rsidRPr="00000000">
              <w:rPr>
                <w:i w:val="1"/>
                <w:color w:val="548dd4"/>
                <w:sz w:val="18"/>
                <w:szCs w:val="18"/>
                <w:rtl w:val="0"/>
              </w:rPr>
              <w:t xml:space="preserve">Computadores</w:t>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Documentar los resultados de las pruebas y hacer un seguimiento de los errores</w:t>
            </w:r>
          </w:p>
        </w:tc>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Iniciada</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Despliegue en Entorno de Pruebas</w:t>
            </w:r>
          </w:p>
        </w:tc>
        <w:tc>
          <w:tcPr/>
          <w:p w:rsidR="00000000" w:rsidDel="00000000" w:rsidP="00000000" w:rsidRDefault="00000000" w:rsidRPr="00000000" w14:paraId="00000077">
            <w:pPr>
              <w:jc w:val="both"/>
              <w:rPr>
                <w:i w:val="1"/>
                <w:color w:val="548dd4"/>
                <w:sz w:val="18"/>
                <w:szCs w:val="18"/>
              </w:rPr>
            </w:pPr>
            <w:r w:rsidDel="00000000" w:rsidR="00000000" w:rsidRPr="00000000">
              <w:rPr>
                <w:i w:val="1"/>
                <w:color w:val="548dd4"/>
                <w:sz w:val="18"/>
                <w:szCs w:val="18"/>
                <w:rtl w:val="0"/>
              </w:rPr>
              <w:t xml:space="preserve">herramientas de monitoreo de rendimiento</w:t>
            </w:r>
          </w:p>
        </w:tc>
        <w:tc>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Tapia</w:t>
            </w: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iniciada</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Capacitación</w:t>
            </w:r>
          </w:p>
        </w:tc>
        <w:tc>
          <w:tcPr/>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Capacitación a Usuarios Finales</w:t>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7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8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Computadores, Video Tutoriales</w:t>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Iniciada</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Cierre del proyecto</w:t>
            </w:r>
          </w:p>
        </w:tc>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Evaluación Final y Generación de Reportes</w:t>
            </w:r>
          </w:p>
        </w:tc>
        <w:tc>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Computadoras</w:t>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Iniciada</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F">
      <w:pPr>
        <w:rPr>
          <w:color w:val="595959"/>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2">
      <w:pPr>
        <w:rPr>
          <w:color w:val="595959"/>
          <w:sz w:val="24"/>
          <w:szCs w:val="24"/>
        </w:rPr>
      </w:pPr>
      <w:r w:rsidDel="00000000" w:rsidR="00000000" w:rsidRPr="00000000">
        <w:rPr>
          <w:rtl w:val="0"/>
        </w:rPr>
      </w:r>
    </w:p>
    <w:tbl>
      <w:tblPr>
        <w:tblStyle w:val="Table8"/>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Tuvimos un retraso en la programación debido a un malentendido sobre la duración del proyecto, ya que inicialmente establecimos 20 semanas en la carta Gantt. Sin embargo, logramos solucionarlo coordinando reuniones entre nosotros y trabajando algunas horas extras. Gracias a esto, hasta el momento estamos alineados con la programación y los avances, por lo que no ha sido necesario realizar cambios en el plan de trabajo.</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5">
      <w:pPr>
        <w:rPr>
          <w:color w:val="595959"/>
          <w:sz w:val="24"/>
          <w:szCs w:val="24"/>
        </w:rPr>
      </w:pPr>
      <w:r w:rsidDel="00000000" w:rsidR="00000000" w:rsidRPr="00000000">
        <w:rPr>
          <w:rtl w:val="0"/>
        </w:rPr>
      </w:r>
    </w:p>
    <w:tbl>
      <w:tblPr>
        <w:tblStyle w:val="Table9"/>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Tuvimos que ajustar los tiempos, ya que originalmente habíamos programado la carta Gantt con un plazo de 20 semanas, lo cual era más del tiempo estipulado para la clase, ya que nuestro programa de estudio tiene una duración de 18 semanas. Además, tuvimos inconvenientes al elaborar el SRS y el mapa de arquitectura del software. Debido a esto, decidimos dedicar más tiempo a desarrollar el BPM con el fin de organizarnos mejor y asegurarnos de realizar una documentación adecuada.</w:t>
            </w: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Aún no hemos comenzado con el desarrollo del backend y estamos algo retrasados en las páginas de los funcionarios y los técnicos, ya que hasta el momento solo nos hemos enfocado en las páginas del administrador.</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1"/>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o4gYcYs78vtD/p+Ev9uwRNG5w==">CgMxLjAaHwoBMBIaChgICVIUChJ0YWJsZS53ZGFqcTZhaGFwd2IaHwoBMRIaChgICVIUChJ0YWJsZS5qYzEyNDBua3VxdnQyCGguZ2pkZ3hzOAByITFqWmlDMkYwNEV1VFcwY2JWZkJjbWNXWU1nTzJ5RGRCWQ==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