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20"/>
        <w:jc w:val="center"/>
      </w:pPr>
      <w:r>
        <w:rPr>
          <w:rFonts w:ascii="Calibri" w:hAnsi="Calibri"/>
          <w:b/>
          <w:i w:val="0"/>
          <w:color w:val="0D2B4E"/>
          <w:sz w:val="48"/>
        </w:rPr>
        <w:t>COMPETITIVE ANALYSIS</w:t>
      </w:r>
    </w:p>
    <w:p>
      <w:pPr>
        <w:spacing w:before="80" w:after="80"/>
        <w:jc w:val="center"/>
      </w:pPr>
      <w:r>
        <w:rPr>
          <w:rFonts w:ascii="Calibri" w:hAnsi="Calibri"/>
          <w:b/>
          <w:i w:val="0"/>
          <w:color w:val="2E86C1"/>
          <w:sz w:val="34"/>
        </w:rPr>
        <w:t>Geospatial AI &amp; Physical Asset Intelligence</w:t>
      </w:r>
    </w:p>
    <w:p>
      <w:pPr>
        <w:spacing w:before="40" w:after="800"/>
        <w:jc w:val="center"/>
      </w:pPr>
      <w:r>
        <w:rPr>
          <w:rFonts w:ascii="Calibri" w:hAnsi="Calibri"/>
          <w:b w:val="0"/>
          <w:i/>
          <w:color w:val="ABB2B9"/>
          <w:sz w:val="24"/>
        </w:rPr>
        <w:t>Market Landscape for a GeoAsset Intelligence Startup</w:t>
      </w:r>
    </w:p>
    <w:p>
      <w:pPr>
        <w:spacing w:before="0" w:after="400"/>
        <w:jc w:val="center"/>
      </w:pPr>
      <w:r>
        <w:rPr>
          <w:rFonts w:ascii="Calibri" w:hAnsi="Calibri"/>
          <w:b w:val="0"/>
          <w:i w:val="0"/>
          <w:color w:val="2E86C1"/>
          <w:sz w:val="20"/>
        </w:rPr>
        <w:t>────────────────────────────────────────────────────────────</w:t>
      </w:r>
    </w:p>
    <w:p>
      <w:pPr>
        <w:spacing w:before="40"/>
        <w:jc w:val="center"/>
      </w:pPr>
      <w:r>
        <w:rPr>
          <w:rFonts w:ascii="Calibri" w:hAnsi="Calibri"/>
          <w:b w:val="0"/>
          <w:i w:val="0"/>
          <w:color w:val="ABB2B9"/>
          <w:sz w:val="20"/>
        </w:rPr>
        <w:t>Prepared for: Internal Strategy</w:t>
      </w:r>
    </w:p>
    <w:p>
      <w:pPr>
        <w:spacing w:before="40"/>
        <w:jc w:val="center"/>
      </w:pPr>
      <w:r>
        <w:rPr>
          <w:rFonts w:ascii="Calibri" w:hAnsi="Calibri"/>
          <w:b w:val="0"/>
          <w:i w:val="0"/>
          <w:color w:val="ABB2B9"/>
          <w:sz w:val="20"/>
        </w:rPr>
        <w:t>Date: May 2026</w:t>
      </w:r>
    </w:p>
    <w:p>
      <w:pPr>
        <w:spacing w:before="40"/>
        <w:jc w:val="center"/>
      </w:pPr>
      <w:r>
        <w:rPr>
          <w:rFonts w:ascii="Calibri" w:hAnsi="Calibri"/>
          <w:b w:val="0"/>
          <w:i w:val="0"/>
          <w:color w:val="ABB2B9"/>
          <w:sz w:val="20"/>
        </w:rPr>
        <w:t>Confidential</w:t>
      </w:r>
    </w:p>
    <w:p>
      <w:r>
        <w:br w:type="page"/>
      </w:r>
    </w:p>
    <w:p>
      <w:pPr>
        <w:spacing w:before="280" w:after="80"/>
        <w:pBdr>
          <w:bottom w:val="single" w:sz="6" w:space="1" w:color="2E86C1"/>
        </w:pBdr>
      </w:pPr>
      <w:r>
        <w:rPr>
          <w:rFonts w:ascii="Calibri" w:hAnsi="Calibri"/>
          <w:b/>
          <w:color w:val="0D2B4E"/>
          <w:sz w:val="30"/>
        </w:rPr>
        <w:t>EXECUTIVE SUMMARY</w:t>
      </w:r>
    </w:p>
    <w:p>
      <w:pPr>
        <w:spacing w:before="40" w:after="160"/>
      </w:pPr>
      <w:r>
        <w:rPr>
          <w:rFonts w:ascii="Calibri" w:hAnsi="Calibri"/>
          <w:b w:val="0"/>
          <w:i/>
          <w:color w:val="ABB2B9"/>
          <w:sz w:val="20"/>
        </w:rPr>
        <w:t>This document provides a structured competitive analysis of the emerging market for geospatial AI and physical asset intelligence, with particular focus on the intersection of satellite/remote-sensing data, AI analytics, productive assets (industrial, energy, mining, real estate, agriculture), and ESG/financial use cases.</w:t>
      </w:r>
    </w:p>
    <w:p>
      <w:pPr>
        <w:spacing w:before="280" w:after="80"/>
      </w:pPr>
      <w:r>
        <w:rPr>
          <w:rFonts w:ascii="Calibri" w:hAnsi="Calibri"/>
          <w:b/>
          <w:color w:val="1A5C8E"/>
          <w:sz w:val="24"/>
        </w:rPr>
        <w:t>Market Context</w:t>
      </w:r>
    </w:p>
    <w:p>
      <w:pPr>
        <w:spacing w:before="40" w:after="80"/>
        <w:ind w:left="0"/>
      </w:pPr>
      <w:r>
        <w:rPr>
          <w:rFonts w:ascii="Calibri" w:hAnsi="Calibri"/>
          <w:b w:val="0"/>
          <w:i w:val="0"/>
          <w:color w:val="17202A"/>
          <w:sz w:val="20"/>
        </w:rPr>
        <w:t>The global geospatial AI market was valued at ~USD 38 billion in 2024 and is projected to reach USD 64.6 billion by 2030 (CAGR ~9%). The satellite-based Earth observation segment alone stood at USD 3.7 billion in 2024. Venture investment in AI broadly surpassed USD 200 billion in 2025, with physical-world and geospatial AI attracting a growing share.</w:t>
      </w:r>
    </w:p>
    <w:p>
      <w:pPr>
        <w:spacing w:before="280" w:after="80"/>
      </w:pPr>
      <w:r>
        <w:rPr>
          <w:rFonts w:ascii="Calibri" w:hAnsi="Calibri"/>
          <w:b/>
          <w:color w:val="1A5C8E"/>
          <w:sz w:val="24"/>
        </w:rPr>
        <w:t>Key Findings</w:t>
      </w:r>
    </w:p>
    <w:p>
      <w:pPr>
        <w:pStyle w:val="ListBullet"/>
        <w:spacing w:before="20" w:after="40"/>
        <w:ind w:left="360"/>
      </w:pPr>
      <w:r>
        <w:rPr>
          <w:rFonts w:ascii="Calibri" w:hAnsi="Calibri"/>
          <w:b/>
          <w:i w:val="0"/>
          <w:color w:val="0D2B4E"/>
          <w:sz w:val="20"/>
        </w:rPr>
        <w:t xml:space="preserve">Market fragmentation: </w:t>
      </w:r>
      <w:r>
        <w:rPr>
          <w:rFonts w:ascii="Calibri" w:hAnsi="Calibri"/>
          <w:b w:val="0"/>
          <w:i w:val="0"/>
          <w:color w:val="17202A"/>
          <w:sz w:val="20"/>
        </w:rPr>
        <w:t>No single player dominates the full stack from raw satellite data to ESG/financial decision-support for physical productive assets. Most incumbents own one layer (data OR analytics OR ESG ratings).</w:t>
      </w:r>
    </w:p>
    <w:p>
      <w:pPr>
        <w:pStyle w:val="ListBullet"/>
        <w:spacing w:before="20" w:after="40"/>
        <w:ind w:left="360"/>
      </w:pPr>
      <w:r>
        <w:rPr>
          <w:rFonts w:ascii="Calibri" w:hAnsi="Calibri"/>
          <w:b/>
          <w:i w:val="0"/>
          <w:color w:val="0D2B4E"/>
          <w:sz w:val="20"/>
        </w:rPr>
        <w:t xml:space="preserve">Satellite imagery leaders are being acquired: </w:t>
      </w:r>
      <w:r>
        <w:rPr>
          <w:rFonts w:ascii="Calibri" w:hAnsi="Calibri"/>
          <w:b w:val="0"/>
          <w:i w:val="0"/>
          <w:color w:val="17202A"/>
          <w:sz w:val="20"/>
        </w:rPr>
        <w:t>Orbital Insight (acq. Privateer 2024), Descartes Labs (acq. EarthDaily 2024), Geosite (acq. Descartes Labs 2024), Rezatec (majority stake 2024) signal consolidation.</w:t>
      </w:r>
    </w:p>
    <w:p>
      <w:pPr>
        <w:pStyle w:val="ListBullet"/>
        <w:spacing w:before="20" w:after="40"/>
        <w:ind w:left="360"/>
      </w:pPr>
      <w:r>
        <w:rPr>
          <w:rFonts w:ascii="Calibri" w:hAnsi="Calibri"/>
          <w:b/>
          <w:i w:val="0"/>
          <w:color w:val="0D2B4E"/>
          <w:sz w:val="20"/>
        </w:rPr>
        <w:t xml:space="preserve">ESG data is disconnected from physical location: </w:t>
      </w:r>
      <w:r>
        <w:rPr>
          <w:rFonts w:ascii="Calibri" w:hAnsi="Calibri"/>
          <w:b w:val="0"/>
          <w:i w:val="0"/>
          <w:color w:val="17202A"/>
          <w:sz w:val="20"/>
        </w:rPr>
        <w:t>MSCI, Sustainalytics, and S&amp;P Trucost rate companies, not assets. Their physical risk datasets map company HQ or disclosed facility lists — they do not continuously monitor actual asset activity.</w:t>
      </w:r>
    </w:p>
    <w:p>
      <w:pPr>
        <w:pStyle w:val="ListBullet"/>
        <w:spacing w:before="20" w:after="40"/>
        <w:ind w:left="360"/>
      </w:pPr>
      <w:r>
        <w:rPr>
          <w:rFonts w:ascii="Calibri" w:hAnsi="Calibri"/>
          <w:b/>
          <w:i w:val="0"/>
          <w:color w:val="0D2B4E"/>
          <w:sz w:val="20"/>
        </w:rPr>
        <w:t xml:space="preserve">AI-native startups are gaining ground in narrow verticals: </w:t>
      </w:r>
      <w:r>
        <w:rPr>
          <w:rFonts w:ascii="Calibri" w:hAnsi="Calibri"/>
          <w:b w:val="0"/>
          <w:i w:val="0"/>
          <w:color w:val="17202A"/>
          <w:sz w:val="20"/>
        </w:rPr>
        <w:t>AiDash (utilities/vegetation), LiveEO (infrastructure), Kayrros (energy emissions), Satelytics (pipeline/utility) all raised significant rounds 2022-2025 but serve specific sectors.</w:t>
      </w:r>
    </w:p>
    <w:p>
      <w:pPr>
        <w:pStyle w:val="ListBullet"/>
        <w:spacing w:before="20" w:after="40"/>
        <w:ind w:left="360"/>
      </w:pPr>
      <w:r>
        <w:rPr>
          <w:rFonts w:ascii="Calibri" w:hAnsi="Calibri"/>
          <w:b/>
          <w:i w:val="0"/>
          <w:color w:val="0D2B4E"/>
          <w:sz w:val="20"/>
        </w:rPr>
        <w:t xml:space="preserve">The white space: </w:t>
      </w:r>
      <w:r>
        <w:rPr>
          <w:rFonts w:ascii="Calibri" w:hAnsi="Calibri"/>
          <w:b w:val="0"/>
          <w:i w:val="0"/>
          <w:color w:val="17202A"/>
          <w:sz w:val="20"/>
        </w:rPr>
        <w:t>A platform that (1) locates &amp; identifies productive assets globally using satellite + public data, (2) continuously monitors them via AI, and (3) links findings to ESG scores, financial risk, and supply-chain due diligence — at scale across sectors — does not yet exist as a standalone product.</w:t>
      </w:r>
    </w:p>
    <w:p>
      <w:pPr>
        <w:spacing w:before="0" w:after="0"/>
      </w:pPr>
      <w:r>
        <w:rPr>
          <w:sz w:val="16"/>
        </w:rPr>
      </w:r>
    </w:p>
    <w:p>
      <w:r>
        <w:br w:type="page"/>
      </w:r>
    </w:p>
    <w:p>
      <w:pPr>
        <w:spacing w:before="280" w:after="80"/>
        <w:pBdr>
          <w:bottom w:val="single" w:sz="6" w:space="1" w:color="2E86C1"/>
        </w:pBdr>
      </w:pPr>
      <w:r>
        <w:rPr>
          <w:rFonts w:ascii="Calibri" w:hAnsi="Calibri"/>
          <w:b/>
          <w:color w:val="0D2B4E"/>
          <w:sz w:val="30"/>
        </w:rPr>
        <w:t>CATEGORY 1: SATELLITE IMAGERY + AI ASSET INTELLIGENCE</w:t>
      </w:r>
    </w:p>
    <w:p>
      <w:pPr>
        <w:spacing w:before="40" w:after="160"/>
      </w:pPr>
      <w:r>
        <w:rPr>
          <w:rFonts w:ascii="Calibri" w:hAnsi="Calibri"/>
          <w:b w:val="0"/>
          <w:i/>
          <w:color w:val="ABB2B9"/>
          <w:sz w:val="20"/>
        </w:rPr>
        <w:t>These companies use multi-source satellite data (optical, SAR, hyperspectral) combined with AI/ML to detect, locate, and monitor physical assets and human activity on the ground. They primarily serve government, defence, commodities traders, and increasingly insurance and ESG teams.</w:t>
      </w:r>
    </w:p>
    <w:p>
      <w:pPr>
        <w:spacing w:before="280" w:after="80"/>
      </w:pPr>
      <w:r>
        <w:rPr>
          <w:rFonts w:ascii="Calibri" w:hAnsi="Calibri"/>
          <w:b/>
          <w:color w:val="1A5C8E"/>
          <w:sz w:val="24"/>
        </w:rPr>
        <w:t>Orbital Insight</w:t>
      </w:r>
    </w:p>
    <w:p>
      <w:pPr>
        <w:spacing w:before="20" w:after="120"/>
      </w:pPr>
      <w:r>
        <w:rPr>
          <w:rFonts w:ascii="Calibri" w:hAnsi="Calibri"/>
          <w:b/>
          <w:i w:val="0"/>
          <w:color w:val="ABB2B9"/>
          <w:sz w:val="19"/>
        </w:rPr>
        <w:t xml:space="preserve">Founded: 2013  |  </w:t>
      </w:r>
      <w:r>
        <w:rPr>
          <w:rFonts w:ascii="Calibri" w:hAnsi="Calibri"/>
          <w:b w:val="0"/>
          <w:i w:val="0"/>
          <w:color w:val="ABB2B9"/>
          <w:sz w:val="19"/>
        </w:rPr>
        <w:t xml:space="preserve">HQ: Palo Alto, CA (acquired by Privateer, May 2024)  |  </w:t>
      </w:r>
      <w:r>
        <w:rPr>
          <w:rFonts w:ascii="Calibri" w:hAnsi="Calibri"/>
          <w:b w:val="0"/>
          <w:i w:val="0"/>
          <w:color w:val="ABB2B9"/>
          <w:sz w:val="19"/>
        </w:rPr>
        <w:t xml:space="preserve">Stage/Type: Acquired (prev. Series D)  |  </w:t>
      </w:r>
      <w:r>
        <w:rPr>
          <w:rFonts w:ascii="Calibri" w:hAnsi="Calibri"/>
          <w:b/>
          <w:i w:val="0"/>
          <w:color w:val="ABB2B9"/>
          <w:sz w:val="19"/>
        </w:rPr>
        <w:t xml:space="preserve">Competitive Relevance: </w:t>
      </w:r>
      <w:r>
        <w:rPr>
          <w:rFonts w:ascii="Calibri" w:hAnsi="Calibri"/>
          <w:b/>
          <w:i w:val="0"/>
          <w:color w:val="1E8B4C"/>
          <w:sz w:val="19"/>
        </w:rPr>
        <w:t>High</w:t>
      </w: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0D2B4E"/>
          </w:tcPr>
          <w:p>
            <w:pPr>
              <w:jc w:val="left"/>
            </w:pPr>
            <w:r>
              <w:rPr>
                <w:rFonts w:ascii="Calibri" w:hAnsi="Calibri"/>
                <w:b/>
                <w:i w:val="0"/>
                <w:color w:val="FFFFFF"/>
                <w:sz w:val="19"/>
              </w:rPr>
              <w:t>Core Product / Service</w:t>
            </w:r>
          </w:p>
        </w:tc>
        <w:tc>
          <w:tcPr>
            <w:tcW w:type="dxa" w:w="6480"/>
            <w:shd w:val="clear" w:color="auto" w:fill="F4F6F7"/>
          </w:tcPr>
          <w:p>
            <w:r>
              <w:rPr>
                <w:rFonts w:ascii="Calibri" w:hAnsi="Calibri"/>
                <w:b w:val="0"/>
                <w:i w:val="0"/>
                <w:color w:val="17202A"/>
                <w:sz w:val="19"/>
              </w:rPr>
              <w:t>Geospatial big data platform using AI to analyse satellite, UAV and IoT data. Products: supply-chain visibility, commodity tracking, geopolitical intelligence.</w:t>
            </w:r>
          </w:p>
        </w:tc>
      </w:tr>
      <w:tr>
        <w:tc>
          <w:tcPr>
            <w:tcW w:type="dxa" w:w="2592"/>
            <w:shd w:val="clear" w:color="auto" w:fill="0D2B4E"/>
          </w:tcPr>
          <w:p>
            <w:pPr>
              <w:jc w:val="left"/>
            </w:pPr>
            <w:r>
              <w:rPr>
                <w:rFonts w:ascii="Calibri" w:hAnsi="Calibri"/>
                <w:b/>
                <w:i w:val="0"/>
                <w:color w:val="FFFFFF"/>
                <w:sz w:val="19"/>
              </w:rPr>
              <w:t>Target Customers</w:t>
            </w:r>
          </w:p>
        </w:tc>
        <w:tc>
          <w:tcPr>
            <w:tcW w:type="dxa" w:w="6480"/>
            <w:shd w:val="clear" w:color="auto" w:fill="F4F6F7"/>
          </w:tcPr>
          <w:p>
            <w:r>
              <w:rPr>
                <w:rFonts w:ascii="Calibri" w:hAnsi="Calibri"/>
                <w:b w:val="0"/>
                <w:i w:val="0"/>
                <w:color w:val="17202A"/>
                <w:sz w:val="19"/>
              </w:rPr>
              <w:t>Government agencies, hedge funds, commodities traders, NGOs</w:t>
            </w:r>
          </w:p>
        </w:tc>
      </w:tr>
      <w:tr>
        <w:tc>
          <w:tcPr>
            <w:tcW w:type="dxa" w:w="2592"/>
            <w:shd w:val="clear" w:color="auto" w:fill="0D2B4E"/>
          </w:tcPr>
          <w:p>
            <w:pPr>
              <w:jc w:val="left"/>
            </w:pPr>
            <w:r>
              <w:rPr>
                <w:rFonts w:ascii="Calibri" w:hAnsi="Calibri"/>
                <w:b/>
                <w:i w:val="0"/>
                <w:color w:val="FFFFFF"/>
                <w:sz w:val="19"/>
              </w:rPr>
              <w:t>Funding / Revenue</w:t>
            </w:r>
          </w:p>
        </w:tc>
        <w:tc>
          <w:tcPr>
            <w:tcW w:type="dxa" w:w="6480"/>
            <w:shd w:val="clear" w:color="auto" w:fill="F4F6F7"/>
          </w:tcPr>
          <w:p>
            <w:r>
              <w:rPr>
                <w:rFonts w:ascii="Calibri" w:hAnsi="Calibri"/>
                <w:b w:val="0"/>
                <w:i w:val="0"/>
                <w:color w:val="17202A"/>
                <w:sz w:val="19"/>
              </w:rPr>
              <w:t>Total raised: ~$132M (Series D $50M, Sequoia-led, 2019). Revenue ~$44M (June 2024 data). Acquired by Privateer for undisclosed sum, May 2024.</w:t>
            </w:r>
          </w:p>
        </w:tc>
      </w:tr>
      <w:tr>
        <w:tc>
          <w:tcPr>
            <w:tcW w:type="dxa" w:w="2592"/>
            <w:shd w:val="clear" w:color="auto" w:fill="0D2B4E"/>
          </w:tcPr>
          <w:p>
            <w:pPr>
              <w:jc w:val="left"/>
            </w:pPr>
            <w:r>
              <w:rPr>
                <w:rFonts w:ascii="Calibri" w:hAnsi="Calibri"/>
                <w:b/>
                <w:i w:val="0"/>
                <w:color w:val="FFFFFF"/>
                <w:sz w:val="19"/>
              </w:rPr>
              <w:t>Key Differentiators</w:t>
            </w:r>
          </w:p>
        </w:tc>
        <w:tc>
          <w:tcPr>
            <w:tcW w:type="dxa" w:w="6480"/>
            <w:shd w:val="clear" w:color="auto" w:fill="F4F6F7"/>
          </w:tcPr>
          <w:p>
            <w:r>
              <w:rPr>
                <w:rFonts w:ascii="Calibri" w:hAnsi="Calibri"/>
                <w:b w:val="0"/>
                <w:i w:val="0"/>
                <w:color w:val="17202A"/>
                <w:sz w:val="19"/>
              </w:rPr>
              <w:t>• Pioneer in geospatial AI — deep IP in change-detection at scale</w:t>
              <w:br/>
              <w:t>• Strong US government &amp; IC relationships</w:t>
              <w:br/>
              <w:t>• Multi-source fusion (optical + SAR + IoT)</w:t>
            </w:r>
          </w:p>
        </w:tc>
      </w:tr>
      <w:tr>
        <w:tc>
          <w:tcPr>
            <w:tcW w:type="dxa" w:w="2592"/>
            <w:shd w:val="clear" w:color="auto" w:fill="0D2B4E"/>
          </w:tcPr>
          <w:p>
            <w:pPr>
              <w:jc w:val="left"/>
            </w:pPr>
            <w:r>
              <w:rPr>
                <w:rFonts w:ascii="Calibri" w:hAnsi="Calibri"/>
                <w:b/>
                <w:i w:val="0"/>
                <w:color w:val="FFFFFF"/>
                <w:sz w:val="19"/>
              </w:rPr>
              <w:t>Limitations / Gaps</w:t>
            </w:r>
          </w:p>
        </w:tc>
        <w:tc>
          <w:tcPr>
            <w:tcW w:type="dxa" w:w="6480"/>
            <w:shd w:val="clear" w:color="auto" w:fill="F4F6F7"/>
          </w:tcPr>
          <w:p>
            <w:r>
              <w:rPr>
                <w:rFonts w:ascii="Calibri" w:hAnsi="Calibri"/>
                <w:b w:val="0"/>
                <w:i w:val="0"/>
                <w:color w:val="17202A"/>
                <w:sz w:val="19"/>
              </w:rPr>
              <w:t>• Brand/product continuity uncertain post-acquisition by Privateer (Wozniak space-sustainability focus)</w:t>
              <w:br/>
              <w:t>• Historically weak on ESG and financial analytics layer</w:t>
              <w:br/>
              <w:t>• Largely US-centric customer base</w:t>
            </w:r>
          </w:p>
        </w:tc>
      </w:tr>
    </w:tbl>
    <w:p>
      <w:pPr>
        <w:spacing w:before="0" w:after="0"/>
      </w:pPr>
      <w:r>
        <w:rPr>
          <w:sz w:val="20"/>
        </w:rPr>
      </w:r>
    </w:p>
    <w:p>
      <w:pPr>
        <w:spacing w:before="280" w:after="80"/>
      </w:pPr>
      <w:r>
        <w:rPr>
          <w:rFonts w:ascii="Calibri" w:hAnsi="Calibri"/>
          <w:b/>
          <w:color w:val="1A5C8E"/>
          <w:sz w:val="24"/>
        </w:rPr>
        <w:t>Kayrros</w:t>
      </w:r>
    </w:p>
    <w:p>
      <w:pPr>
        <w:spacing w:before="20" w:after="120"/>
      </w:pPr>
      <w:r>
        <w:rPr>
          <w:rFonts w:ascii="Calibri" w:hAnsi="Calibri"/>
          <w:b/>
          <w:i w:val="0"/>
          <w:color w:val="ABB2B9"/>
          <w:sz w:val="19"/>
        </w:rPr>
        <w:t xml:space="preserve">Founded: 2016  |  </w:t>
      </w:r>
      <w:r>
        <w:rPr>
          <w:rFonts w:ascii="Calibri" w:hAnsi="Calibri"/>
          <w:b w:val="0"/>
          <w:i w:val="0"/>
          <w:color w:val="ABB2B9"/>
          <w:sz w:val="19"/>
        </w:rPr>
        <w:t xml:space="preserve">HQ: Paris, France  |  </w:t>
      </w:r>
      <w:r>
        <w:rPr>
          <w:rFonts w:ascii="Calibri" w:hAnsi="Calibri"/>
          <w:b w:val="0"/>
          <w:i w:val="0"/>
          <w:color w:val="ABB2B9"/>
          <w:sz w:val="19"/>
        </w:rPr>
        <w:t xml:space="preserve">Stage/Type: Series C (acquired by Energy Aspects, March 2026)  |  </w:t>
      </w:r>
      <w:r>
        <w:rPr>
          <w:rFonts w:ascii="Calibri" w:hAnsi="Calibri"/>
          <w:b/>
          <w:i w:val="0"/>
          <w:color w:val="ABB2B9"/>
          <w:sz w:val="19"/>
        </w:rPr>
        <w:t xml:space="preserve">Competitive Relevance: </w:t>
      </w:r>
      <w:r>
        <w:rPr>
          <w:rFonts w:ascii="Calibri" w:hAnsi="Calibri"/>
          <w:b/>
          <w:i w:val="0"/>
          <w:color w:val="1E8B4C"/>
          <w:sz w:val="19"/>
        </w:rPr>
        <w:t>High</w:t>
      </w: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0D2B4E"/>
          </w:tcPr>
          <w:p>
            <w:pPr>
              <w:jc w:val="left"/>
            </w:pPr>
            <w:r>
              <w:rPr>
                <w:rFonts w:ascii="Calibri" w:hAnsi="Calibri"/>
                <w:b/>
                <w:i w:val="0"/>
                <w:color w:val="FFFFFF"/>
                <w:sz w:val="19"/>
              </w:rPr>
              <w:t>Core Product / Service</w:t>
            </w:r>
          </w:p>
        </w:tc>
        <w:tc>
          <w:tcPr>
            <w:tcW w:type="dxa" w:w="6480"/>
            <w:shd w:val="clear" w:color="auto" w:fill="F4F6F7"/>
          </w:tcPr>
          <w:p>
            <w:r>
              <w:rPr>
                <w:rFonts w:ascii="Calibri" w:hAnsi="Calibri"/>
                <w:b w:val="0"/>
                <w:i w:val="0"/>
                <w:color w:val="17202A"/>
                <w:sz w:val="19"/>
              </w:rPr>
              <w:t>Environmental intelligence platform tracking energy assets, methane/GHG emissions, and climate indicators via satellite + AI. Products include methane monitoring, oil/gas storage tracking, wildfire risk, and renewable energy asset intelligence.</w:t>
            </w:r>
          </w:p>
        </w:tc>
      </w:tr>
      <w:tr>
        <w:tc>
          <w:tcPr>
            <w:tcW w:type="dxa" w:w="2592"/>
            <w:shd w:val="clear" w:color="auto" w:fill="0D2B4E"/>
          </w:tcPr>
          <w:p>
            <w:pPr>
              <w:jc w:val="left"/>
            </w:pPr>
            <w:r>
              <w:rPr>
                <w:rFonts w:ascii="Calibri" w:hAnsi="Calibri"/>
                <w:b/>
                <w:i w:val="0"/>
                <w:color w:val="FFFFFF"/>
                <w:sz w:val="19"/>
              </w:rPr>
              <w:t>Target Customers</w:t>
            </w:r>
          </w:p>
        </w:tc>
        <w:tc>
          <w:tcPr>
            <w:tcW w:type="dxa" w:w="6480"/>
            <w:shd w:val="clear" w:color="auto" w:fill="F4F6F7"/>
          </w:tcPr>
          <w:p>
            <w:r>
              <w:rPr>
                <w:rFonts w:ascii="Calibri" w:hAnsi="Calibri"/>
                <w:b w:val="0"/>
                <w:i w:val="0"/>
                <w:color w:val="17202A"/>
                <w:sz w:val="19"/>
              </w:rPr>
              <w:t>Energy companies, commodity traders, regulators, ESG investors, banks</w:t>
            </w:r>
          </w:p>
        </w:tc>
      </w:tr>
      <w:tr>
        <w:tc>
          <w:tcPr>
            <w:tcW w:type="dxa" w:w="2592"/>
            <w:shd w:val="clear" w:color="auto" w:fill="0D2B4E"/>
          </w:tcPr>
          <w:p>
            <w:pPr>
              <w:jc w:val="left"/>
            </w:pPr>
            <w:r>
              <w:rPr>
                <w:rFonts w:ascii="Calibri" w:hAnsi="Calibri"/>
                <w:b/>
                <w:i w:val="0"/>
                <w:color w:val="FFFFFF"/>
                <w:sz w:val="19"/>
              </w:rPr>
              <w:t>Funding / Revenue</w:t>
            </w:r>
          </w:p>
        </w:tc>
        <w:tc>
          <w:tcPr>
            <w:tcW w:type="dxa" w:w="6480"/>
            <w:shd w:val="clear" w:color="auto" w:fill="F4F6F7"/>
          </w:tcPr>
          <w:p>
            <w:r>
              <w:rPr>
                <w:rFonts w:ascii="Calibri" w:hAnsi="Calibri"/>
                <w:b w:val="0"/>
                <w:i w:val="0"/>
                <w:color w:val="17202A"/>
                <w:sz w:val="19"/>
              </w:rPr>
              <w:t>Total raised: ~$78M (Series C $44M, 2022). Revenue ~$20.2M (Oct 2024, 80 customers). Acquired by Energy Aspects (March 2026). Named Fortune "Change the World" 2024 #30.</w:t>
            </w:r>
          </w:p>
        </w:tc>
      </w:tr>
      <w:tr>
        <w:tc>
          <w:tcPr>
            <w:tcW w:type="dxa" w:w="2592"/>
            <w:shd w:val="clear" w:color="auto" w:fill="0D2B4E"/>
          </w:tcPr>
          <w:p>
            <w:pPr>
              <w:jc w:val="left"/>
            </w:pPr>
            <w:r>
              <w:rPr>
                <w:rFonts w:ascii="Calibri" w:hAnsi="Calibri"/>
                <w:b/>
                <w:i w:val="0"/>
                <w:color w:val="FFFFFF"/>
                <w:sz w:val="19"/>
              </w:rPr>
              <w:t>Key Differentiators</w:t>
            </w:r>
          </w:p>
        </w:tc>
        <w:tc>
          <w:tcPr>
            <w:tcW w:type="dxa" w:w="6480"/>
            <w:shd w:val="clear" w:color="auto" w:fill="F4F6F7"/>
          </w:tcPr>
          <w:p>
            <w:r>
              <w:rPr>
                <w:rFonts w:ascii="Calibri" w:hAnsi="Calibri"/>
                <w:b w:val="0"/>
                <w:i w:val="0"/>
                <w:color w:val="17202A"/>
                <w:sz w:val="19"/>
              </w:rPr>
              <w:t>• Best-in-class methane/GHG emissions tracking from space — regulatory compliance use case</w:t>
              <w:br/>
              <w:t>• Near-real-time energy asset monitoring (tanks, refineries, LNG terminals)</w:t>
              <w:br/>
              <w:t>• Strong traction in financial/ESG community</w:t>
              <w:br/>
              <w:t>• TIME Best Inventions 2025 (Wildfire Risk Monitor)</w:t>
            </w:r>
          </w:p>
        </w:tc>
      </w:tr>
      <w:tr>
        <w:tc>
          <w:tcPr>
            <w:tcW w:type="dxa" w:w="2592"/>
            <w:shd w:val="clear" w:color="auto" w:fill="0D2B4E"/>
          </w:tcPr>
          <w:p>
            <w:pPr>
              <w:jc w:val="left"/>
            </w:pPr>
            <w:r>
              <w:rPr>
                <w:rFonts w:ascii="Calibri" w:hAnsi="Calibri"/>
                <w:b/>
                <w:i w:val="0"/>
                <w:color w:val="FFFFFF"/>
                <w:sz w:val="19"/>
              </w:rPr>
              <w:t>Limitations / Gaps</w:t>
            </w:r>
          </w:p>
        </w:tc>
        <w:tc>
          <w:tcPr>
            <w:tcW w:type="dxa" w:w="6480"/>
            <w:shd w:val="clear" w:color="auto" w:fill="F4F6F7"/>
          </w:tcPr>
          <w:p>
            <w:r>
              <w:rPr>
                <w:rFonts w:ascii="Calibri" w:hAnsi="Calibri"/>
                <w:b w:val="0"/>
                <w:i w:val="0"/>
                <w:color w:val="17202A"/>
                <w:sz w:val="19"/>
              </w:rPr>
              <w:t>• Revenue still relatively small (~$20M); limited outside energy sector</w:t>
              <w:br/>
              <w:t>• Post-acquisition direction may shift toward Energy Aspects clients only</w:t>
              <w:br/>
              <w:t>• Does not cover mining, manufacturing, or agri assets</w:t>
            </w:r>
          </w:p>
        </w:tc>
      </w:tr>
    </w:tbl>
    <w:p>
      <w:pPr>
        <w:spacing w:before="0" w:after="0"/>
      </w:pPr>
      <w:r>
        <w:rPr>
          <w:sz w:val="20"/>
        </w:rPr>
      </w:r>
    </w:p>
    <w:p>
      <w:pPr>
        <w:spacing w:before="280" w:after="80"/>
      </w:pPr>
      <w:r>
        <w:rPr>
          <w:rFonts w:ascii="Calibri" w:hAnsi="Calibri"/>
          <w:b/>
          <w:color w:val="1A5C8E"/>
          <w:sz w:val="24"/>
        </w:rPr>
        <w:t>Planet Labs</w:t>
      </w:r>
    </w:p>
    <w:p>
      <w:pPr>
        <w:spacing w:before="20" w:after="120"/>
      </w:pPr>
      <w:r>
        <w:rPr>
          <w:rFonts w:ascii="Calibri" w:hAnsi="Calibri"/>
          <w:b/>
          <w:i w:val="0"/>
          <w:color w:val="ABB2B9"/>
          <w:sz w:val="19"/>
        </w:rPr>
        <w:t xml:space="preserve">Founded: 2010  |  </w:t>
      </w:r>
      <w:r>
        <w:rPr>
          <w:rFonts w:ascii="Calibri" w:hAnsi="Calibri"/>
          <w:b w:val="0"/>
          <w:i w:val="0"/>
          <w:color w:val="ABB2B9"/>
          <w:sz w:val="19"/>
        </w:rPr>
        <w:t xml:space="preserve">HQ: San Francisco, CA (NASDAQ: PL)  |  </w:t>
      </w:r>
      <w:r>
        <w:rPr>
          <w:rFonts w:ascii="Calibri" w:hAnsi="Calibri"/>
          <w:b w:val="0"/>
          <w:i w:val="0"/>
          <w:color w:val="ABB2B9"/>
          <w:sz w:val="19"/>
        </w:rPr>
        <w:t xml:space="preserve">Stage/Type: Public (NYSE: PL)  |  </w:t>
      </w:r>
      <w:r>
        <w:rPr>
          <w:rFonts w:ascii="Calibri" w:hAnsi="Calibri"/>
          <w:b/>
          <w:i w:val="0"/>
          <w:color w:val="ABB2B9"/>
          <w:sz w:val="19"/>
        </w:rPr>
        <w:t xml:space="preserve">Competitive Relevance: </w:t>
      </w:r>
      <w:r>
        <w:rPr>
          <w:rFonts w:ascii="Calibri" w:hAnsi="Calibri"/>
          <w:b/>
          <w:i w:val="0"/>
          <w:color w:val="E67E22"/>
          <w:sz w:val="19"/>
        </w:rPr>
        <w:t>Medium</w:t>
      </w: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0D2B4E"/>
          </w:tcPr>
          <w:p>
            <w:pPr>
              <w:jc w:val="left"/>
            </w:pPr>
            <w:r>
              <w:rPr>
                <w:rFonts w:ascii="Calibri" w:hAnsi="Calibri"/>
                <w:b/>
                <w:i w:val="0"/>
                <w:color w:val="FFFFFF"/>
                <w:sz w:val="19"/>
              </w:rPr>
              <w:t>Core Product / Service</w:t>
            </w:r>
          </w:p>
        </w:tc>
        <w:tc>
          <w:tcPr>
            <w:tcW w:type="dxa" w:w="6480"/>
            <w:shd w:val="clear" w:color="auto" w:fill="F4F6F7"/>
          </w:tcPr>
          <w:p>
            <w:r>
              <w:rPr>
                <w:rFonts w:ascii="Calibri" w:hAnsi="Calibri"/>
                <w:b w:val="0"/>
                <w:i w:val="0"/>
                <w:color w:val="17202A"/>
                <w:sz w:val="19"/>
              </w:rPr>
              <w:t>World's largest commercial satellite constellation (200+ small sats). Provides daily optical imagery of entire Earth surface. Analytics APIs and tasking services.</w:t>
            </w:r>
          </w:p>
        </w:tc>
      </w:tr>
      <w:tr>
        <w:tc>
          <w:tcPr>
            <w:tcW w:type="dxa" w:w="2592"/>
            <w:shd w:val="clear" w:color="auto" w:fill="0D2B4E"/>
          </w:tcPr>
          <w:p>
            <w:pPr>
              <w:jc w:val="left"/>
            </w:pPr>
            <w:r>
              <w:rPr>
                <w:rFonts w:ascii="Calibri" w:hAnsi="Calibri"/>
                <w:b/>
                <w:i w:val="0"/>
                <w:color w:val="FFFFFF"/>
                <w:sz w:val="19"/>
              </w:rPr>
              <w:t>Target Customers</w:t>
            </w:r>
          </w:p>
        </w:tc>
        <w:tc>
          <w:tcPr>
            <w:tcW w:type="dxa" w:w="6480"/>
            <w:shd w:val="clear" w:color="auto" w:fill="F4F6F7"/>
          </w:tcPr>
          <w:p>
            <w:r>
              <w:rPr>
                <w:rFonts w:ascii="Calibri" w:hAnsi="Calibri"/>
                <w:b w:val="0"/>
                <w:i w:val="0"/>
                <w:color w:val="17202A"/>
                <w:sz w:val="19"/>
              </w:rPr>
              <w:t>Governments, agriculture, forestry, insurance, mining, infrastructure</w:t>
            </w:r>
          </w:p>
        </w:tc>
      </w:tr>
      <w:tr>
        <w:tc>
          <w:tcPr>
            <w:tcW w:type="dxa" w:w="2592"/>
            <w:shd w:val="clear" w:color="auto" w:fill="0D2B4E"/>
          </w:tcPr>
          <w:p>
            <w:pPr>
              <w:jc w:val="left"/>
            </w:pPr>
            <w:r>
              <w:rPr>
                <w:rFonts w:ascii="Calibri" w:hAnsi="Calibri"/>
                <w:b/>
                <w:i w:val="0"/>
                <w:color w:val="FFFFFF"/>
                <w:sz w:val="19"/>
              </w:rPr>
              <w:t>Funding / Revenue</w:t>
            </w:r>
          </w:p>
        </w:tc>
        <w:tc>
          <w:tcPr>
            <w:tcW w:type="dxa" w:w="6480"/>
            <w:shd w:val="clear" w:color="auto" w:fill="F4F6F7"/>
          </w:tcPr>
          <w:p>
            <w:r>
              <w:rPr>
                <w:rFonts w:ascii="Calibri" w:hAnsi="Calibri"/>
                <w:b w:val="0"/>
                <w:i w:val="0"/>
                <w:color w:val="17202A"/>
                <w:sz w:val="19"/>
              </w:rPr>
              <w:t>FY2024 revenue: ~$244M; FY2026 guidance $281–289M (+14–18% YoY). USD 280M contract with Germany (2025). Market cap ~$1B range.</w:t>
            </w:r>
          </w:p>
        </w:tc>
      </w:tr>
      <w:tr>
        <w:tc>
          <w:tcPr>
            <w:tcW w:type="dxa" w:w="2592"/>
            <w:shd w:val="clear" w:color="auto" w:fill="0D2B4E"/>
          </w:tcPr>
          <w:p>
            <w:pPr>
              <w:jc w:val="left"/>
            </w:pPr>
            <w:r>
              <w:rPr>
                <w:rFonts w:ascii="Calibri" w:hAnsi="Calibri"/>
                <w:b/>
                <w:i w:val="0"/>
                <w:color w:val="FFFFFF"/>
                <w:sz w:val="19"/>
              </w:rPr>
              <w:t>Key Differentiators</w:t>
            </w:r>
          </w:p>
        </w:tc>
        <w:tc>
          <w:tcPr>
            <w:tcW w:type="dxa" w:w="6480"/>
            <w:shd w:val="clear" w:color="auto" w:fill="F4F6F7"/>
          </w:tcPr>
          <w:p>
            <w:r>
              <w:rPr>
                <w:rFonts w:ascii="Calibri" w:hAnsi="Calibri"/>
                <w:b w:val="0"/>
                <w:i w:val="0"/>
                <w:color w:val="17202A"/>
                <w:sz w:val="19"/>
              </w:rPr>
              <w:t>• Unmatched revisit frequency (daily global coverage)</w:t>
              <w:br/>
              <w:t>• Archive depth — decades of imagery for change detection</w:t>
              <w:br/>
              <w:t>• Azure/Microsoft integration for enterprise distribution</w:t>
              <w:br/>
              <w:t>• Broad sector coverage</w:t>
            </w:r>
          </w:p>
        </w:tc>
      </w:tr>
      <w:tr>
        <w:tc>
          <w:tcPr>
            <w:tcW w:type="dxa" w:w="2592"/>
            <w:shd w:val="clear" w:color="auto" w:fill="0D2B4E"/>
          </w:tcPr>
          <w:p>
            <w:pPr>
              <w:jc w:val="left"/>
            </w:pPr>
            <w:r>
              <w:rPr>
                <w:rFonts w:ascii="Calibri" w:hAnsi="Calibri"/>
                <w:b/>
                <w:i w:val="0"/>
                <w:color w:val="FFFFFF"/>
                <w:sz w:val="19"/>
              </w:rPr>
              <w:t>Limitations / Gaps</w:t>
            </w:r>
          </w:p>
        </w:tc>
        <w:tc>
          <w:tcPr>
            <w:tcW w:type="dxa" w:w="6480"/>
            <w:shd w:val="clear" w:color="auto" w:fill="F4F6F7"/>
          </w:tcPr>
          <w:p>
            <w:r>
              <w:rPr>
                <w:rFonts w:ascii="Calibri" w:hAnsi="Calibri"/>
                <w:b w:val="0"/>
                <w:i w:val="0"/>
                <w:color w:val="17202A"/>
                <w:sz w:val="19"/>
              </w:rPr>
              <w:t>• Primarily a data/infrastructure provider — limited vertical analytics</w:t>
              <w:br/>
              <w:t>• Not profitable; high capex for constellation maintenance</w:t>
              <w:br/>
              <w:t>• Customers must build their own AI/analytics layer or use 3rd parties</w:t>
              <w:br/>
              <w:t>• Optical only — limited in cloud cover, night-time, covert activity</w:t>
            </w:r>
          </w:p>
        </w:tc>
      </w:tr>
    </w:tbl>
    <w:p>
      <w:pPr>
        <w:spacing w:before="0" w:after="0"/>
      </w:pPr>
      <w:r>
        <w:rPr>
          <w:sz w:val="20"/>
        </w:rPr>
      </w:r>
    </w:p>
    <w:p>
      <w:pPr>
        <w:spacing w:before="280" w:after="80"/>
      </w:pPr>
      <w:r>
        <w:rPr>
          <w:rFonts w:ascii="Calibri" w:hAnsi="Calibri"/>
          <w:b/>
          <w:color w:val="1A5C8E"/>
          <w:sz w:val="24"/>
        </w:rPr>
        <w:t>ICEYE</w:t>
      </w:r>
    </w:p>
    <w:p>
      <w:pPr>
        <w:spacing w:before="20" w:after="120"/>
      </w:pPr>
      <w:r>
        <w:rPr>
          <w:rFonts w:ascii="Calibri" w:hAnsi="Calibri"/>
          <w:b/>
          <w:i w:val="0"/>
          <w:color w:val="ABB2B9"/>
          <w:sz w:val="19"/>
        </w:rPr>
        <w:t xml:space="preserve">Founded: 2014  |  </w:t>
      </w:r>
      <w:r>
        <w:rPr>
          <w:rFonts w:ascii="Calibri" w:hAnsi="Calibri"/>
          <w:b w:val="0"/>
          <w:i w:val="0"/>
          <w:color w:val="ABB2B9"/>
          <w:sz w:val="19"/>
        </w:rPr>
        <w:t xml:space="preserve">HQ: Espoo, Finland  |  </w:t>
      </w:r>
      <w:r>
        <w:rPr>
          <w:rFonts w:ascii="Calibri" w:hAnsi="Calibri"/>
          <w:b w:val="0"/>
          <w:i w:val="0"/>
          <w:color w:val="ABB2B9"/>
          <w:sz w:val="19"/>
        </w:rPr>
        <w:t xml:space="preserve">Stage/Type: Late-stage private (Series E+)  |  </w:t>
      </w:r>
      <w:r>
        <w:rPr>
          <w:rFonts w:ascii="Calibri" w:hAnsi="Calibri"/>
          <w:b/>
          <w:i w:val="0"/>
          <w:color w:val="ABB2B9"/>
          <w:sz w:val="19"/>
        </w:rPr>
        <w:t xml:space="preserve">Competitive Relevance: </w:t>
      </w:r>
      <w:r>
        <w:rPr>
          <w:rFonts w:ascii="Calibri" w:hAnsi="Calibri"/>
          <w:b/>
          <w:i w:val="0"/>
          <w:color w:val="E67E22"/>
          <w:sz w:val="19"/>
        </w:rPr>
        <w:t>Medium</w:t>
      </w: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0D2B4E"/>
          </w:tcPr>
          <w:p>
            <w:pPr>
              <w:jc w:val="left"/>
            </w:pPr>
            <w:r>
              <w:rPr>
                <w:rFonts w:ascii="Calibri" w:hAnsi="Calibri"/>
                <w:b/>
                <w:i w:val="0"/>
                <w:color w:val="FFFFFF"/>
                <w:sz w:val="19"/>
              </w:rPr>
              <w:t>Core Product / Service</w:t>
            </w:r>
          </w:p>
        </w:tc>
        <w:tc>
          <w:tcPr>
            <w:tcW w:type="dxa" w:w="6480"/>
            <w:shd w:val="clear" w:color="auto" w:fill="F4F6F7"/>
          </w:tcPr>
          <w:p>
            <w:r>
              <w:rPr>
                <w:rFonts w:ascii="Calibri" w:hAnsi="Calibri"/>
                <w:b w:val="0"/>
                <w:i w:val="0"/>
                <w:color w:val="17202A"/>
                <w:sz w:val="19"/>
              </w:rPr>
              <w:t>World's largest SAR (synthetic aperture radar) satellite constellation (54+ sats). All-weather, day/night persistent monitoring. Key applications: insurance, disaster response, defence, utilities (grid monitoring), flood mapping.</w:t>
            </w:r>
          </w:p>
        </w:tc>
      </w:tr>
      <w:tr>
        <w:tc>
          <w:tcPr>
            <w:tcW w:type="dxa" w:w="2592"/>
            <w:shd w:val="clear" w:color="auto" w:fill="0D2B4E"/>
          </w:tcPr>
          <w:p>
            <w:pPr>
              <w:jc w:val="left"/>
            </w:pPr>
            <w:r>
              <w:rPr>
                <w:rFonts w:ascii="Calibri" w:hAnsi="Calibri"/>
                <w:b/>
                <w:i w:val="0"/>
                <w:color w:val="FFFFFF"/>
                <w:sz w:val="19"/>
              </w:rPr>
              <w:t>Target Customers</w:t>
            </w:r>
          </w:p>
        </w:tc>
        <w:tc>
          <w:tcPr>
            <w:tcW w:type="dxa" w:w="6480"/>
            <w:shd w:val="clear" w:color="auto" w:fill="F4F6F7"/>
          </w:tcPr>
          <w:p>
            <w:r>
              <w:rPr>
                <w:rFonts w:ascii="Calibri" w:hAnsi="Calibri"/>
                <w:b w:val="0"/>
                <w:i w:val="0"/>
                <w:color w:val="17202A"/>
                <w:sz w:val="19"/>
              </w:rPr>
              <w:t>Insurance/reinsurance, governments, defence, utilities, financial institutions</w:t>
            </w:r>
          </w:p>
        </w:tc>
      </w:tr>
      <w:tr>
        <w:tc>
          <w:tcPr>
            <w:tcW w:type="dxa" w:w="2592"/>
            <w:shd w:val="clear" w:color="auto" w:fill="0D2B4E"/>
          </w:tcPr>
          <w:p>
            <w:pPr>
              <w:jc w:val="left"/>
            </w:pPr>
            <w:r>
              <w:rPr>
                <w:rFonts w:ascii="Calibri" w:hAnsi="Calibri"/>
                <w:b/>
                <w:i w:val="0"/>
                <w:color w:val="FFFFFF"/>
                <w:sz w:val="19"/>
              </w:rPr>
              <w:t>Funding / Revenue</w:t>
            </w:r>
          </w:p>
        </w:tc>
        <w:tc>
          <w:tcPr>
            <w:tcW w:type="dxa" w:w="6480"/>
            <w:shd w:val="clear" w:color="auto" w:fill="F4F6F7"/>
          </w:tcPr>
          <w:p>
            <w:r>
              <w:rPr>
                <w:rFonts w:ascii="Calibri" w:hAnsi="Calibri"/>
                <w:b w:val="0"/>
                <w:i w:val="0"/>
                <w:color w:val="17202A"/>
                <w:sz w:val="19"/>
              </w:rPr>
              <w:t>Total raised: ~$430M+. Dec 2025: EUR 150M round, valuation EUR 2.4B (~USD 2.8B). Jan 2024: $65M additional; 2024 total raises ~$158M.</w:t>
            </w:r>
          </w:p>
        </w:tc>
      </w:tr>
      <w:tr>
        <w:tc>
          <w:tcPr>
            <w:tcW w:type="dxa" w:w="2592"/>
            <w:shd w:val="clear" w:color="auto" w:fill="0D2B4E"/>
          </w:tcPr>
          <w:p>
            <w:pPr>
              <w:jc w:val="left"/>
            </w:pPr>
            <w:r>
              <w:rPr>
                <w:rFonts w:ascii="Calibri" w:hAnsi="Calibri"/>
                <w:b/>
                <w:i w:val="0"/>
                <w:color w:val="FFFFFF"/>
                <w:sz w:val="19"/>
              </w:rPr>
              <w:t>Key Differentiators</w:t>
            </w:r>
          </w:p>
        </w:tc>
        <w:tc>
          <w:tcPr>
            <w:tcW w:type="dxa" w:w="6480"/>
            <w:shd w:val="clear" w:color="auto" w:fill="F4F6F7"/>
          </w:tcPr>
          <w:p>
            <w:r>
              <w:rPr>
                <w:rFonts w:ascii="Calibri" w:hAnsi="Calibri"/>
                <w:b w:val="0"/>
                <w:i w:val="0"/>
                <w:color w:val="17202A"/>
                <w:sz w:val="19"/>
              </w:rPr>
              <w:t>• SAR works through clouds, at night — critical for persistent asset monitoring</w:t>
              <w:br/>
              <w:t>• Three revenue streams: imagery, analytical services, constellation-as-a-service</w:t>
              <w:br/>
              <w:t>• Growing insurance vertical (flood/hurricane) with quantified asset impact</w:t>
              <w:br/>
              <w:t>• European-sovereign capability — strong non-US positioning</w:t>
            </w:r>
          </w:p>
        </w:tc>
      </w:tr>
      <w:tr>
        <w:tc>
          <w:tcPr>
            <w:tcW w:type="dxa" w:w="2592"/>
            <w:shd w:val="clear" w:color="auto" w:fill="0D2B4E"/>
          </w:tcPr>
          <w:p>
            <w:pPr>
              <w:jc w:val="left"/>
            </w:pPr>
            <w:r>
              <w:rPr>
                <w:rFonts w:ascii="Calibri" w:hAnsi="Calibri"/>
                <w:b/>
                <w:i w:val="0"/>
                <w:color w:val="FFFFFF"/>
                <w:sz w:val="19"/>
              </w:rPr>
              <w:t>Limitations / Gaps</w:t>
            </w:r>
          </w:p>
        </w:tc>
        <w:tc>
          <w:tcPr>
            <w:tcW w:type="dxa" w:w="6480"/>
            <w:shd w:val="clear" w:color="auto" w:fill="F4F6F7"/>
          </w:tcPr>
          <w:p>
            <w:r>
              <w:rPr>
                <w:rFonts w:ascii="Calibri" w:hAnsi="Calibri"/>
                <w:b w:val="0"/>
                <w:i w:val="0"/>
                <w:color w:val="17202A"/>
                <w:sz w:val="19"/>
              </w:rPr>
              <w:t>• Analytics still at early stage for most sectors outside insurance/defence</w:t>
              <w:br/>
              <w:t>• SAR imagery is harder to interpret than optical — limits self-serve customers</w:t>
              <w:br/>
              <w:t>• ESG integration not a primary product focus</w:t>
            </w:r>
          </w:p>
        </w:tc>
      </w:tr>
    </w:tbl>
    <w:p>
      <w:pPr>
        <w:spacing w:before="0" w:after="0"/>
      </w:pPr>
      <w:r>
        <w:rPr>
          <w:sz w:val="20"/>
        </w:rPr>
      </w:r>
    </w:p>
    <w:p>
      <w:pPr>
        <w:spacing w:before="280" w:after="80"/>
      </w:pPr>
      <w:r>
        <w:rPr>
          <w:rFonts w:ascii="Calibri" w:hAnsi="Calibri"/>
          <w:b/>
          <w:color w:val="1A5C8E"/>
          <w:sz w:val="24"/>
        </w:rPr>
        <w:t>Satellogic</w:t>
      </w:r>
    </w:p>
    <w:p>
      <w:pPr>
        <w:spacing w:before="20" w:after="120"/>
      </w:pPr>
      <w:r>
        <w:rPr>
          <w:rFonts w:ascii="Calibri" w:hAnsi="Calibri"/>
          <w:b/>
          <w:i w:val="0"/>
          <w:color w:val="ABB2B9"/>
          <w:sz w:val="19"/>
        </w:rPr>
        <w:t xml:space="preserve">Founded: 2010  |  </w:t>
      </w:r>
      <w:r>
        <w:rPr>
          <w:rFonts w:ascii="Calibri" w:hAnsi="Calibri"/>
          <w:b w:val="0"/>
          <w:i w:val="0"/>
          <w:color w:val="ABB2B9"/>
          <w:sz w:val="19"/>
        </w:rPr>
        <w:t xml:space="preserve">HQ: Montevideo, Uruguay / Miami, FL (NASDAQ: SATL)  |  </w:t>
      </w:r>
      <w:r>
        <w:rPr>
          <w:rFonts w:ascii="Calibri" w:hAnsi="Calibri"/>
          <w:b w:val="0"/>
          <w:i w:val="0"/>
          <w:color w:val="ABB2B9"/>
          <w:sz w:val="19"/>
        </w:rPr>
        <w:t xml:space="preserve">Stage/Type: Public (NASDAQ: SATL)  |  </w:t>
      </w:r>
      <w:r>
        <w:rPr>
          <w:rFonts w:ascii="Calibri" w:hAnsi="Calibri"/>
          <w:b/>
          <w:i w:val="0"/>
          <w:color w:val="ABB2B9"/>
          <w:sz w:val="19"/>
        </w:rPr>
        <w:t xml:space="preserve">Competitive Relevance: </w:t>
      </w:r>
      <w:r>
        <w:rPr>
          <w:rFonts w:ascii="Calibri" w:hAnsi="Calibri"/>
          <w:b/>
          <w:i w:val="0"/>
          <w:color w:val="ABB2B9"/>
          <w:sz w:val="19"/>
        </w:rPr>
        <w:t>Low</w:t>
      </w: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0D2B4E"/>
          </w:tcPr>
          <w:p>
            <w:pPr>
              <w:jc w:val="left"/>
            </w:pPr>
            <w:r>
              <w:rPr>
                <w:rFonts w:ascii="Calibri" w:hAnsi="Calibri"/>
                <w:b/>
                <w:i w:val="0"/>
                <w:color w:val="FFFFFF"/>
                <w:sz w:val="19"/>
              </w:rPr>
              <w:t>Core Product / Service</w:t>
            </w:r>
          </w:p>
        </w:tc>
        <w:tc>
          <w:tcPr>
            <w:tcW w:type="dxa" w:w="6480"/>
            <w:shd w:val="clear" w:color="auto" w:fill="F4F6F7"/>
          </w:tcPr>
          <w:p>
            <w:r>
              <w:rPr>
                <w:rFonts w:ascii="Calibri" w:hAnsi="Calibri"/>
                <w:b w:val="0"/>
                <w:i w:val="0"/>
                <w:color w:val="17202A"/>
                <w:sz w:val="19"/>
              </w:rPr>
              <w:t>AI-first satellite constellation providing sub-meter resolution optical imagery with on-orbit AI analytics. Target: near-daily tasking, edge AI processing. 2024 revenue: $12.9M (+28% YoY).</w:t>
            </w:r>
          </w:p>
        </w:tc>
      </w:tr>
      <w:tr>
        <w:tc>
          <w:tcPr>
            <w:tcW w:type="dxa" w:w="2592"/>
            <w:shd w:val="clear" w:color="auto" w:fill="0D2B4E"/>
          </w:tcPr>
          <w:p>
            <w:pPr>
              <w:jc w:val="left"/>
            </w:pPr>
            <w:r>
              <w:rPr>
                <w:rFonts w:ascii="Calibri" w:hAnsi="Calibri"/>
                <w:b/>
                <w:i w:val="0"/>
                <w:color w:val="FFFFFF"/>
                <w:sz w:val="19"/>
              </w:rPr>
              <w:t>Target Customers</w:t>
            </w:r>
          </w:p>
        </w:tc>
        <w:tc>
          <w:tcPr>
            <w:tcW w:type="dxa" w:w="6480"/>
            <w:shd w:val="clear" w:color="auto" w:fill="F4F6F7"/>
          </w:tcPr>
          <w:p>
            <w:r>
              <w:rPr>
                <w:rFonts w:ascii="Calibri" w:hAnsi="Calibri"/>
                <w:b w:val="0"/>
                <w:i w:val="0"/>
                <w:color w:val="17202A"/>
                <w:sz w:val="19"/>
              </w:rPr>
              <w:t>Government, defence, intelligence, commercial analytics</w:t>
            </w:r>
          </w:p>
        </w:tc>
      </w:tr>
      <w:tr>
        <w:tc>
          <w:tcPr>
            <w:tcW w:type="dxa" w:w="2592"/>
            <w:shd w:val="clear" w:color="auto" w:fill="0D2B4E"/>
          </w:tcPr>
          <w:p>
            <w:pPr>
              <w:jc w:val="left"/>
            </w:pPr>
            <w:r>
              <w:rPr>
                <w:rFonts w:ascii="Calibri" w:hAnsi="Calibri"/>
                <w:b/>
                <w:i w:val="0"/>
                <w:color w:val="FFFFFF"/>
                <w:sz w:val="19"/>
              </w:rPr>
              <w:t>Funding / Revenue</w:t>
            </w:r>
          </w:p>
        </w:tc>
        <w:tc>
          <w:tcPr>
            <w:tcW w:type="dxa" w:w="6480"/>
            <w:shd w:val="clear" w:color="auto" w:fill="F4F6F7"/>
          </w:tcPr>
          <w:p>
            <w:r>
              <w:rPr>
                <w:rFonts w:ascii="Calibri" w:hAnsi="Calibri"/>
                <w:b w:val="0"/>
                <w:i w:val="0"/>
                <w:color w:val="17202A"/>
                <w:sz w:val="19"/>
              </w:rPr>
              <w:t>$12.9M revenue (2024, +28% YoY). Nasdaq-listed; $30M defence contract 2025. Liquidity challenges noted by analysts.</w:t>
            </w:r>
          </w:p>
        </w:tc>
      </w:tr>
      <w:tr>
        <w:tc>
          <w:tcPr>
            <w:tcW w:type="dxa" w:w="2592"/>
            <w:shd w:val="clear" w:color="auto" w:fill="0D2B4E"/>
          </w:tcPr>
          <w:p>
            <w:pPr>
              <w:jc w:val="left"/>
            </w:pPr>
            <w:r>
              <w:rPr>
                <w:rFonts w:ascii="Calibri" w:hAnsi="Calibri"/>
                <w:b/>
                <w:i w:val="0"/>
                <w:color w:val="FFFFFF"/>
                <w:sz w:val="19"/>
              </w:rPr>
              <w:t>Key Differentiators</w:t>
            </w:r>
          </w:p>
        </w:tc>
        <w:tc>
          <w:tcPr>
            <w:tcW w:type="dxa" w:w="6480"/>
            <w:shd w:val="clear" w:color="auto" w:fill="F4F6F7"/>
          </w:tcPr>
          <w:p>
            <w:r>
              <w:rPr>
                <w:rFonts w:ascii="Calibri" w:hAnsi="Calibri"/>
                <w:b w:val="0"/>
                <w:i w:val="0"/>
                <w:color w:val="17202A"/>
                <w:sz w:val="19"/>
              </w:rPr>
              <w:t>• On-orbit AI processing — reduces latency dramatically</w:t>
              <w:br/>
              <w:t>• Very high resolution (30cm class) with frequent revisit</w:t>
              <w:br/>
              <w:t>• NASA Commercial SmallSat Data Acquisition Program selection (2024)</w:t>
            </w:r>
          </w:p>
        </w:tc>
      </w:tr>
      <w:tr>
        <w:tc>
          <w:tcPr>
            <w:tcW w:type="dxa" w:w="2592"/>
            <w:shd w:val="clear" w:color="auto" w:fill="0D2B4E"/>
          </w:tcPr>
          <w:p>
            <w:pPr>
              <w:jc w:val="left"/>
            </w:pPr>
            <w:r>
              <w:rPr>
                <w:rFonts w:ascii="Calibri" w:hAnsi="Calibri"/>
                <w:b/>
                <w:i w:val="0"/>
                <w:color w:val="FFFFFF"/>
                <w:sz w:val="19"/>
              </w:rPr>
              <w:t>Limitations / Gaps</w:t>
            </w:r>
          </w:p>
        </w:tc>
        <w:tc>
          <w:tcPr>
            <w:tcW w:type="dxa" w:w="6480"/>
            <w:shd w:val="clear" w:color="auto" w:fill="F4F6F7"/>
          </w:tcPr>
          <w:p>
            <w:r>
              <w:rPr>
                <w:rFonts w:ascii="Calibri" w:hAnsi="Calibri"/>
                <w:b w:val="0"/>
                <w:i w:val="0"/>
                <w:color w:val="17202A"/>
                <w:sz w:val="19"/>
              </w:rPr>
              <w:t>• Small commercial revenue; heavily government/defence dependent</w:t>
              <w:br/>
              <w:t>• Liquidity concerns cited by analysts in 2025</w:t>
              <w:br/>
              <w:t>• No ESG or financial analytics products</w:t>
              <w:br/>
              <w:t>• NextGen 30cm satellite not operational until ~2027</w:t>
            </w:r>
          </w:p>
        </w:tc>
      </w:tr>
    </w:tbl>
    <w:p>
      <w:pPr>
        <w:spacing w:before="0" w:after="0"/>
      </w:pPr>
      <w:r>
        <w:rPr>
          <w:sz w:val="20"/>
        </w:rPr>
      </w:r>
    </w:p>
    <w:p>
      <w:pPr>
        <w:spacing w:before="280" w:after="80"/>
      </w:pPr>
      <w:r>
        <w:rPr>
          <w:rFonts w:ascii="Calibri" w:hAnsi="Calibri"/>
          <w:b/>
          <w:color w:val="1A5C8E"/>
          <w:sz w:val="24"/>
        </w:rPr>
        <w:t>Descartes Labs (now EarthDaily Analytics)</w:t>
      </w:r>
    </w:p>
    <w:p>
      <w:pPr>
        <w:spacing w:before="20" w:after="120"/>
      </w:pPr>
      <w:r>
        <w:rPr>
          <w:rFonts w:ascii="Calibri" w:hAnsi="Calibri"/>
          <w:b/>
          <w:i w:val="0"/>
          <w:color w:val="ABB2B9"/>
          <w:sz w:val="19"/>
        </w:rPr>
        <w:t xml:space="preserve">Founded: 2014  |  </w:t>
      </w:r>
      <w:r>
        <w:rPr>
          <w:rFonts w:ascii="Calibri" w:hAnsi="Calibri"/>
          <w:b w:val="0"/>
          <w:i w:val="0"/>
          <w:color w:val="ABB2B9"/>
          <w:sz w:val="19"/>
        </w:rPr>
        <w:t xml:space="preserve">HQ: Santa Fe, NM (acquired by EarthDaily, Oct 2024)  |  </w:t>
      </w:r>
      <w:r>
        <w:rPr>
          <w:rFonts w:ascii="Calibri" w:hAnsi="Calibri"/>
          <w:b w:val="0"/>
          <w:i w:val="0"/>
          <w:color w:val="ABB2B9"/>
          <w:sz w:val="19"/>
        </w:rPr>
        <w:t xml:space="preserve">Stage/Type: Acquired  |  </w:t>
      </w:r>
      <w:r>
        <w:rPr>
          <w:rFonts w:ascii="Calibri" w:hAnsi="Calibri"/>
          <w:b/>
          <w:i w:val="0"/>
          <w:color w:val="ABB2B9"/>
          <w:sz w:val="19"/>
        </w:rPr>
        <w:t xml:space="preserve">Competitive Relevance: </w:t>
      </w:r>
      <w:r>
        <w:rPr>
          <w:rFonts w:ascii="Calibri" w:hAnsi="Calibri"/>
          <w:b/>
          <w:i w:val="0"/>
          <w:color w:val="E67E22"/>
          <w:sz w:val="19"/>
        </w:rPr>
        <w:t>Medium</w:t>
      </w: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0D2B4E"/>
          </w:tcPr>
          <w:p>
            <w:pPr>
              <w:jc w:val="left"/>
            </w:pPr>
            <w:r>
              <w:rPr>
                <w:rFonts w:ascii="Calibri" w:hAnsi="Calibri"/>
                <w:b/>
                <w:i w:val="0"/>
                <w:color w:val="FFFFFF"/>
                <w:sz w:val="19"/>
              </w:rPr>
              <w:t>Core Product / Service</w:t>
            </w:r>
          </w:p>
        </w:tc>
        <w:tc>
          <w:tcPr>
            <w:tcW w:type="dxa" w:w="6480"/>
            <w:shd w:val="clear" w:color="auto" w:fill="F4F6F7"/>
          </w:tcPr>
          <w:p>
            <w:r>
              <w:rPr>
                <w:rFonts w:ascii="Calibri" w:hAnsi="Calibri"/>
                <w:b w:val="0"/>
                <w:i w:val="0"/>
                <w:color w:val="17202A"/>
                <w:sz w:val="19"/>
              </w:rPr>
              <w:t>Geospatial intelligence platform with AI analytics for commodity intelligence (Marigold), insurance risk (Iris), and mineral exploration (Ascend). Acquired Geosite (Apr 2024) for insurance geospatial data.</w:t>
            </w:r>
          </w:p>
        </w:tc>
      </w:tr>
      <w:tr>
        <w:tc>
          <w:tcPr>
            <w:tcW w:type="dxa" w:w="2592"/>
            <w:shd w:val="clear" w:color="auto" w:fill="0D2B4E"/>
          </w:tcPr>
          <w:p>
            <w:pPr>
              <w:jc w:val="left"/>
            </w:pPr>
            <w:r>
              <w:rPr>
                <w:rFonts w:ascii="Calibri" w:hAnsi="Calibri"/>
                <w:b/>
                <w:i w:val="0"/>
                <w:color w:val="FFFFFF"/>
                <w:sz w:val="19"/>
              </w:rPr>
              <w:t>Target Customers</w:t>
            </w:r>
          </w:p>
        </w:tc>
        <w:tc>
          <w:tcPr>
            <w:tcW w:type="dxa" w:w="6480"/>
            <w:shd w:val="clear" w:color="auto" w:fill="F4F6F7"/>
          </w:tcPr>
          <w:p>
            <w:r>
              <w:rPr>
                <w:rFonts w:ascii="Calibri" w:hAnsi="Calibri"/>
                <w:b w:val="0"/>
                <w:i w:val="0"/>
                <w:color w:val="17202A"/>
                <w:sz w:val="19"/>
              </w:rPr>
              <w:t>Insurance, commodity trading, mining/minerals, agriculture</w:t>
            </w:r>
          </w:p>
        </w:tc>
      </w:tr>
      <w:tr>
        <w:tc>
          <w:tcPr>
            <w:tcW w:type="dxa" w:w="2592"/>
            <w:shd w:val="clear" w:color="auto" w:fill="0D2B4E"/>
          </w:tcPr>
          <w:p>
            <w:pPr>
              <w:jc w:val="left"/>
            </w:pPr>
            <w:r>
              <w:rPr>
                <w:rFonts w:ascii="Calibri" w:hAnsi="Calibri"/>
                <w:b/>
                <w:i w:val="0"/>
                <w:color w:val="FFFFFF"/>
                <w:sz w:val="19"/>
              </w:rPr>
              <w:t>Funding / Revenue</w:t>
            </w:r>
          </w:p>
        </w:tc>
        <w:tc>
          <w:tcPr>
            <w:tcW w:type="dxa" w:w="6480"/>
            <w:shd w:val="clear" w:color="auto" w:fill="F4F6F7"/>
          </w:tcPr>
          <w:p>
            <w:r>
              <w:rPr>
                <w:rFonts w:ascii="Calibri" w:hAnsi="Calibri"/>
                <w:b w:val="0"/>
                <w:i w:val="0"/>
                <w:color w:val="17202A"/>
                <w:sz w:val="19"/>
              </w:rPr>
              <w:t>Total raised: ~$58.4M pre-acquisition. Acquired by EarthDaily (Oct 2024) ahead of EarthDaily constellation launch in 2025.</w:t>
            </w:r>
          </w:p>
        </w:tc>
      </w:tr>
      <w:tr>
        <w:tc>
          <w:tcPr>
            <w:tcW w:type="dxa" w:w="2592"/>
            <w:shd w:val="clear" w:color="auto" w:fill="0D2B4E"/>
          </w:tcPr>
          <w:p>
            <w:pPr>
              <w:jc w:val="left"/>
            </w:pPr>
            <w:r>
              <w:rPr>
                <w:rFonts w:ascii="Calibri" w:hAnsi="Calibri"/>
                <w:b/>
                <w:i w:val="0"/>
                <w:color w:val="FFFFFF"/>
                <w:sz w:val="19"/>
              </w:rPr>
              <w:t>Key Differentiators</w:t>
            </w:r>
          </w:p>
        </w:tc>
        <w:tc>
          <w:tcPr>
            <w:tcW w:type="dxa" w:w="6480"/>
            <w:shd w:val="clear" w:color="auto" w:fill="F4F6F7"/>
          </w:tcPr>
          <w:p>
            <w:r>
              <w:rPr>
                <w:rFonts w:ascii="Calibri" w:hAnsi="Calibri"/>
                <w:b w:val="0"/>
                <w:i w:val="0"/>
                <w:color w:val="17202A"/>
                <w:sz w:val="19"/>
              </w:rPr>
              <w:t>• Vertical AI products (not raw data) — Marigold, Iris, Ascend</w:t>
              <w:br/>
              <w:t>• Strong commodity/insurance analytics heritage</w:t>
              <w:br/>
              <w:t>• Now coupled with EarthDaily's new hyperspectral constellation</w:t>
            </w:r>
          </w:p>
        </w:tc>
      </w:tr>
      <w:tr>
        <w:tc>
          <w:tcPr>
            <w:tcW w:type="dxa" w:w="2592"/>
            <w:shd w:val="clear" w:color="auto" w:fill="0D2B4E"/>
          </w:tcPr>
          <w:p>
            <w:pPr>
              <w:jc w:val="left"/>
            </w:pPr>
            <w:r>
              <w:rPr>
                <w:rFonts w:ascii="Calibri" w:hAnsi="Calibri"/>
                <w:b/>
                <w:i w:val="0"/>
                <w:color w:val="FFFFFF"/>
                <w:sz w:val="19"/>
              </w:rPr>
              <w:t>Limitations / Gaps</w:t>
            </w:r>
          </w:p>
        </w:tc>
        <w:tc>
          <w:tcPr>
            <w:tcW w:type="dxa" w:w="6480"/>
            <w:shd w:val="clear" w:color="auto" w:fill="F4F6F7"/>
          </w:tcPr>
          <w:p>
            <w:r>
              <w:rPr>
                <w:rFonts w:ascii="Calibri" w:hAnsi="Calibri"/>
                <w:b w:val="0"/>
                <w:i w:val="0"/>
                <w:color w:val="17202A"/>
                <w:sz w:val="19"/>
              </w:rPr>
              <w:t>• Integration risk post-acquisition</w:t>
              <w:br/>
              <w:t>• EarthDaily constellation deployment delayed</w:t>
              <w:br/>
              <w:t>• No dedicated ESG or real-time industrial monitoring product</w:t>
            </w:r>
          </w:p>
        </w:tc>
      </w:tr>
    </w:tbl>
    <w:p>
      <w:pPr>
        <w:spacing w:before="0" w:after="0"/>
      </w:pPr>
      <w:r>
        <w:rPr>
          <w:sz w:val="20"/>
        </w:rPr>
      </w:r>
    </w:p>
    <w:p>
      <w:pPr>
        <w:spacing w:before="280" w:after="80"/>
      </w:pPr>
      <w:r>
        <w:rPr>
          <w:rFonts w:ascii="Calibri" w:hAnsi="Calibri"/>
          <w:b/>
          <w:color w:val="1A5C8E"/>
          <w:sz w:val="24"/>
        </w:rPr>
        <w:t>Ursa Space</w:t>
      </w:r>
    </w:p>
    <w:p>
      <w:pPr>
        <w:spacing w:before="20" w:after="120"/>
      </w:pPr>
      <w:r>
        <w:rPr>
          <w:rFonts w:ascii="Calibri" w:hAnsi="Calibri"/>
          <w:b/>
          <w:i w:val="0"/>
          <w:color w:val="ABB2B9"/>
          <w:sz w:val="19"/>
        </w:rPr>
        <w:t xml:space="preserve">Founded: 2015  |  </w:t>
      </w:r>
      <w:r>
        <w:rPr>
          <w:rFonts w:ascii="Calibri" w:hAnsi="Calibri"/>
          <w:b w:val="0"/>
          <w:i w:val="0"/>
          <w:color w:val="ABB2B9"/>
          <w:sz w:val="19"/>
        </w:rPr>
        <w:t xml:space="preserve">HQ: Ithaca, NY  |  </w:t>
      </w:r>
      <w:r>
        <w:rPr>
          <w:rFonts w:ascii="Calibri" w:hAnsi="Calibri"/>
          <w:b w:val="0"/>
          <w:i w:val="0"/>
          <w:color w:val="ABB2B9"/>
          <w:sz w:val="19"/>
        </w:rPr>
        <w:t xml:space="preserve">Stage/Type: Growth (total raised ~$69.7M)  |  </w:t>
      </w:r>
      <w:r>
        <w:rPr>
          <w:rFonts w:ascii="Calibri" w:hAnsi="Calibri"/>
          <w:b/>
          <w:i w:val="0"/>
          <w:color w:val="ABB2B9"/>
          <w:sz w:val="19"/>
        </w:rPr>
        <w:t xml:space="preserve">Competitive Relevance: </w:t>
      </w:r>
      <w:r>
        <w:rPr>
          <w:rFonts w:ascii="Calibri" w:hAnsi="Calibri"/>
          <w:b/>
          <w:i w:val="0"/>
          <w:color w:val="E67E22"/>
          <w:sz w:val="19"/>
        </w:rPr>
        <w:t>Medium</w:t>
      </w: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0D2B4E"/>
          </w:tcPr>
          <w:p>
            <w:pPr>
              <w:jc w:val="left"/>
            </w:pPr>
            <w:r>
              <w:rPr>
                <w:rFonts w:ascii="Calibri" w:hAnsi="Calibri"/>
                <w:b/>
                <w:i w:val="0"/>
                <w:color w:val="FFFFFF"/>
                <w:sz w:val="19"/>
              </w:rPr>
              <w:t>Core Product / Service</w:t>
            </w:r>
          </w:p>
        </w:tc>
        <w:tc>
          <w:tcPr>
            <w:tcW w:type="dxa" w:w="6480"/>
            <w:shd w:val="clear" w:color="auto" w:fill="F4F6F7"/>
          </w:tcPr>
          <w:p>
            <w:r>
              <w:rPr>
                <w:rFonts w:ascii="Calibri" w:hAnsi="Calibri"/>
                <w:b w:val="0"/>
                <w:i w:val="0"/>
                <w:color w:val="17202A"/>
                <w:sz w:val="19"/>
              </w:rPr>
              <w:t>SAR-based satellite intelligence infrastructure. Provides SAR image catalog and analytics for change detection, maritime, energy assets, and defence. Key product: persistent monitoring of industrial/energy facilities.</w:t>
            </w:r>
          </w:p>
        </w:tc>
      </w:tr>
      <w:tr>
        <w:tc>
          <w:tcPr>
            <w:tcW w:type="dxa" w:w="2592"/>
            <w:shd w:val="clear" w:color="auto" w:fill="0D2B4E"/>
          </w:tcPr>
          <w:p>
            <w:pPr>
              <w:jc w:val="left"/>
            </w:pPr>
            <w:r>
              <w:rPr>
                <w:rFonts w:ascii="Calibri" w:hAnsi="Calibri"/>
                <w:b/>
                <w:i w:val="0"/>
                <w:color w:val="FFFFFF"/>
                <w:sz w:val="19"/>
              </w:rPr>
              <w:t>Target Customers</w:t>
            </w:r>
          </w:p>
        </w:tc>
        <w:tc>
          <w:tcPr>
            <w:tcW w:type="dxa" w:w="6480"/>
            <w:shd w:val="clear" w:color="auto" w:fill="F4F6F7"/>
          </w:tcPr>
          <w:p>
            <w:r>
              <w:rPr>
                <w:rFonts w:ascii="Calibri" w:hAnsi="Calibri"/>
                <w:b w:val="0"/>
                <w:i w:val="0"/>
                <w:color w:val="17202A"/>
                <w:sz w:val="19"/>
              </w:rPr>
              <w:t>Government, defence/intelligence, energy companies, financial analysts</w:t>
            </w:r>
          </w:p>
        </w:tc>
      </w:tr>
      <w:tr>
        <w:tc>
          <w:tcPr>
            <w:tcW w:type="dxa" w:w="2592"/>
            <w:shd w:val="clear" w:color="auto" w:fill="0D2B4E"/>
          </w:tcPr>
          <w:p>
            <w:pPr>
              <w:jc w:val="left"/>
            </w:pPr>
            <w:r>
              <w:rPr>
                <w:rFonts w:ascii="Calibri" w:hAnsi="Calibri"/>
                <w:b/>
                <w:i w:val="0"/>
                <w:color w:val="FFFFFF"/>
                <w:sz w:val="19"/>
              </w:rPr>
              <w:t>Funding / Revenue</w:t>
            </w:r>
          </w:p>
        </w:tc>
        <w:tc>
          <w:tcPr>
            <w:tcW w:type="dxa" w:w="6480"/>
            <w:shd w:val="clear" w:color="auto" w:fill="F4F6F7"/>
          </w:tcPr>
          <w:p>
            <w:r>
              <w:rPr>
                <w:rFonts w:ascii="Calibri" w:hAnsi="Calibri"/>
                <w:b w:val="0"/>
                <w:i w:val="0"/>
                <w:color w:val="17202A"/>
                <w:sz w:val="19"/>
              </w:rPr>
              <w:t>Total raised: ~$69.7M. Aug 2025: Corporate Minority round. $151B SHIELD IDIQ contract ceiling (MDA, Dec 2025).</w:t>
            </w:r>
          </w:p>
        </w:tc>
      </w:tr>
      <w:tr>
        <w:tc>
          <w:tcPr>
            <w:tcW w:type="dxa" w:w="2592"/>
            <w:shd w:val="clear" w:color="auto" w:fill="0D2B4E"/>
          </w:tcPr>
          <w:p>
            <w:pPr>
              <w:jc w:val="left"/>
            </w:pPr>
            <w:r>
              <w:rPr>
                <w:rFonts w:ascii="Calibri" w:hAnsi="Calibri"/>
                <w:b/>
                <w:i w:val="0"/>
                <w:color w:val="FFFFFF"/>
                <w:sz w:val="19"/>
              </w:rPr>
              <w:t>Key Differentiators</w:t>
            </w:r>
          </w:p>
        </w:tc>
        <w:tc>
          <w:tcPr>
            <w:tcW w:type="dxa" w:w="6480"/>
            <w:shd w:val="clear" w:color="auto" w:fill="F4F6F7"/>
          </w:tcPr>
          <w:p>
            <w:r>
              <w:rPr>
                <w:rFonts w:ascii="Calibri" w:hAnsi="Calibri"/>
                <w:b w:val="0"/>
                <w:i w:val="0"/>
                <w:color w:val="17202A"/>
                <w:sz w:val="19"/>
              </w:rPr>
              <w:t>• SAR specialist — all-weather persistent monitoring of ground assets</w:t>
              <w:br/>
              <w:t>• Energy facility tracking (storage, production assets)</w:t>
              <w:br/>
              <w:t>• Strong government/IC contracts provide revenue floor</w:t>
            </w:r>
          </w:p>
        </w:tc>
      </w:tr>
      <w:tr>
        <w:tc>
          <w:tcPr>
            <w:tcW w:type="dxa" w:w="2592"/>
            <w:shd w:val="clear" w:color="auto" w:fill="0D2B4E"/>
          </w:tcPr>
          <w:p>
            <w:pPr>
              <w:jc w:val="left"/>
            </w:pPr>
            <w:r>
              <w:rPr>
                <w:rFonts w:ascii="Calibri" w:hAnsi="Calibri"/>
                <w:b/>
                <w:i w:val="0"/>
                <w:color w:val="FFFFFF"/>
                <w:sz w:val="19"/>
              </w:rPr>
              <w:t>Limitations / Gaps</w:t>
            </w:r>
          </w:p>
        </w:tc>
        <w:tc>
          <w:tcPr>
            <w:tcW w:type="dxa" w:w="6480"/>
            <w:shd w:val="clear" w:color="auto" w:fill="F4F6F7"/>
          </w:tcPr>
          <w:p>
            <w:r>
              <w:rPr>
                <w:rFonts w:ascii="Calibri" w:hAnsi="Calibri"/>
                <w:b w:val="0"/>
                <w:i w:val="0"/>
                <w:color w:val="17202A"/>
                <w:sz w:val="19"/>
              </w:rPr>
              <w:t>• Primarily government/defence revenue — limited commercial ESG/finance</w:t>
              <w:br/>
              <w:t>• Small team; limited geographic sales coverage</w:t>
              <w:br/>
              <w:t>• No integrated ESG or financial scoring layer</w:t>
            </w:r>
          </w:p>
        </w:tc>
      </w:tr>
    </w:tbl>
    <w:p>
      <w:pPr>
        <w:spacing w:before="0" w:after="0"/>
      </w:pPr>
      <w:r>
        <w:rPr>
          <w:sz w:val="20"/>
        </w:rPr>
      </w:r>
    </w:p>
    <w:p>
      <w:pPr>
        <w:spacing w:before="280" w:after="80"/>
      </w:pPr>
      <w:r>
        <w:rPr>
          <w:rFonts w:ascii="Calibri" w:hAnsi="Calibri"/>
          <w:b/>
          <w:color w:val="1A5C8E"/>
          <w:sz w:val="24"/>
        </w:rPr>
        <w:t>SpaceKnow</w:t>
      </w:r>
    </w:p>
    <w:p>
      <w:pPr>
        <w:spacing w:before="20" w:after="120"/>
      </w:pPr>
      <w:r>
        <w:rPr>
          <w:rFonts w:ascii="Calibri" w:hAnsi="Calibri"/>
          <w:b/>
          <w:i w:val="0"/>
          <w:color w:val="ABB2B9"/>
          <w:sz w:val="19"/>
        </w:rPr>
        <w:t xml:space="preserve">Founded: 2014  |  </w:t>
      </w:r>
      <w:r>
        <w:rPr>
          <w:rFonts w:ascii="Calibri" w:hAnsi="Calibri"/>
          <w:b w:val="0"/>
          <w:i w:val="0"/>
          <w:color w:val="ABB2B9"/>
          <w:sz w:val="19"/>
        </w:rPr>
        <w:t xml:space="preserve">HQ: Prague, Czech Republic  |  </w:t>
      </w:r>
      <w:r>
        <w:rPr>
          <w:rFonts w:ascii="Calibri" w:hAnsi="Calibri"/>
          <w:b w:val="0"/>
          <w:i w:val="0"/>
          <w:color w:val="ABB2B9"/>
          <w:sz w:val="19"/>
        </w:rPr>
        <w:t xml:space="preserve">Stage/Type: Early-stage (Series A, $5.45M — last round 2017)  |  </w:t>
      </w:r>
      <w:r>
        <w:rPr>
          <w:rFonts w:ascii="Calibri" w:hAnsi="Calibri"/>
          <w:b/>
          <w:i w:val="0"/>
          <w:color w:val="ABB2B9"/>
          <w:sz w:val="19"/>
        </w:rPr>
        <w:t xml:space="preserve">Competitive Relevance: </w:t>
      </w:r>
      <w:r>
        <w:rPr>
          <w:rFonts w:ascii="Calibri" w:hAnsi="Calibri"/>
          <w:b/>
          <w:i w:val="0"/>
          <w:color w:val="ABB2B9"/>
          <w:sz w:val="19"/>
        </w:rPr>
        <w:t>Low</w:t>
      </w: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0D2B4E"/>
          </w:tcPr>
          <w:p>
            <w:pPr>
              <w:jc w:val="left"/>
            </w:pPr>
            <w:r>
              <w:rPr>
                <w:rFonts w:ascii="Calibri" w:hAnsi="Calibri"/>
                <w:b/>
                <w:i w:val="0"/>
                <w:color w:val="FFFFFF"/>
                <w:sz w:val="19"/>
              </w:rPr>
              <w:t>Core Product / Service</w:t>
            </w:r>
          </w:p>
        </w:tc>
        <w:tc>
          <w:tcPr>
            <w:tcW w:type="dxa" w:w="6480"/>
            <w:shd w:val="clear" w:color="auto" w:fill="F4F6F7"/>
          </w:tcPr>
          <w:p>
            <w:r>
              <w:rPr>
                <w:rFonts w:ascii="Calibri" w:hAnsi="Calibri"/>
                <w:b w:val="0"/>
                <w:i w:val="0"/>
                <w:color w:val="17202A"/>
                <w:sz w:val="19"/>
              </w:rPr>
              <w:t>Satellite data analytics platform using AI for industrial monitoring, economic activity tracking, defence, and environmental monitoring. Known for China PMI / manufacturing activity indices.</w:t>
            </w:r>
          </w:p>
        </w:tc>
      </w:tr>
      <w:tr>
        <w:tc>
          <w:tcPr>
            <w:tcW w:type="dxa" w:w="2592"/>
            <w:shd w:val="clear" w:color="auto" w:fill="0D2B4E"/>
          </w:tcPr>
          <w:p>
            <w:pPr>
              <w:jc w:val="left"/>
            </w:pPr>
            <w:r>
              <w:rPr>
                <w:rFonts w:ascii="Calibri" w:hAnsi="Calibri"/>
                <w:b/>
                <w:i w:val="0"/>
                <w:color w:val="FFFFFF"/>
                <w:sz w:val="19"/>
              </w:rPr>
              <w:t>Target Customers</w:t>
            </w:r>
          </w:p>
        </w:tc>
        <w:tc>
          <w:tcPr>
            <w:tcW w:type="dxa" w:w="6480"/>
            <w:shd w:val="clear" w:color="auto" w:fill="F4F6F7"/>
          </w:tcPr>
          <w:p>
            <w:r>
              <w:rPr>
                <w:rFonts w:ascii="Calibri" w:hAnsi="Calibri"/>
                <w:b w:val="0"/>
                <w:i w:val="0"/>
                <w:color w:val="17202A"/>
                <w:sz w:val="19"/>
              </w:rPr>
              <w:t>Financial analysts, hedge funds, government, intelligence</w:t>
            </w:r>
          </w:p>
        </w:tc>
      </w:tr>
      <w:tr>
        <w:tc>
          <w:tcPr>
            <w:tcW w:type="dxa" w:w="2592"/>
            <w:shd w:val="clear" w:color="auto" w:fill="0D2B4E"/>
          </w:tcPr>
          <w:p>
            <w:pPr>
              <w:jc w:val="left"/>
            </w:pPr>
            <w:r>
              <w:rPr>
                <w:rFonts w:ascii="Calibri" w:hAnsi="Calibri"/>
                <w:b/>
                <w:i w:val="0"/>
                <w:color w:val="FFFFFF"/>
                <w:sz w:val="19"/>
              </w:rPr>
              <w:t>Funding / Revenue</w:t>
            </w:r>
          </w:p>
        </w:tc>
        <w:tc>
          <w:tcPr>
            <w:tcW w:type="dxa" w:w="6480"/>
            <w:shd w:val="clear" w:color="auto" w:fill="F4F6F7"/>
          </w:tcPr>
          <w:p>
            <w:r>
              <w:rPr>
                <w:rFonts w:ascii="Calibri" w:hAnsi="Calibri"/>
                <w:b w:val="0"/>
                <w:i w:val="0"/>
                <w:color w:val="17202A"/>
                <w:sz w:val="19"/>
              </w:rPr>
              <w:t>Total raised: $5.45M (Series A, 2017). No major recent rounds.</w:t>
            </w:r>
          </w:p>
        </w:tc>
      </w:tr>
      <w:tr>
        <w:tc>
          <w:tcPr>
            <w:tcW w:type="dxa" w:w="2592"/>
            <w:shd w:val="clear" w:color="auto" w:fill="0D2B4E"/>
          </w:tcPr>
          <w:p>
            <w:pPr>
              <w:jc w:val="left"/>
            </w:pPr>
            <w:r>
              <w:rPr>
                <w:rFonts w:ascii="Calibri" w:hAnsi="Calibri"/>
                <w:b/>
                <w:i w:val="0"/>
                <w:color w:val="FFFFFF"/>
                <w:sz w:val="19"/>
              </w:rPr>
              <w:t>Key Differentiators</w:t>
            </w:r>
          </w:p>
        </w:tc>
        <w:tc>
          <w:tcPr>
            <w:tcW w:type="dxa" w:w="6480"/>
            <w:shd w:val="clear" w:color="auto" w:fill="F4F6F7"/>
          </w:tcPr>
          <w:p>
            <w:r>
              <w:rPr>
                <w:rFonts w:ascii="Calibri" w:hAnsi="Calibri"/>
                <w:b w:val="0"/>
                <w:i w:val="0"/>
                <w:color w:val="17202A"/>
                <w:sz w:val="19"/>
              </w:rPr>
              <w:t>• Economic activity indices from satellite imagery — used by macro investors</w:t>
              <w:br/>
              <w:t>• Early mover in satellite-based financial analytics</w:t>
              <w:br/>
              <w:t>• Multi-satellite data fusion</w:t>
            </w:r>
          </w:p>
        </w:tc>
      </w:tr>
      <w:tr>
        <w:tc>
          <w:tcPr>
            <w:tcW w:type="dxa" w:w="2592"/>
            <w:shd w:val="clear" w:color="auto" w:fill="0D2B4E"/>
          </w:tcPr>
          <w:p>
            <w:pPr>
              <w:jc w:val="left"/>
            </w:pPr>
            <w:r>
              <w:rPr>
                <w:rFonts w:ascii="Calibri" w:hAnsi="Calibri"/>
                <w:b/>
                <w:i w:val="0"/>
                <w:color w:val="FFFFFF"/>
                <w:sz w:val="19"/>
              </w:rPr>
              <w:t>Limitations / Gaps</w:t>
            </w:r>
          </w:p>
        </w:tc>
        <w:tc>
          <w:tcPr>
            <w:tcW w:type="dxa" w:w="6480"/>
            <w:shd w:val="clear" w:color="auto" w:fill="F4F6F7"/>
          </w:tcPr>
          <w:p>
            <w:r>
              <w:rPr>
                <w:rFonts w:ascii="Calibri" w:hAnsi="Calibri"/>
                <w:b w:val="0"/>
                <w:i w:val="0"/>
                <w:color w:val="17202A"/>
                <w:sz w:val="19"/>
              </w:rPr>
              <w:t>• Severely underfunded vs peers</w:t>
              <w:br/>
              <w:t>• No significant product updates visible since 2022</w:t>
              <w:br/>
              <w:t>• Narrow use case (macro economic indicators)</w:t>
              <w:br/>
              <w:t>• Risk of being outpaced by better-funded peers</w:t>
            </w:r>
          </w:p>
        </w:tc>
      </w:tr>
    </w:tbl>
    <w:p>
      <w:pPr>
        <w:spacing w:before="0" w:after="0"/>
      </w:pPr>
      <w:r>
        <w:rPr>
          <w:sz w:val="20"/>
        </w:rPr>
      </w:r>
    </w:p>
    <w:p>
      <w:pPr>
        <w:spacing w:before="280" w:after="80"/>
      </w:pPr>
      <w:r>
        <w:rPr>
          <w:rFonts w:ascii="Calibri" w:hAnsi="Calibri"/>
          <w:b/>
          <w:color w:val="1A5C8E"/>
          <w:sz w:val="24"/>
        </w:rPr>
        <w:t>Satelytics</w:t>
      </w:r>
    </w:p>
    <w:p>
      <w:pPr>
        <w:spacing w:before="20" w:after="120"/>
      </w:pPr>
      <w:r>
        <w:rPr>
          <w:rFonts w:ascii="Calibri" w:hAnsi="Calibri"/>
          <w:b/>
          <w:i w:val="0"/>
          <w:color w:val="ABB2B9"/>
          <w:sz w:val="19"/>
        </w:rPr>
        <w:t xml:space="preserve">Founded: 2014  |  </w:t>
      </w:r>
      <w:r>
        <w:rPr>
          <w:rFonts w:ascii="Calibri" w:hAnsi="Calibri"/>
          <w:b w:val="0"/>
          <w:i w:val="0"/>
          <w:color w:val="ABB2B9"/>
          <w:sz w:val="19"/>
        </w:rPr>
        <w:t xml:space="preserve">HQ: Bowling Green, OH  |  </w:t>
      </w:r>
      <w:r>
        <w:rPr>
          <w:rFonts w:ascii="Calibri" w:hAnsi="Calibri"/>
          <w:b w:val="0"/>
          <w:i w:val="0"/>
          <w:color w:val="ABB2B9"/>
          <w:sz w:val="19"/>
        </w:rPr>
        <w:t xml:space="preserve">Stage/Type: Early growth (total raised ~$5M)  |  </w:t>
      </w:r>
      <w:r>
        <w:rPr>
          <w:rFonts w:ascii="Calibri" w:hAnsi="Calibri"/>
          <w:b/>
          <w:i w:val="0"/>
          <w:color w:val="ABB2B9"/>
          <w:sz w:val="19"/>
        </w:rPr>
        <w:t xml:space="preserve">Competitive Relevance: </w:t>
      </w:r>
      <w:r>
        <w:rPr>
          <w:rFonts w:ascii="Calibri" w:hAnsi="Calibri"/>
          <w:b/>
          <w:i w:val="0"/>
          <w:color w:val="E67E22"/>
          <w:sz w:val="19"/>
        </w:rPr>
        <w:t>Medium</w:t>
      </w: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0D2B4E"/>
          </w:tcPr>
          <w:p>
            <w:pPr>
              <w:jc w:val="left"/>
            </w:pPr>
            <w:r>
              <w:rPr>
                <w:rFonts w:ascii="Calibri" w:hAnsi="Calibri"/>
                <w:b/>
                <w:i w:val="0"/>
                <w:color w:val="FFFFFF"/>
                <w:sz w:val="19"/>
              </w:rPr>
              <w:t>Core Product / Service</w:t>
            </w:r>
          </w:p>
        </w:tc>
        <w:tc>
          <w:tcPr>
            <w:tcW w:type="dxa" w:w="6480"/>
            <w:shd w:val="clear" w:color="auto" w:fill="F4F6F7"/>
          </w:tcPr>
          <w:p>
            <w:r>
              <w:rPr>
                <w:rFonts w:ascii="Calibri" w:hAnsi="Calibri"/>
                <w:b w:val="0"/>
                <w:i w:val="0"/>
                <w:color w:val="17202A"/>
                <w:sz w:val="19"/>
              </w:rPr>
              <w:t>Geospatial analytics SaaS for industrial sector. Uses AI + satellite/aerial imagery to detect environmental risks and operational anomalies in: oil &amp; gas, pipelines, utilities, water, mining, forestry, specialty chemicals.</w:t>
            </w:r>
          </w:p>
        </w:tc>
      </w:tr>
      <w:tr>
        <w:tc>
          <w:tcPr>
            <w:tcW w:type="dxa" w:w="2592"/>
            <w:shd w:val="clear" w:color="auto" w:fill="0D2B4E"/>
          </w:tcPr>
          <w:p>
            <w:pPr>
              <w:jc w:val="left"/>
            </w:pPr>
            <w:r>
              <w:rPr>
                <w:rFonts w:ascii="Calibri" w:hAnsi="Calibri"/>
                <w:b/>
                <w:i w:val="0"/>
                <w:color w:val="FFFFFF"/>
                <w:sz w:val="19"/>
              </w:rPr>
              <w:t>Target Customers</w:t>
            </w:r>
          </w:p>
        </w:tc>
        <w:tc>
          <w:tcPr>
            <w:tcW w:type="dxa" w:w="6480"/>
            <w:shd w:val="clear" w:color="auto" w:fill="F4F6F7"/>
          </w:tcPr>
          <w:p>
            <w:r>
              <w:rPr>
                <w:rFonts w:ascii="Calibri" w:hAnsi="Calibri"/>
                <w:b w:val="0"/>
                <w:i w:val="0"/>
                <w:color w:val="17202A"/>
                <w:sz w:val="19"/>
              </w:rPr>
              <w:t>Oil &amp; gas operators, pipeline companies, utilities, mining firms, municipalities</w:t>
            </w:r>
          </w:p>
        </w:tc>
      </w:tr>
      <w:tr>
        <w:tc>
          <w:tcPr>
            <w:tcW w:type="dxa" w:w="2592"/>
            <w:shd w:val="clear" w:color="auto" w:fill="0D2B4E"/>
          </w:tcPr>
          <w:p>
            <w:pPr>
              <w:jc w:val="left"/>
            </w:pPr>
            <w:r>
              <w:rPr>
                <w:rFonts w:ascii="Calibri" w:hAnsi="Calibri"/>
                <w:b/>
                <w:i w:val="0"/>
                <w:color w:val="FFFFFF"/>
                <w:sz w:val="19"/>
              </w:rPr>
              <w:t>Funding / Revenue</w:t>
            </w:r>
          </w:p>
        </w:tc>
        <w:tc>
          <w:tcPr>
            <w:tcW w:type="dxa" w:w="6480"/>
            <w:shd w:val="clear" w:color="auto" w:fill="F4F6F7"/>
          </w:tcPr>
          <w:p>
            <w:r>
              <w:rPr>
                <w:rFonts w:ascii="Calibri" w:hAnsi="Calibri"/>
                <w:b w:val="0"/>
                <w:i w:val="0"/>
                <w:color w:val="17202A"/>
                <w:sz w:val="19"/>
              </w:rPr>
              <w:t>Total raised: ~$5M. Revenue: $6.1M (Oct 2024, +42% YoY from $4.3M). 35-person team.</w:t>
            </w:r>
          </w:p>
        </w:tc>
      </w:tr>
      <w:tr>
        <w:tc>
          <w:tcPr>
            <w:tcW w:type="dxa" w:w="2592"/>
            <w:shd w:val="clear" w:color="auto" w:fill="0D2B4E"/>
          </w:tcPr>
          <w:p>
            <w:pPr>
              <w:jc w:val="left"/>
            </w:pPr>
            <w:r>
              <w:rPr>
                <w:rFonts w:ascii="Calibri" w:hAnsi="Calibri"/>
                <w:b/>
                <w:i w:val="0"/>
                <w:color w:val="FFFFFF"/>
                <w:sz w:val="19"/>
              </w:rPr>
              <w:t>Key Differentiators</w:t>
            </w:r>
          </w:p>
        </w:tc>
        <w:tc>
          <w:tcPr>
            <w:tcW w:type="dxa" w:w="6480"/>
            <w:shd w:val="clear" w:color="auto" w:fill="F4F6F7"/>
          </w:tcPr>
          <w:p>
            <w:r>
              <w:rPr>
                <w:rFonts w:ascii="Calibri" w:hAnsi="Calibri"/>
                <w:b w:val="0"/>
                <w:i w:val="0"/>
                <w:color w:val="17202A"/>
                <w:sz w:val="19"/>
              </w:rPr>
              <w:t>• Deep focus on environmental compliance and leak/spill detection</w:t>
              <w:br/>
              <w:t>• Serves highly regulated industries with clear ROI (avoid fines/disasters)</w:t>
              <w:br/>
              <w:t>• Broad multi-sector industrial coverage</w:t>
            </w:r>
          </w:p>
        </w:tc>
      </w:tr>
      <w:tr>
        <w:tc>
          <w:tcPr>
            <w:tcW w:type="dxa" w:w="2592"/>
            <w:shd w:val="clear" w:color="auto" w:fill="0D2B4E"/>
          </w:tcPr>
          <w:p>
            <w:pPr>
              <w:jc w:val="left"/>
            </w:pPr>
            <w:r>
              <w:rPr>
                <w:rFonts w:ascii="Calibri" w:hAnsi="Calibri"/>
                <w:b/>
                <w:i w:val="0"/>
                <w:color w:val="FFFFFF"/>
                <w:sz w:val="19"/>
              </w:rPr>
              <w:t>Limitations / Gaps</w:t>
            </w:r>
          </w:p>
        </w:tc>
        <w:tc>
          <w:tcPr>
            <w:tcW w:type="dxa" w:w="6480"/>
            <w:shd w:val="clear" w:color="auto" w:fill="F4F6F7"/>
          </w:tcPr>
          <w:p>
            <w:r>
              <w:rPr>
                <w:rFonts w:ascii="Calibri" w:hAnsi="Calibri"/>
                <w:b w:val="0"/>
                <w:i w:val="0"/>
                <w:color w:val="17202A"/>
                <w:sz w:val="19"/>
              </w:rPr>
              <w:t>• Very small — limited capacity to scale globally</w:t>
              <w:br/>
              <w:t>• No ESG ratings or financial integration</w:t>
              <w:br/>
              <w:t>• Reactive analytics (detect problems) vs proactive asset intelligence</w:t>
            </w:r>
          </w:p>
        </w:tc>
      </w:tr>
    </w:tbl>
    <w:p>
      <w:pPr>
        <w:spacing w:before="0" w:after="0"/>
      </w:pPr>
      <w:r>
        <w:rPr>
          <w:sz w:val="20"/>
        </w:rPr>
      </w:r>
    </w:p>
    <w:p>
      <w:r>
        <w:br w:type="page"/>
      </w:r>
    </w:p>
    <w:p>
      <w:pPr>
        <w:spacing w:before="280" w:after="80"/>
        <w:pBdr>
          <w:bottom w:val="single" w:sz="6" w:space="1" w:color="2E86C1"/>
        </w:pBdr>
      </w:pPr>
      <w:r>
        <w:rPr>
          <w:rFonts w:ascii="Calibri" w:hAnsi="Calibri"/>
          <w:b/>
          <w:color w:val="0D2B4E"/>
          <w:sz w:val="30"/>
        </w:rPr>
        <w:t>CATEGORY 2: PUBLIC &amp; ALTERNATIVE DATA AGGREGATORS FOR ASSET INTELLIGENCE</w:t>
      </w:r>
    </w:p>
    <w:p>
      <w:pPr>
        <w:spacing w:before="40" w:after="160"/>
      </w:pPr>
      <w:r>
        <w:rPr>
          <w:rFonts w:ascii="Calibri" w:hAnsi="Calibri"/>
          <w:b w:val="0"/>
          <w:i/>
          <w:color w:val="ABB2B9"/>
          <w:sz w:val="20"/>
        </w:rPr>
        <w:t>These are large, established data platforms that aggregate corporate, financial, regulatory, and in some cases physical-asset data. They serve financial institutions, risk managers, and corporate intelligence teams. Physical asset coverage is typically company-level (ownership records), not real-time asset-level monitoring.</w:t>
      </w:r>
    </w:p>
    <w:p>
      <w:pPr>
        <w:spacing w:before="280" w:after="80"/>
      </w:pPr>
      <w:r>
        <w:rPr>
          <w:rFonts w:ascii="Calibri" w:hAnsi="Calibri"/>
          <w:b/>
          <w:color w:val="1A5C8E"/>
          <w:sz w:val="24"/>
        </w:rPr>
        <w:t>S&amp;P Global Market Intelligence</w:t>
      </w:r>
    </w:p>
    <w:p>
      <w:pPr>
        <w:spacing w:before="20" w:after="120"/>
      </w:pPr>
      <w:r>
        <w:rPr>
          <w:rFonts w:ascii="Calibri" w:hAnsi="Calibri"/>
          <w:b/>
          <w:i w:val="0"/>
          <w:color w:val="ABB2B9"/>
          <w:sz w:val="19"/>
        </w:rPr>
        <w:t xml:space="preserve">Founded: 1860 (S&amp;P Global, Market Intelligence div. via SNL acquisition 2015)  |  </w:t>
      </w:r>
      <w:r>
        <w:rPr>
          <w:rFonts w:ascii="Calibri" w:hAnsi="Calibri"/>
          <w:b w:val="0"/>
          <w:i w:val="0"/>
          <w:color w:val="ABB2B9"/>
          <w:sz w:val="19"/>
        </w:rPr>
        <w:t xml:space="preserve">HQ: New York, NY  |  </w:t>
      </w:r>
      <w:r>
        <w:rPr>
          <w:rFonts w:ascii="Calibri" w:hAnsi="Calibri"/>
          <w:b w:val="0"/>
          <w:i w:val="0"/>
          <w:color w:val="ABB2B9"/>
          <w:sz w:val="19"/>
        </w:rPr>
        <w:t xml:space="preserve">Stage/Type: Public (NYSE: SPGI)  |  </w:t>
      </w:r>
      <w:r>
        <w:rPr>
          <w:rFonts w:ascii="Calibri" w:hAnsi="Calibri"/>
          <w:b/>
          <w:i w:val="0"/>
          <w:color w:val="ABB2B9"/>
          <w:sz w:val="19"/>
        </w:rPr>
        <w:t xml:space="preserve">Competitive Relevance: </w:t>
      </w:r>
      <w:r>
        <w:rPr>
          <w:rFonts w:ascii="Calibri" w:hAnsi="Calibri"/>
          <w:b/>
          <w:i w:val="0"/>
          <w:color w:val="1E8B4C"/>
          <w:sz w:val="19"/>
        </w:rPr>
        <w:t>High</w:t>
      </w: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0D2B4E"/>
          </w:tcPr>
          <w:p>
            <w:pPr>
              <w:jc w:val="left"/>
            </w:pPr>
            <w:r>
              <w:rPr>
                <w:rFonts w:ascii="Calibri" w:hAnsi="Calibri"/>
                <w:b/>
                <w:i w:val="0"/>
                <w:color w:val="FFFFFF"/>
                <w:sz w:val="19"/>
              </w:rPr>
              <w:t>Core Product / Service</w:t>
            </w:r>
          </w:p>
        </w:tc>
        <w:tc>
          <w:tcPr>
            <w:tcW w:type="dxa" w:w="6480"/>
            <w:shd w:val="clear" w:color="auto" w:fill="F4F6F7"/>
          </w:tcPr>
          <w:p>
            <w:r>
              <w:rPr>
                <w:rFonts w:ascii="Calibri" w:hAnsi="Calibri"/>
                <w:b w:val="0"/>
                <w:i w:val="0"/>
                <w:color w:val="17202A"/>
                <w:sz w:val="19"/>
              </w:rPr>
              <w:t>Multi-asset data platform covering company financials, credit ratings, commodity data, and ESG. Includes Trucost (physical risk data for 2.9M+ assets mapped to 15,000+ listed companies across 7 climate hazards).</w:t>
            </w:r>
          </w:p>
        </w:tc>
      </w:tr>
      <w:tr>
        <w:tc>
          <w:tcPr>
            <w:tcW w:type="dxa" w:w="2592"/>
            <w:shd w:val="clear" w:color="auto" w:fill="0D2B4E"/>
          </w:tcPr>
          <w:p>
            <w:pPr>
              <w:jc w:val="left"/>
            </w:pPr>
            <w:r>
              <w:rPr>
                <w:rFonts w:ascii="Calibri" w:hAnsi="Calibri"/>
                <w:b/>
                <w:i w:val="0"/>
                <w:color w:val="FFFFFF"/>
                <w:sz w:val="19"/>
              </w:rPr>
              <w:t>Target Customers</w:t>
            </w:r>
          </w:p>
        </w:tc>
        <w:tc>
          <w:tcPr>
            <w:tcW w:type="dxa" w:w="6480"/>
            <w:shd w:val="clear" w:color="auto" w:fill="F4F6F7"/>
          </w:tcPr>
          <w:p>
            <w:r>
              <w:rPr>
                <w:rFonts w:ascii="Calibri" w:hAnsi="Calibri"/>
                <w:b w:val="0"/>
                <w:i w:val="0"/>
                <w:color w:val="17202A"/>
                <w:sz w:val="19"/>
              </w:rPr>
              <w:t>Banks, insurers, asset managers, corporates, governments</w:t>
            </w:r>
          </w:p>
        </w:tc>
      </w:tr>
      <w:tr>
        <w:tc>
          <w:tcPr>
            <w:tcW w:type="dxa" w:w="2592"/>
            <w:shd w:val="clear" w:color="auto" w:fill="0D2B4E"/>
          </w:tcPr>
          <w:p>
            <w:pPr>
              <w:jc w:val="left"/>
            </w:pPr>
            <w:r>
              <w:rPr>
                <w:rFonts w:ascii="Calibri" w:hAnsi="Calibri"/>
                <w:b/>
                <w:i w:val="0"/>
                <w:color w:val="FFFFFF"/>
                <w:sz w:val="19"/>
              </w:rPr>
              <w:t>Funding / Revenue</w:t>
            </w:r>
          </w:p>
        </w:tc>
        <w:tc>
          <w:tcPr>
            <w:tcW w:type="dxa" w:w="6480"/>
            <w:shd w:val="clear" w:color="auto" w:fill="F4F6F7"/>
          </w:tcPr>
          <w:p>
            <w:r>
              <w:rPr>
                <w:rFonts w:ascii="Calibri" w:hAnsi="Calibri"/>
                <w:b w:val="0"/>
                <w:i w:val="0"/>
                <w:color w:val="17202A"/>
                <w:sz w:val="19"/>
              </w:rPr>
              <w:t>S&amp;P Global FY2025 revenue: $15.3B (+8% YoY). Market Intelligence segment: $4.92B (FY2025, +6% YoY). Trucost: undisclosed segment, part of Sustainable1 division.</w:t>
            </w:r>
          </w:p>
        </w:tc>
      </w:tr>
      <w:tr>
        <w:tc>
          <w:tcPr>
            <w:tcW w:type="dxa" w:w="2592"/>
            <w:shd w:val="clear" w:color="auto" w:fill="0D2B4E"/>
          </w:tcPr>
          <w:p>
            <w:pPr>
              <w:jc w:val="left"/>
            </w:pPr>
            <w:r>
              <w:rPr>
                <w:rFonts w:ascii="Calibri" w:hAnsi="Calibri"/>
                <w:b/>
                <w:i w:val="0"/>
                <w:color w:val="FFFFFF"/>
                <w:sz w:val="19"/>
              </w:rPr>
              <w:t>Key Differentiators</w:t>
            </w:r>
          </w:p>
        </w:tc>
        <w:tc>
          <w:tcPr>
            <w:tcW w:type="dxa" w:w="6480"/>
            <w:shd w:val="clear" w:color="auto" w:fill="F4F6F7"/>
          </w:tcPr>
          <w:p>
            <w:r>
              <w:rPr>
                <w:rFonts w:ascii="Calibri" w:hAnsi="Calibri"/>
                <w:b w:val="0"/>
                <w:i w:val="0"/>
                <w:color w:val="17202A"/>
                <w:sz w:val="19"/>
              </w:rPr>
              <w:t>• Largest physical climate risk dataset: 2.9M+ assets, 15K+ companies, 7 hazards</w:t>
              <w:br/>
              <w:t>• Integrated with credit ratings — systemic financial risk linkage</w:t>
              <w:br/>
              <w:t>• Trusted brand in financial institutions globally</w:t>
              <w:br/>
              <w:t>• Distribution through Xpressfeed and direct API</w:t>
            </w:r>
          </w:p>
        </w:tc>
      </w:tr>
      <w:tr>
        <w:tc>
          <w:tcPr>
            <w:tcW w:type="dxa" w:w="2592"/>
            <w:shd w:val="clear" w:color="auto" w:fill="0D2B4E"/>
          </w:tcPr>
          <w:p>
            <w:pPr>
              <w:jc w:val="left"/>
            </w:pPr>
            <w:r>
              <w:rPr>
                <w:rFonts w:ascii="Calibri" w:hAnsi="Calibri"/>
                <w:b/>
                <w:i w:val="0"/>
                <w:color w:val="FFFFFF"/>
                <w:sz w:val="19"/>
              </w:rPr>
              <w:t>Limitations / Gaps</w:t>
            </w:r>
          </w:p>
        </w:tc>
        <w:tc>
          <w:tcPr>
            <w:tcW w:type="dxa" w:w="6480"/>
            <w:shd w:val="clear" w:color="auto" w:fill="F4F6F7"/>
          </w:tcPr>
          <w:p>
            <w:r>
              <w:rPr>
                <w:rFonts w:ascii="Calibri" w:hAnsi="Calibri"/>
                <w:b w:val="0"/>
                <w:i w:val="0"/>
                <w:color w:val="17202A"/>
                <w:sz w:val="19"/>
              </w:rPr>
              <w:t>• Physical risk is modelled/static — not real-time satellite monitoring</w:t>
              <w:br/>
              <w:t>• Asset list depends on company self-disclosure + licence agreements</w:t>
              <w:br/>
              <w:t>• Does not identify unknown/undisclosed assets</w:t>
              <w:br/>
              <w:t>• ESG scores are lagging indicators, not operational intelligence</w:t>
              <w:br/>
              <w:t>• Very expensive — pricing excludes startups and smaller institutions</w:t>
            </w:r>
          </w:p>
        </w:tc>
      </w:tr>
    </w:tbl>
    <w:p>
      <w:pPr>
        <w:spacing w:before="0" w:after="0"/>
      </w:pPr>
      <w:r>
        <w:rPr>
          <w:sz w:val="20"/>
        </w:rPr>
      </w:r>
    </w:p>
    <w:p>
      <w:pPr>
        <w:spacing w:before="280" w:after="80"/>
      </w:pPr>
      <w:r>
        <w:rPr>
          <w:rFonts w:ascii="Calibri" w:hAnsi="Calibri"/>
          <w:b/>
          <w:color w:val="1A5C8E"/>
          <w:sz w:val="24"/>
        </w:rPr>
        <w:t>MSCI ESG &amp; GeoSpatial Asset Intelligence</w:t>
      </w:r>
    </w:p>
    <w:p>
      <w:pPr>
        <w:spacing w:before="20" w:after="120"/>
      </w:pPr>
      <w:r>
        <w:rPr>
          <w:rFonts w:ascii="Calibri" w:hAnsi="Calibri"/>
          <w:b/>
          <w:i w:val="0"/>
          <w:color w:val="ABB2B9"/>
          <w:sz w:val="19"/>
        </w:rPr>
        <w:t xml:space="preserve">Founded: 1969 (MSCI), GeoSpatial AI product launched ~2023-2024  |  </w:t>
      </w:r>
      <w:r>
        <w:rPr>
          <w:rFonts w:ascii="Calibri" w:hAnsi="Calibri"/>
          <w:b w:val="0"/>
          <w:i w:val="0"/>
          <w:color w:val="ABB2B9"/>
          <w:sz w:val="19"/>
        </w:rPr>
        <w:t xml:space="preserve">HQ: New York, NY  |  </w:t>
      </w:r>
      <w:r>
        <w:rPr>
          <w:rFonts w:ascii="Calibri" w:hAnsi="Calibri"/>
          <w:b w:val="0"/>
          <w:i w:val="0"/>
          <w:color w:val="ABB2B9"/>
          <w:sz w:val="19"/>
        </w:rPr>
        <w:t xml:space="preserve">Stage/Type: Public (NYSE: MSCI)  |  </w:t>
      </w:r>
      <w:r>
        <w:rPr>
          <w:rFonts w:ascii="Calibri" w:hAnsi="Calibri"/>
          <w:b/>
          <w:i w:val="0"/>
          <w:color w:val="ABB2B9"/>
          <w:sz w:val="19"/>
        </w:rPr>
        <w:t xml:space="preserve">Competitive Relevance: </w:t>
      </w:r>
      <w:r>
        <w:rPr>
          <w:rFonts w:ascii="Calibri" w:hAnsi="Calibri"/>
          <w:b/>
          <w:i w:val="0"/>
          <w:color w:val="1E8B4C"/>
          <w:sz w:val="19"/>
        </w:rPr>
        <w:t>High</w:t>
      </w: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0D2B4E"/>
          </w:tcPr>
          <w:p>
            <w:pPr>
              <w:jc w:val="left"/>
            </w:pPr>
            <w:r>
              <w:rPr>
                <w:rFonts w:ascii="Calibri" w:hAnsi="Calibri"/>
                <w:b/>
                <w:i w:val="0"/>
                <w:color w:val="FFFFFF"/>
                <w:sz w:val="19"/>
              </w:rPr>
              <w:t>Core Product / Service</w:t>
            </w:r>
          </w:p>
        </w:tc>
        <w:tc>
          <w:tcPr>
            <w:tcW w:type="dxa" w:w="6480"/>
            <w:shd w:val="clear" w:color="auto" w:fill="F4F6F7"/>
          </w:tcPr>
          <w:p>
            <w:r>
              <w:rPr>
                <w:rFonts w:ascii="Calibri" w:hAnsi="Calibri"/>
                <w:b w:val="0"/>
                <w:i w:val="0"/>
                <w:color w:val="17202A"/>
                <w:sz w:val="19"/>
              </w:rPr>
              <w:t>ESG ratings for 8,500+ public companies, climate analytics, and (new) GeoSpatial Asset Intelligence: location-based data for ~70,000 public &amp; private companies to assess physical hazard/nature risk at asset level.</w:t>
            </w:r>
          </w:p>
        </w:tc>
      </w:tr>
      <w:tr>
        <w:tc>
          <w:tcPr>
            <w:tcW w:type="dxa" w:w="2592"/>
            <w:shd w:val="clear" w:color="auto" w:fill="0D2B4E"/>
          </w:tcPr>
          <w:p>
            <w:pPr>
              <w:jc w:val="left"/>
            </w:pPr>
            <w:r>
              <w:rPr>
                <w:rFonts w:ascii="Calibri" w:hAnsi="Calibri"/>
                <w:b/>
                <w:i w:val="0"/>
                <w:color w:val="FFFFFF"/>
                <w:sz w:val="19"/>
              </w:rPr>
              <w:t>Target Customers</w:t>
            </w:r>
          </w:p>
        </w:tc>
        <w:tc>
          <w:tcPr>
            <w:tcW w:type="dxa" w:w="6480"/>
            <w:shd w:val="clear" w:color="auto" w:fill="F4F6F7"/>
          </w:tcPr>
          <w:p>
            <w:r>
              <w:rPr>
                <w:rFonts w:ascii="Calibri" w:hAnsi="Calibri"/>
                <w:b w:val="0"/>
                <w:i w:val="0"/>
                <w:color w:val="17202A"/>
                <w:sz w:val="19"/>
              </w:rPr>
              <w:t>Asset managers, banks, pension funds, corporates</w:t>
            </w:r>
          </w:p>
        </w:tc>
      </w:tr>
      <w:tr>
        <w:tc>
          <w:tcPr>
            <w:tcW w:type="dxa" w:w="2592"/>
            <w:shd w:val="clear" w:color="auto" w:fill="0D2B4E"/>
          </w:tcPr>
          <w:p>
            <w:pPr>
              <w:jc w:val="left"/>
            </w:pPr>
            <w:r>
              <w:rPr>
                <w:rFonts w:ascii="Calibri" w:hAnsi="Calibri"/>
                <w:b/>
                <w:i w:val="0"/>
                <w:color w:val="FFFFFF"/>
                <w:sz w:val="19"/>
              </w:rPr>
              <w:t>Funding / Revenue</w:t>
            </w:r>
          </w:p>
        </w:tc>
        <w:tc>
          <w:tcPr>
            <w:tcW w:type="dxa" w:w="6480"/>
            <w:shd w:val="clear" w:color="auto" w:fill="F4F6F7"/>
          </w:tcPr>
          <w:p>
            <w:r>
              <w:rPr>
                <w:rFonts w:ascii="Calibri" w:hAnsi="Calibri"/>
                <w:b w:val="0"/>
                <w:i w:val="0"/>
                <w:color w:val="17202A"/>
                <w:sz w:val="19"/>
              </w:rPr>
              <w:t>MSCI FY2024 ESG analytics grew 40% YoY. Total MSCI revenue ~$2.5B (2024). Top 5 ESG vendors control ~65% of market.</w:t>
            </w:r>
          </w:p>
        </w:tc>
      </w:tr>
      <w:tr>
        <w:tc>
          <w:tcPr>
            <w:tcW w:type="dxa" w:w="2592"/>
            <w:shd w:val="clear" w:color="auto" w:fill="0D2B4E"/>
          </w:tcPr>
          <w:p>
            <w:pPr>
              <w:jc w:val="left"/>
            </w:pPr>
            <w:r>
              <w:rPr>
                <w:rFonts w:ascii="Calibri" w:hAnsi="Calibri"/>
                <w:b/>
                <w:i w:val="0"/>
                <w:color w:val="FFFFFF"/>
                <w:sz w:val="19"/>
              </w:rPr>
              <w:t>Key Differentiators</w:t>
            </w:r>
          </w:p>
        </w:tc>
        <w:tc>
          <w:tcPr>
            <w:tcW w:type="dxa" w:w="6480"/>
            <w:shd w:val="clear" w:color="auto" w:fill="F4F6F7"/>
          </w:tcPr>
          <w:p>
            <w:r>
              <w:rPr>
                <w:rFonts w:ascii="Calibri" w:hAnsi="Calibri"/>
                <w:b w:val="0"/>
                <w:i w:val="0"/>
                <w:color w:val="17202A"/>
                <w:sz w:val="19"/>
              </w:rPr>
              <w:t>• GeoSpatial Asset Intelligence: 70K companies with location-linked physical risk — largest such dataset</w:t>
              <w:br/>
              <w:t>• Integrated into existing MSCI portfolio analytics workflows</w:t>
              <w:br/>
              <w:t>• Cross-use of Moody's private company/sovereign data (partnership)</w:t>
              <w:br/>
              <w:t>• Multi-asset class: equities, fixed income, real assets</w:t>
            </w:r>
          </w:p>
        </w:tc>
      </w:tr>
      <w:tr>
        <w:tc>
          <w:tcPr>
            <w:tcW w:type="dxa" w:w="2592"/>
            <w:shd w:val="clear" w:color="auto" w:fill="0D2B4E"/>
          </w:tcPr>
          <w:p>
            <w:pPr>
              <w:jc w:val="left"/>
            </w:pPr>
            <w:r>
              <w:rPr>
                <w:rFonts w:ascii="Calibri" w:hAnsi="Calibri"/>
                <w:b/>
                <w:i w:val="0"/>
                <w:color w:val="FFFFFF"/>
                <w:sz w:val="19"/>
              </w:rPr>
              <w:t>Limitations / Gaps</w:t>
            </w:r>
          </w:p>
        </w:tc>
        <w:tc>
          <w:tcPr>
            <w:tcW w:type="dxa" w:w="6480"/>
            <w:shd w:val="clear" w:color="auto" w:fill="F4F6F7"/>
          </w:tcPr>
          <w:p>
            <w:r>
              <w:rPr>
                <w:rFonts w:ascii="Calibri" w:hAnsi="Calibri"/>
                <w:b w:val="0"/>
                <w:i w:val="0"/>
                <w:color w:val="17202A"/>
                <w:sz w:val="19"/>
              </w:rPr>
              <w:t>• Location data is largely company-reported/inferred — not satellite-verified</w:t>
              <w:br/>
              <w:t>• No real-time operational monitoring of assets</w:t>
              <w:br/>
              <w:t>• Designed for portfolio risk — not operational intelligence or due diligence</w:t>
              <w:br/>
              <w:t>• Breadth at the expense of depth per asset</w:t>
            </w:r>
          </w:p>
        </w:tc>
      </w:tr>
    </w:tbl>
    <w:p>
      <w:pPr>
        <w:spacing w:before="0" w:after="0"/>
      </w:pPr>
      <w:r>
        <w:rPr>
          <w:sz w:val="20"/>
        </w:rPr>
      </w:r>
    </w:p>
    <w:p>
      <w:pPr>
        <w:spacing w:before="280" w:after="80"/>
      </w:pPr>
      <w:r>
        <w:rPr>
          <w:rFonts w:ascii="Calibri" w:hAnsi="Calibri"/>
          <w:b/>
          <w:color w:val="1A5C8E"/>
          <w:sz w:val="24"/>
        </w:rPr>
        <w:t>Morningstar Sustainalytics</w:t>
      </w:r>
    </w:p>
    <w:p>
      <w:pPr>
        <w:spacing w:before="20" w:after="120"/>
      </w:pPr>
      <w:r>
        <w:rPr>
          <w:rFonts w:ascii="Calibri" w:hAnsi="Calibri"/>
          <w:b/>
          <w:i w:val="0"/>
          <w:color w:val="ABB2B9"/>
          <w:sz w:val="19"/>
        </w:rPr>
        <w:t xml:space="preserve">Founded: 1992 (Sustainalytics, acquired by Morningstar 2020)  |  </w:t>
      </w:r>
      <w:r>
        <w:rPr>
          <w:rFonts w:ascii="Calibri" w:hAnsi="Calibri"/>
          <w:b w:val="0"/>
          <w:i w:val="0"/>
          <w:color w:val="ABB2B9"/>
          <w:sz w:val="19"/>
        </w:rPr>
        <w:t xml:space="preserve">HQ: Amsterdam, Netherlands / Chicago, IL  |  </w:t>
      </w:r>
      <w:r>
        <w:rPr>
          <w:rFonts w:ascii="Calibri" w:hAnsi="Calibri"/>
          <w:b w:val="0"/>
          <w:i w:val="0"/>
          <w:color w:val="ABB2B9"/>
          <w:sz w:val="19"/>
        </w:rPr>
        <w:t xml:space="preserve">Stage/Type: Subsidiary of Morningstar (NASDAQ: MORN)  |  </w:t>
      </w:r>
      <w:r>
        <w:rPr>
          <w:rFonts w:ascii="Calibri" w:hAnsi="Calibri"/>
          <w:b/>
          <w:i w:val="0"/>
          <w:color w:val="ABB2B9"/>
          <w:sz w:val="19"/>
        </w:rPr>
        <w:t xml:space="preserve">Competitive Relevance: </w:t>
      </w:r>
      <w:r>
        <w:rPr>
          <w:rFonts w:ascii="Calibri" w:hAnsi="Calibri"/>
          <w:b/>
          <w:i w:val="0"/>
          <w:color w:val="E67E22"/>
          <w:sz w:val="19"/>
        </w:rPr>
        <w:t>Medium</w:t>
      </w: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0D2B4E"/>
          </w:tcPr>
          <w:p>
            <w:pPr>
              <w:jc w:val="left"/>
            </w:pPr>
            <w:r>
              <w:rPr>
                <w:rFonts w:ascii="Calibri" w:hAnsi="Calibri"/>
                <w:b/>
                <w:i w:val="0"/>
                <w:color w:val="FFFFFF"/>
                <w:sz w:val="19"/>
              </w:rPr>
              <w:t>Core Product / Service</w:t>
            </w:r>
          </w:p>
        </w:tc>
        <w:tc>
          <w:tcPr>
            <w:tcW w:type="dxa" w:w="6480"/>
            <w:shd w:val="clear" w:color="auto" w:fill="F4F6F7"/>
          </w:tcPr>
          <w:p>
            <w:r>
              <w:rPr>
                <w:rFonts w:ascii="Calibri" w:hAnsi="Calibri"/>
                <w:b w:val="0"/>
                <w:i w:val="0"/>
                <w:color w:val="17202A"/>
                <w:sz w:val="19"/>
              </w:rPr>
              <w:t>ESG Risk Ratings for 14,000+ companies. Corporate ESG research, second-party opinions (SPOs) on green bonds. Primarily company-level, not asset-level.</w:t>
            </w:r>
          </w:p>
        </w:tc>
      </w:tr>
      <w:tr>
        <w:tc>
          <w:tcPr>
            <w:tcW w:type="dxa" w:w="2592"/>
            <w:shd w:val="clear" w:color="auto" w:fill="0D2B4E"/>
          </w:tcPr>
          <w:p>
            <w:pPr>
              <w:jc w:val="left"/>
            </w:pPr>
            <w:r>
              <w:rPr>
                <w:rFonts w:ascii="Calibri" w:hAnsi="Calibri"/>
                <w:b/>
                <w:i w:val="0"/>
                <w:color w:val="FFFFFF"/>
                <w:sz w:val="19"/>
              </w:rPr>
              <w:t>Target Customers</w:t>
            </w:r>
          </w:p>
        </w:tc>
        <w:tc>
          <w:tcPr>
            <w:tcW w:type="dxa" w:w="6480"/>
            <w:shd w:val="clear" w:color="auto" w:fill="F4F6F7"/>
          </w:tcPr>
          <w:p>
            <w:r>
              <w:rPr>
                <w:rFonts w:ascii="Calibri" w:hAnsi="Calibri"/>
                <w:b w:val="0"/>
                <w:i w:val="0"/>
                <w:color w:val="17202A"/>
                <w:sz w:val="19"/>
              </w:rPr>
              <w:t>Asset managers, banks, pension funds, bond issuers</w:t>
            </w:r>
          </w:p>
        </w:tc>
      </w:tr>
      <w:tr>
        <w:tc>
          <w:tcPr>
            <w:tcW w:type="dxa" w:w="2592"/>
            <w:shd w:val="clear" w:color="auto" w:fill="0D2B4E"/>
          </w:tcPr>
          <w:p>
            <w:pPr>
              <w:jc w:val="left"/>
            </w:pPr>
            <w:r>
              <w:rPr>
                <w:rFonts w:ascii="Calibri" w:hAnsi="Calibri"/>
                <w:b/>
                <w:i w:val="0"/>
                <w:color w:val="FFFFFF"/>
                <w:sz w:val="19"/>
              </w:rPr>
              <w:t>Funding / Revenue</w:t>
            </w:r>
          </w:p>
        </w:tc>
        <w:tc>
          <w:tcPr>
            <w:tcW w:type="dxa" w:w="6480"/>
            <w:shd w:val="clear" w:color="auto" w:fill="F4F6F7"/>
          </w:tcPr>
          <w:p>
            <w:r>
              <w:rPr>
                <w:rFonts w:ascii="Calibri" w:hAnsi="Calibri"/>
                <w:b w:val="0"/>
                <w:i w:val="0"/>
                <w:color w:val="17202A"/>
                <w:sz w:val="19"/>
              </w:rPr>
              <w:t>Morningstar FY2024 revenue: ~$2.0-2.2B. Sustainalytics Q1 2025 revenue: $28.8M (-6.5% YoY) — declining. 22.7% share of SPO market (H1 2024). Morningstar acquired DBRS ESG unit ($375M, Sep 2025).</w:t>
            </w:r>
          </w:p>
        </w:tc>
      </w:tr>
      <w:tr>
        <w:tc>
          <w:tcPr>
            <w:tcW w:type="dxa" w:w="2592"/>
            <w:shd w:val="clear" w:color="auto" w:fill="0D2B4E"/>
          </w:tcPr>
          <w:p>
            <w:pPr>
              <w:jc w:val="left"/>
            </w:pPr>
            <w:r>
              <w:rPr>
                <w:rFonts w:ascii="Calibri" w:hAnsi="Calibri"/>
                <w:b/>
                <w:i w:val="0"/>
                <w:color w:val="FFFFFF"/>
                <w:sz w:val="19"/>
              </w:rPr>
              <w:t>Key Differentiators</w:t>
            </w:r>
          </w:p>
        </w:tc>
        <w:tc>
          <w:tcPr>
            <w:tcW w:type="dxa" w:w="6480"/>
            <w:shd w:val="clear" w:color="auto" w:fill="F4F6F7"/>
          </w:tcPr>
          <w:p>
            <w:r>
              <w:rPr>
                <w:rFonts w:ascii="Calibri" w:hAnsi="Calibri"/>
                <w:b w:val="0"/>
                <w:i w:val="0"/>
                <w:color w:val="17202A"/>
                <w:sz w:val="19"/>
              </w:rPr>
              <w:t>• Market-leading position in green/sustainable bond SPOs</w:t>
              <w:br/>
              <w:t>• Broad institutional distribution via Morningstar platform</w:t>
              <w:br/>
              <w:t>• 14K+ company coverage</w:t>
            </w:r>
          </w:p>
        </w:tc>
      </w:tr>
      <w:tr>
        <w:tc>
          <w:tcPr>
            <w:tcW w:type="dxa" w:w="2592"/>
            <w:shd w:val="clear" w:color="auto" w:fill="0D2B4E"/>
          </w:tcPr>
          <w:p>
            <w:pPr>
              <w:jc w:val="left"/>
            </w:pPr>
            <w:r>
              <w:rPr>
                <w:rFonts w:ascii="Calibri" w:hAnsi="Calibri"/>
                <w:b/>
                <w:i w:val="0"/>
                <w:color w:val="FFFFFF"/>
                <w:sz w:val="19"/>
              </w:rPr>
              <w:t>Limitations / Gaps</w:t>
            </w:r>
          </w:p>
        </w:tc>
        <w:tc>
          <w:tcPr>
            <w:tcW w:type="dxa" w:w="6480"/>
            <w:shd w:val="clear" w:color="auto" w:fill="F4F6F7"/>
          </w:tcPr>
          <w:p>
            <w:r>
              <w:rPr>
                <w:rFonts w:ascii="Calibri" w:hAnsi="Calibri"/>
                <w:b w:val="0"/>
                <w:i w:val="0"/>
                <w:color w:val="17202A"/>
                <w:sz w:val="19"/>
              </w:rPr>
              <w:t>• Revenue declining — under pressure from AI-driven ESG data newcomers</w:t>
              <w:br/>
              <w:t>• Exclusively company-level ratings, no asset-level intelligence</w:t>
              <w:br/>
              <w:t>• Does not use satellite or geospatial data for monitoring</w:t>
              <w:br/>
              <w:t>• Methodology opacity — facing regulatory scrutiny in EU</w:t>
            </w:r>
          </w:p>
        </w:tc>
      </w:tr>
    </w:tbl>
    <w:p>
      <w:pPr>
        <w:spacing w:before="0" w:after="0"/>
      </w:pPr>
      <w:r>
        <w:rPr>
          <w:sz w:val="20"/>
        </w:rPr>
      </w:r>
    </w:p>
    <w:p>
      <w:pPr>
        <w:spacing w:before="280" w:after="80"/>
      </w:pPr>
      <w:r>
        <w:rPr>
          <w:rFonts w:ascii="Calibri" w:hAnsi="Calibri"/>
          <w:b/>
          <w:color w:val="1A5C8E"/>
          <w:sz w:val="24"/>
        </w:rPr>
        <w:t>Dun &amp; Bradstreet</w:t>
      </w:r>
    </w:p>
    <w:p>
      <w:pPr>
        <w:spacing w:before="20" w:after="120"/>
      </w:pPr>
      <w:r>
        <w:rPr>
          <w:rFonts w:ascii="Calibri" w:hAnsi="Calibri"/>
          <w:b/>
          <w:i w:val="0"/>
          <w:color w:val="ABB2B9"/>
          <w:sz w:val="19"/>
        </w:rPr>
        <w:t xml:space="preserve">Founded: 1841  |  </w:t>
      </w:r>
      <w:r>
        <w:rPr>
          <w:rFonts w:ascii="Calibri" w:hAnsi="Calibri"/>
          <w:b w:val="0"/>
          <w:i w:val="0"/>
          <w:color w:val="ABB2B9"/>
          <w:sz w:val="19"/>
        </w:rPr>
        <w:t xml:space="preserve">HQ: Jacksonville, FL  |  </w:t>
      </w:r>
      <w:r>
        <w:rPr>
          <w:rFonts w:ascii="Calibri" w:hAnsi="Calibri"/>
          <w:b w:val="0"/>
          <w:i w:val="0"/>
          <w:color w:val="ABB2B9"/>
          <w:sz w:val="19"/>
        </w:rPr>
        <w:t xml:space="preserve">Stage/Type: Public (NYSE: DNB) — going private (Clearlake Capital, $7.7B deal, Mar 2025)  |  </w:t>
      </w:r>
      <w:r>
        <w:rPr>
          <w:rFonts w:ascii="Calibri" w:hAnsi="Calibri"/>
          <w:b/>
          <w:i w:val="0"/>
          <w:color w:val="ABB2B9"/>
          <w:sz w:val="19"/>
        </w:rPr>
        <w:t xml:space="preserve">Competitive Relevance: </w:t>
      </w:r>
      <w:r>
        <w:rPr>
          <w:rFonts w:ascii="Calibri" w:hAnsi="Calibri"/>
          <w:b/>
          <w:i w:val="0"/>
          <w:color w:val="ABB2B9"/>
          <w:sz w:val="19"/>
        </w:rPr>
        <w:t>Low</w:t>
      </w: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0D2B4E"/>
          </w:tcPr>
          <w:p>
            <w:pPr>
              <w:jc w:val="left"/>
            </w:pPr>
            <w:r>
              <w:rPr>
                <w:rFonts w:ascii="Calibri" w:hAnsi="Calibri"/>
                <w:b/>
                <w:i w:val="0"/>
                <w:color w:val="FFFFFF"/>
                <w:sz w:val="19"/>
              </w:rPr>
              <w:t>Core Product / Service</w:t>
            </w:r>
          </w:p>
        </w:tc>
        <w:tc>
          <w:tcPr>
            <w:tcW w:type="dxa" w:w="6480"/>
            <w:shd w:val="clear" w:color="auto" w:fill="F4F6F7"/>
          </w:tcPr>
          <w:p>
            <w:r>
              <w:rPr>
                <w:rFonts w:ascii="Calibri" w:hAnsi="Calibri"/>
                <w:b w:val="0"/>
                <w:i w:val="0"/>
                <w:color w:val="17202A"/>
                <w:sz w:val="19"/>
              </w:rPr>
              <w:t>Business data platform: 500M+ business records, D-U-N-S numbers, firmographic intelligence, risk scores, supply chain transparency. No direct satellite monitoring.</w:t>
            </w:r>
          </w:p>
        </w:tc>
      </w:tr>
      <w:tr>
        <w:tc>
          <w:tcPr>
            <w:tcW w:type="dxa" w:w="2592"/>
            <w:shd w:val="clear" w:color="auto" w:fill="0D2B4E"/>
          </w:tcPr>
          <w:p>
            <w:pPr>
              <w:jc w:val="left"/>
            </w:pPr>
            <w:r>
              <w:rPr>
                <w:rFonts w:ascii="Calibri" w:hAnsi="Calibri"/>
                <w:b/>
                <w:i w:val="0"/>
                <w:color w:val="FFFFFF"/>
                <w:sz w:val="19"/>
              </w:rPr>
              <w:t>Target Customers</w:t>
            </w:r>
          </w:p>
        </w:tc>
        <w:tc>
          <w:tcPr>
            <w:tcW w:type="dxa" w:w="6480"/>
            <w:shd w:val="clear" w:color="auto" w:fill="F4F6F7"/>
          </w:tcPr>
          <w:p>
            <w:r>
              <w:rPr>
                <w:rFonts w:ascii="Calibri" w:hAnsi="Calibri"/>
                <w:b w:val="0"/>
                <w:i w:val="0"/>
                <w:color w:val="17202A"/>
                <w:sz w:val="19"/>
              </w:rPr>
              <w:t>Banks, corporates (procurement, risk, compliance), insurers</w:t>
            </w:r>
          </w:p>
        </w:tc>
      </w:tr>
      <w:tr>
        <w:tc>
          <w:tcPr>
            <w:tcW w:type="dxa" w:w="2592"/>
            <w:shd w:val="clear" w:color="auto" w:fill="0D2B4E"/>
          </w:tcPr>
          <w:p>
            <w:pPr>
              <w:jc w:val="left"/>
            </w:pPr>
            <w:r>
              <w:rPr>
                <w:rFonts w:ascii="Calibri" w:hAnsi="Calibri"/>
                <w:b/>
                <w:i w:val="0"/>
                <w:color w:val="FFFFFF"/>
                <w:sz w:val="19"/>
              </w:rPr>
              <w:t>Funding / Revenue</w:t>
            </w:r>
          </w:p>
        </w:tc>
        <w:tc>
          <w:tcPr>
            <w:tcW w:type="dxa" w:w="6480"/>
            <w:shd w:val="clear" w:color="auto" w:fill="F4F6F7"/>
          </w:tcPr>
          <w:p>
            <w:r>
              <w:rPr>
                <w:rFonts w:ascii="Calibri" w:hAnsi="Calibri"/>
                <w:b w:val="0"/>
                <w:i w:val="0"/>
                <w:color w:val="17202A"/>
                <w:sz w:val="19"/>
              </w:rPr>
              <w:t>FY2024 revenue: $2.38B (+2.9% YoY). Q1 2025 revenue: $579.8M (+2.7% YoY). Being acquired by Clearlake for $7.7B (2025).</w:t>
            </w:r>
          </w:p>
        </w:tc>
      </w:tr>
      <w:tr>
        <w:tc>
          <w:tcPr>
            <w:tcW w:type="dxa" w:w="2592"/>
            <w:shd w:val="clear" w:color="auto" w:fill="0D2B4E"/>
          </w:tcPr>
          <w:p>
            <w:pPr>
              <w:jc w:val="left"/>
            </w:pPr>
            <w:r>
              <w:rPr>
                <w:rFonts w:ascii="Calibri" w:hAnsi="Calibri"/>
                <w:b/>
                <w:i w:val="0"/>
                <w:color w:val="FFFFFF"/>
                <w:sz w:val="19"/>
              </w:rPr>
              <w:t>Key Differentiators</w:t>
            </w:r>
          </w:p>
        </w:tc>
        <w:tc>
          <w:tcPr>
            <w:tcW w:type="dxa" w:w="6480"/>
            <w:shd w:val="clear" w:color="auto" w:fill="F4F6F7"/>
          </w:tcPr>
          <w:p>
            <w:r>
              <w:rPr>
                <w:rFonts w:ascii="Calibri" w:hAnsi="Calibri"/>
                <w:b w:val="0"/>
                <w:i w:val="0"/>
                <w:color w:val="17202A"/>
                <w:sz w:val="19"/>
              </w:rPr>
              <w:t>• 500M+ business records with D-U-N-S IDs — universal identifier layer</w:t>
              <w:br/>
              <w:t>• Supply chain risk monitoring</w:t>
              <w:br/>
              <w:t>• LSEG partnership for private markets data</w:t>
            </w:r>
          </w:p>
        </w:tc>
      </w:tr>
      <w:tr>
        <w:tc>
          <w:tcPr>
            <w:tcW w:type="dxa" w:w="2592"/>
            <w:shd w:val="clear" w:color="auto" w:fill="0D2B4E"/>
          </w:tcPr>
          <w:p>
            <w:pPr>
              <w:jc w:val="left"/>
            </w:pPr>
            <w:r>
              <w:rPr>
                <w:rFonts w:ascii="Calibri" w:hAnsi="Calibri"/>
                <w:b/>
                <w:i w:val="0"/>
                <w:color w:val="FFFFFF"/>
                <w:sz w:val="19"/>
              </w:rPr>
              <w:t>Limitations / Gaps</w:t>
            </w:r>
          </w:p>
        </w:tc>
        <w:tc>
          <w:tcPr>
            <w:tcW w:type="dxa" w:w="6480"/>
            <w:shd w:val="clear" w:color="auto" w:fill="F4F6F7"/>
          </w:tcPr>
          <w:p>
            <w:r>
              <w:rPr>
                <w:rFonts w:ascii="Calibri" w:hAnsi="Calibri"/>
                <w:b w:val="0"/>
                <w:i w:val="0"/>
                <w:color w:val="17202A"/>
                <w:sz w:val="19"/>
              </w:rPr>
              <w:t>• No geospatial or satellite-based asset monitoring</w:t>
              <w:br/>
              <w:t>• Company-level data — does not track facility/asset-level activity</w:t>
              <w:br/>
              <w:t>• Data quality concerns in emerging markets</w:t>
              <w:br/>
              <w:t>• Growth stagnant (~3% YoY)</w:t>
            </w:r>
          </w:p>
        </w:tc>
      </w:tr>
    </w:tbl>
    <w:p>
      <w:pPr>
        <w:spacing w:before="0" w:after="0"/>
      </w:pPr>
      <w:r>
        <w:rPr>
          <w:sz w:val="20"/>
        </w:rPr>
      </w:r>
    </w:p>
    <w:p>
      <w:pPr>
        <w:spacing w:before="280" w:after="80"/>
      </w:pPr>
      <w:r>
        <w:rPr>
          <w:rFonts w:ascii="Calibri" w:hAnsi="Calibri"/>
          <w:b/>
          <w:color w:val="1A5C8E"/>
          <w:sz w:val="24"/>
        </w:rPr>
        <w:t>Bureau van Dijk (Moody's)</w:t>
      </w:r>
    </w:p>
    <w:p>
      <w:pPr>
        <w:spacing w:before="20" w:after="120"/>
      </w:pPr>
      <w:r>
        <w:rPr>
          <w:rFonts w:ascii="Calibri" w:hAnsi="Calibri"/>
          <w:b/>
          <w:i w:val="0"/>
          <w:color w:val="ABB2B9"/>
          <w:sz w:val="19"/>
        </w:rPr>
        <w:t xml:space="preserve">Founded: 1991 (acquired by Moody's 2017)  |  </w:t>
      </w:r>
      <w:r>
        <w:rPr>
          <w:rFonts w:ascii="Calibri" w:hAnsi="Calibri"/>
          <w:b w:val="0"/>
          <w:i w:val="0"/>
          <w:color w:val="ABB2B9"/>
          <w:sz w:val="19"/>
        </w:rPr>
        <w:t xml:space="preserve">HQ: Amsterdam, Netherlands  |  </w:t>
      </w:r>
      <w:r>
        <w:rPr>
          <w:rFonts w:ascii="Calibri" w:hAnsi="Calibri"/>
          <w:b w:val="0"/>
          <w:i w:val="0"/>
          <w:color w:val="ABB2B9"/>
          <w:sz w:val="19"/>
        </w:rPr>
        <w:t xml:space="preserve">Stage/Type: Subsidiary of Moody's (NYSE: MCO)  |  </w:t>
      </w:r>
      <w:r>
        <w:rPr>
          <w:rFonts w:ascii="Calibri" w:hAnsi="Calibri"/>
          <w:b/>
          <w:i w:val="0"/>
          <w:color w:val="ABB2B9"/>
          <w:sz w:val="19"/>
        </w:rPr>
        <w:t xml:space="preserve">Competitive Relevance: </w:t>
      </w:r>
      <w:r>
        <w:rPr>
          <w:rFonts w:ascii="Calibri" w:hAnsi="Calibri"/>
          <w:b/>
          <w:i w:val="0"/>
          <w:color w:val="ABB2B9"/>
          <w:sz w:val="19"/>
        </w:rPr>
        <w:t>Low</w:t>
      </w: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0D2B4E"/>
          </w:tcPr>
          <w:p>
            <w:pPr>
              <w:jc w:val="left"/>
            </w:pPr>
            <w:r>
              <w:rPr>
                <w:rFonts w:ascii="Calibri" w:hAnsi="Calibri"/>
                <w:b/>
                <w:i w:val="0"/>
                <w:color w:val="FFFFFF"/>
                <w:sz w:val="19"/>
              </w:rPr>
              <w:t>Core Product / Service</w:t>
            </w:r>
          </w:p>
        </w:tc>
        <w:tc>
          <w:tcPr>
            <w:tcW w:type="dxa" w:w="6480"/>
            <w:shd w:val="clear" w:color="auto" w:fill="F4F6F7"/>
          </w:tcPr>
          <w:p>
            <w:r>
              <w:rPr>
                <w:rFonts w:ascii="Calibri" w:hAnsi="Calibri"/>
                <w:b w:val="0"/>
                <w:i w:val="0"/>
                <w:color w:val="17202A"/>
                <w:sz w:val="19"/>
              </w:rPr>
              <w:t>Orbis database: 400M+ company records globally, ownership structures, financial data, corporate hierarchies. Useful for identifying beneficial ownership of physical asset-holding companies.</w:t>
            </w:r>
          </w:p>
        </w:tc>
      </w:tr>
      <w:tr>
        <w:tc>
          <w:tcPr>
            <w:tcW w:type="dxa" w:w="2592"/>
            <w:shd w:val="clear" w:color="auto" w:fill="0D2B4E"/>
          </w:tcPr>
          <w:p>
            <w:pPr>
              <w:jc w:val="left"/>
            </w:pPr>
            <w:r>
              <w:rPr>
                <w:rFonts w:ascii="Calibri" w:hAnsi="Calibri"/>
                <w:b/>
                <w:i w:val="0"/>
                <w:color w:val="FFFFFF"/>
                <w:sz w:val="19"/>
              </w:rPr>
              <w:t>Target Customers</w:t>
            </w:r>
          </w:p>
        </w:tc>
        <w:tc>
          <w:tcPr>
            <w:tcW w:type="dxa" w:w="6480"/>
            <w:shd w:val="clear" w:color="auto" w:fill="F4F6F7"/>
          </w:tcPr>
          <w:p>
            <w:r>
              <w:rPr>
                <w:rFonts w:ascii="Calibri" w:hAnsi="Calibri"/>
                <w:b w:val="0"/>
                <w:i w:val="0"/>
                <w:color w:val="17202A"/>
                <w:sz w:val="19"/>
              </w:rPr>
              <w:t>Financial institutions, compliance teams, governments, consultancies</w:t>
            </w:r>
          </w:p>
        </w:tc>
      </w:tr>
      <w:tr>
        <w:tc>
          <w:tcPr>
            <w:tcW w:type="dxa" w:w="2592"/>
            <w:shd w:val="clear" w:color="auto" w:fill="0D2B4E"/>
          </w:tcPr>
          <w:p>
            <w:pPr>
              <w:jc w:val="left"/>
            </w:pPr>
            <w:r>
              <w:rPr>
                <w:rFonts w:ascii="Calibri" w:hAnsi="Calibri"/>
                <w:b/>
                <w:i w:val="0"/>
                <w:color w:val="FFFFFF"/>
                <w:sz w:val="19"/>
              </w:rPr>
              <w:t>Funding / Revenue</w:t>
            </w:r>
          </w:p>
        </w:tc>
        <w:tc>
          <w:tcPr>
            <w:tcW w:type="dxa" w:w="6480"/>
            <w:shd w:val="clear" w:color="auto" w:fill="F4F6F7"/>
          </w:tcPr>
          <w:p>
            <w:r>
              <w:rPr>
                <w:rFonts w:ascii="Calibri" w:hAnsi="Calibri"/>
                <w:b w:val="0"/>
                <w:i w:val="0"/>
                <w:color w:val="17202A"/>
                <w:sz w:val="19"/>
              </w:rPr>
              <w:t>Part of Moody's Analytics; Moody's FY2024 revenue ~$7B. BvD specific revenue not disclosed.</w:t>
            </w:r>
          </w:p>
        </w:tc>
      </w:tr>
      <w:tr>
        <w:tc>
          <w:tcPr>
            <w:tcW w:type="dxa" w:w="2592"/>
            <w:shd w:val="clear" w:color="auto" w:fill="0D2B4E"/>
          </w:tcPr>
          <w:p>
            <w:pPr>
              <w:jc w:val="left"/>
            </w:pPr>
            <w:r>
              <w:rPr>
                <w:rFonts w:ascii="Calibri" w:hAnsi="Calibri"/>
                <w:b/>
                <w:i w:val="0"/>
                <w:color w:val="FFFFFF"/>
                <w:sz w:val="19"/>
              </w:rPr>
              <w:t>Key Differentiators</w:t>
            </w:r>
          </w:p>
        </w:tc>
        <w:tc>
          <w:tcPr>
            <w:tcW w:type="dxa" w:w="6480"/>
            <w:shd w:val="clear" w:color="auto" w:fill="F4F6F7"/>
          </w:tcPr>
          <w:p>
            <w:r>
              <w:rPr>
                <w:rFonts w:ascii="Calibri" w:hAnsi="Calibri"/>
                <w:b w:val="0"/>
                <w:i w:val="0"/>
                <w:color w:val="17202A"/>
                <w:sz w:val="19"/>
              </w:rPr>
              <w:t>• Deepest ownership/ultimate beneficial owner (UBO) data globally</w:t>
              <w:br/>
              <w:t>• Useful for tracing who owns which industrial/physical assets via corporate chains</w:t>
              <w:br/>
              <w:t>• Integration with Moody's credit analytics</w:t>
            </w:r>
          </w:p>
        </w:tc>
      </w:tr>
      <w:tr>
        <w:tc>
          <w:tcPr>
            <w:tcW w:type="dxa" w:w="2592"/>
            <w:shd w:val="clear" w:color="auto" w:fill="0D2B4E"/>
          </w:tcPr>
          <w:p>
            <w:pPr>
              <w:jc w:val="left"/>
            </w:pPr>
            <w:r>
              <w:rPr>
                <w:rFonts w:ascii="Calibri" w:hAnsi="Calibri"/>
                <w:b/>
                <w:i w:val="0"/>
                <w:color w:val="FFFFFF"/>
                <w:sz w:val="19"/>
              </w:rPr>
              <w:t>Limitations / Gaps</w:t>
            </w:r>
          </w:p>
        </w:tc>
        <w:tc>
          <w:tcPr>
            <w:tcW w:type="dxa" w:w="6480"/>
            <w:shd w:val="clear" w:color="auto" w:fill="F4F6F7"/>
          </w:tcPr>
          <w:p>
            <w:r>
              <w:rPr>
                <w:rFonts w:ascii="Calibri" w:hAnsi="Calibri"/>
                <w:b w:val="0"/>
                <w:i w:val="0"/>
                <w:color w:val="17202A"/>
                <w:sz w:val="19"/>
              </w:rPr>
              <w:t>• Purely company/ownership data — no asset-level monitoring</w:t>
              <w:br/>
              <w:t>• Does not know what assets a company owns or where they are physically</w:t>
              <w:br/>
              <w:t>• Static records — no real-time monitoring</w:t>
            </w:r>
          </w:p>
        </w:tc>
      </w:tr>
    </w:tbl>
    <w:p>
      <w:pPr>
        <w:spacing w:before="0" w:after="0"/>
      </w:pPr>
      <w:r>
        <w:rPr>
          <w:sz w:val="20"/>
        </w:rPr>
      </w:r>
    </w:p>
    <w:p>
      <w:r>
        <w:br w:type="page"/>
      </w:r>
    </w:p>
    <w:p>
      <w:pPr>
        <w:spacing w:before="280" w:after="80"/>
        <w:pBdr>
          <w:bottom w:val="single" w:sz="6" w:space="1" w:color="2E86C1"/>
        </w:pBdr>
      </w:pPr>
      <w:r>
        <w:rPr>
          <w:rFonts w:ascii="Calibri" w:hAnsi="Calibri"/>
          <w:b/>
          <w:color w:val="0D2B4E"/>
          <w:sz w:val="30"/>
        </w:rPr>
        <w:t>CATEGORY 3: ESG &amp; SUSTAINABILITY ASSET MONITORING PLATFORMS</w:t>
      </w:r>
    </w:p>
    <w:p>
      <w:pPr>
        <w:spacing w:before="40" w:after="160"/>
      </w:pPr>
      <w:r>
        <w:rPr>
          <w:rFonts w:ascii="Calibri" w:hAnsi="Calibri"/>
          <w:b w:val="0"/>
          <w:i/>
          <w:color w:val="ABB2B9"/>
          <w:sz w:val="20"/>
        </w:rPr>
        <w:t>These platforms focus on translating environmental, social, and governance data into actionable scores or insights for investors and regulators. Some use AI/alternative data but remain primarily focused on portfolio-level reporting rather than asset-level physical monitoring.</w:t>
      </w:r>
    </w:p>
    <w:p>
      <w:pPr>
        <w:spacing w:before="280" w:after="80"/>
      </w:pPr>
      <w:r>
        <w:rPr>
          <w:rFonts w:ascii="Calibri" w:hAnsi="Calibri"/>
          <w:b/>
          <w:color w:val="1A5C8E"/>
          <w:sz w:val="24"/>
        </w:rPr>
        <w:t>Clarity AI</w:t>
      </w:r>
    </w:p>
    <w:p>
      <w:pPr>
        <w:spacing w:before="20" w:after="120"/>
      </w:pPr>
      <w:r>
        <w:rPr>
          <w:rFonts w:ascii="Calibri" w:hAnsi="Calibri"/>
          <w:b/>
          <w:i w:val="0"/>
          <w:color w:val="ABB2B9"/>
          <w:sz w:val="19"/>
        </w:rPr>
        <w:t xml:space="preserve">Founded: 2017  |  </w:t>
      </w:r>
      <w:r>
        <w:rPr>
          <w:rFonts w:ascii="Calibri" w:hAnsi="Calibri"/>
          <w:b w:val="0"/>
          <w:i w:val="0"/>
          <w:color w:val="ABB2B9"/>
          <w:sz w:val="19"/>
        </w:rPr>
        <w:t xml:space="preserve">HQ: Madrid, Spain / New York, NY  |  </w:t>
      </w:r>
      <w:r>
        <w:rPr>
          <w:rFonts w:ascii="Calibri" w:hAnsi="Calibri"/>
          <w:b w:val="0"/>
          <w:i w:val="0"/>
          <w:color w:val="ABB2B9"/>
          <w:sz w:val="19"/>
        </w:rPr>
        <w:t xml:space="preserve">Stage/Type: Late-stage private (Series D)  |  </w:t>
      </w:r>
      <w:r>
        <w:rPr>
          <w:rFonts w:ascii="Calibri" w:hAnsi="Calibri"/>
          <w:b/>
          <w:i w:val="0"/>
          <w:color w:val="ABB2B9"/>
          <w:sz w:val="19"/>
        </w:rPr>
        <w:t xml:space="preserve">Competitive Relevance: </w:t>
      </w:r>
      <w:r>
        <w:rPr>
          <w:rFonts w:ascii="Calibri" w:hAnsi="Calibri"/>
          <w:b/>
          <w:i w:val="0"/>
          <w:color w:val="1E8B4C"/>
          <w:sz w:val="19"/>
        </w:rPr>
        <w:t>High</w:t>
      </w: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0D2B4E"/>
          </w:tcPr>
          <w:p>
            <w:pPr>
              <w:jc w:val="left"/>
            </w:pPr>
            <w:r>
              <w:rPr>
                <w:rFonts w:ascii="Calibri" w:hAnsi="Calibri"/>
                <w:b/>
                <w:i w:val="0"/>
                <w:color w:val="FFFFFF"/>
                <w:sz w:val="19"/>
              </w:rPr>
              <w:t>Core Product / Service</w:t>
            </w:r>
          </w:p>
        </w:tc>
        <w:tc>
          <w:tcPr>
            <w:tcW w:type="dxa" w:w="6480"/>
            <w:shd w:val="clear" w:color="auto" w:fill="F4F6F7"/>
          </w:tcPr>
          <w:p>
            <w:r>
              <w:rPr>
                <w:rFonts w:ascii="Calibri" w:hAnsi="Calibri"/>
                <w:b w:val="0"/>
                <w:i w:val="0"/>
                <w:color w:val="17202A"/>
                <w:sz w:val="19"/>
              </w:rPr>
              <w:t>Sustainability tech platform using ML to provide ESG and climate insights. Covers 30,000+ organizations. Products: portfolio impact analysis, regulatory compliance (SFDR, EU Taxonomy), issuer research, sustainability AI research assistant (2025 launch).</w:t>
            </w:r>
          </w:p>
        </w:tc>
      </w:tr>
      <w:tr>
        <w:tc>
          <w:tcPr>
            <w:tcW w:type="dxa" w:w="2592"/>
            <w:shd w:val="clear" w:color="auto" w:fill="0D2B4E"/>
          </w:tcPr>
          <w:p>
            <w:pPr>
              <w:jc w:val="left"/>
            </w:pPr>
            <w:r>
              <w:rPr>
                <w:rFonts w:ascii="Calibri" w:hAnsi="Calibri"/>
                <w:b/>
                <w:i w:val="0"/>
                <w:color w:val="FFFFFF"/>
                <w:sz w:val="19"/>
              </w:rPr>
              <w:t>Target Customers</w:t>
            </w:r>
          </w:p>
        </w:tc>
        <w:tc>
          <w:tcPr>
            <w:tcW w:type="dxa" w:w="6480"/>
            <w:shd w:val="clear" w:color="auto" w:fill="F4F6F7"/>
          </w:tcPr>
          <w:p>
            <w:r>
              <w:rPr>
                <w:rFonts w:ascii="Calibri" w:hAnsi="Calibri"/>
                <w:b w:val="0"/>
                <w:i w:val="0"/>
                <w:color w:val="17202A"/>
                <w:sz w:val="19"/>
              </w:rPr>
              <w:t>Asset managers, banks, pension funds (clients manage &gt;$60T AUM)</w:t>
            </w:r>
          </w:p>
        </w:tc>
      </w:tr>
      <w:tr>
        <w:tc>
          <w:tcPr>
            <w:tcW w:type="dxa" w:w="2592"/>
            <w:shd w:val="clear" w:color="auto" w:fill="0D2B4E"/>
          </w:tcPr>
          <w:p>
            <w:pPr>
              <w:jc w:val="left"/>
            </w:pPr>
            <w:r>
              <w:rPr>
                <w:rFonts w:ascii="Calibri" w:hAnsi="Calibri"/>
                <w:b/>
                <w:i w:val="0"/>
                <w:color w:val="FFFFFF"/>
                <w:sz w:val="19"/>
              </w:rPr>
              <w:t>Funding / Revenue</w:t>
            </w:r>
          </w:p>
        </w:tc>
        <w:tc>
          <w:tcPr>
            <w:tcW w:type="dxa" w:w="6480"/>
            <w:shd w:val="clear" w:color="auto" w:fill="F4F6F7"/>
          </w:tcPr>
          <w:p>
            <w:r>
              <w:rPr>
                <w:rFonts w:ascii="Calibri" w:hAnsi="Calibri"/>
                <w:b w:val="0"/>
                <w:i w:val="0"/>
                <w:color w:val="17202A"/>
                <w:sz w:val="19"/>
              </w:rPr>
              <w:t>Total raised: ~$100-120M (sources vary; $12.9M round Sep 2025). BlackRock minority investor. Named Forrester Wave leader Q3 2024. Acquired ecolytiq (fintech climate engagement) Jul 2025.</w:t>
            </w:r>
          </w:p>
        </w:tc>
      </w:tr>
      <w:tr>
        <w:tc>
          <w:tcPr>
            <w:tcW w:type="dxa" w:w="2592"/>
            <w:shd w:val="clear" w:color="auto" w:fill="0D2B4E"/>
          </w:tcPr>
          <w:p>
            <w:pPr>
              <w:jc w:val="left"/>
            </w:pPr>
            <w:r>
              <w:rPr>
                <w:rFonts w:ascii="Calibri" w:hAnsi="Calibri"/>
                <w:b/>
                <w:i w:val="0"/>
                <w:color w:val="FFFFFF"/>
                <w:sz w:val="19"/>
              </w:rPr>
              <w:t>Key Differentiators</w:t>
            </w:r>
          </w:p>
        </w:tc>
        <w:tc>
          <w:tcPr>
            <w:tcW w:type="dxa" w:w="6480"/>
            <w:shd w:val="clear" w:color="auto" w:fill="F4F6F7"/>
          </w:tcPr>
          <w:p>
            <w:r>
              <w:rPr>
                <w:rFonts w:ascii="Calibri" w:hAnsi="Calibri"/>
                <w:b w:val="0"/>
                <w:i w:val="0"/>
                <w:color w:val="17202A"/>
                <w:sz w:val="19"/>
              </w:rPr>
              <w:t>• AI-native — built with ML from ground up vs incumbent bolted-on analytics</w:t>
              <w:br/>
              <w:t>• Regulatory compliance engine (SFDR, EU Taxonomy, CSRD)</w:t>
              <w:br/>
              <w:t>• BlackRock distribution partnership</w:t>
              <w:br/>
              <w:t>• Customisable — investors can weight their own materiality factors</w:t>
              <w:br/>
              <w:t>• Named Forrester Wave ESG Data &amp; Analytics leader (Q3 2024)</w:t>
            </w:r>
          </w:p>
        </w:tc>
      </w:tr>
      <w:tr>
        <w:tc>
          <w:tcPr>
            <w:tcW w:type="dxa" w:w="2592"/>
            <w:shd w:val="clear" w:color="auto" w:fill="0D2B4E"/>
          </w:tcPr>
          <w:p>
            <w:pPr>
              <w:jc w:val="left"/>
            </w:pPr>
            <w:r>
              <w:rPr>
                <w:rFonts w:ascii="Calibri" w:hAnsi="Calibri"/>
                <w:b/>
                <w:i w:val="0"/>
                <w:color w:val="FFFFFF"/>
                <w:sz w:val="19"/>
              </w:rPr>
              <w:t>Limitations / Gaps</w:t>
            </w:r>
          </w:p>
        </w:tc>
        <w:tc>
          <w:tcPr>
            <w:tcW w:type="dxa" w:w="6480"/>
            <w:shd w:val="clear" w:color="auto" w:fill="F4F6F7"/>
          </w:tcPr>
          <w:p>
            <w:r>
              <w:rPr>
                <w:rFonts w:ascii="Calibri" w:hAnsi="Calibri"/>
                <w:b w:val="0"/>
                <w:i w:val="0"/>
                <w:color w:val="17202A"/>
                <w:sz w:val="19"/>
              </w:rPr>
              <w:t>• No satellite or geospatial data for physical asset monitoring</w:t>
              <w:br/>
              <w:t>• Company-level ESG scores, not asset-level monitoring</w:t>
              <w:br/>
              <w:t>• Revenue scale not disclosed; likely still &lt;$100M</w:t>
              <w:br/>
              <w:t>• Dependent on company-reported data quality</w:t>
            </w:r>
          </w:p>
        </w:tc>
      </w:tr>
    </w:tbl>
    <w:p>
      <w:pPr>
        <w:spacing w:before="0" w:after="0"/>
      </w:pPr>
      <w:r>
        <w:rPr>
          <w:sz w:val="20"/>
        </w:rPr>
      </w:r>
    </w:p>
    <w:p>
      <w:pPr>
        <w:spacing w:before="280" w:after="80"/>
      </w:pPr>
      <w:r>
        <w:rPr>
          <w:rFonts w:ascii="Calibri" w:hAnsi="Calibri"/>
          <w:b/>
          <w:color w:val="1A5C8E"/>
          <w:sz w:val="24"/>
        </w:rPr>
        <w:t>Kayrros</w:t>
      </w:r>
    </w:p>
    <w:p>
      <w:pPr>
        <w:spacing w:before="20" w:after="120"/>
      </w:pPr>
      <w:r>
        <w:rPr>
          <w:rFonts w:ascii="Calibri" w:hAnsi="Calibri"/>
          <w:b/>
          <w:i w:val="0"/>
          <w:color w:val="ABB2B9"/>
          <w:sz w:val="19"/>
        </w:rPr>
        <w:t xml:space="preserve">Founded: 2016  |  </w:t>
      </w:r>
      <w:r>
        <w:rPr>
          <w:rFonts w:ascii="Calibri" w:hAnsi="Calibri"/>
          <w:b w:val="0"/>
          <w:i w:val="0"/>
          <w:color w:val="ABB2B9"/>
          <w:sz w:val="19"/>
        </w:rPr>
        <w:t xml:space="preserve">HQ: Paris, France  |  </w:t>
      </w:r>
      <w:r>
        <w:rPr>
          <w:rFonts w:ascii="Calibri" w:hAnsi="Calibri"/>
          <w:b w:val="0"/>
          <w:i w:val="0"/>
          <w:color w:val="ABB2B9"/>
          <w:sz w:val="19"/>
        </w:rPr>
        <w:t xml:space="preserve">Stage/Type: Acquired by Energy Aspects (Mar 2026)  |  </w:t>
      </w:r>
      <w:r>
        <w:rPr>
          <w:rFonts w:ascii="Calibri" w:hAnsi="Calibri"/>
          <w:b/>
          <w:i w:val="0"/>
          <w:color w:val="ABB2B9"/>
          <w:sz w:val="19"/>
        </w:rPr>
        <w:t xml:space="preserve">Competitive Relevance: </w:t>
      </w:r>
      <w:r>
        <w:rPr>
          <w:rFonts w:ascii="Calibri" w:hAnsi="Calibri"/>
          <w:b/>
          <w:i w:val="0"/>
          <w:color w:val="1E8B4C"/>
          <w:sz w:val="19"/>
        </w:rPr>
        <w:t>High</w:t>
      </w: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0D2B4E"/>
          </w:tcPr>
          <w:p>
            <w:pPr>
              <w:jc w:val="left"/>
            </w:pPr>
            <w:r>
              <w:rPr>
                <w:rFonts w:ascii="Calibri" w:hAnsi="Calibri"/>
                <w:b/>
                <w:i w:val="0"/>
                <w:color w:val="FFFFFF"/>
                <w:sz w:val="19"/>
              </w:rPr>
              <w:t>Core Product / Service</w:t>
            </w:r>
          </w:p>
        </w:tc>
        <w:tc>
          <w:tcPr>
            <w:tcW w:type="dxa" w:w="6480"/>
            <w:shd w:val="clear" w:color="auto" w:fill="F4F6F7"/>
          </w:tcPr>
          <w:p>
            <w:r>
              <w:rPr>
                <w:rFonts w:ascii="Calibri" w:hAnsi="Calibri"/>
                <w:b w:val="0"/>
                <w:i w:val="0"/>
                <w:color w:val="17202A"/>
                <w:sz w:val="19"/>
              </w:rPr>
              <w:t>(See Category 1 for full profile.) Kayrros uniquely bridges Categories 1 and 3: satellite-derived GHG emissions and energy asset monitoring used directly for ESG reporting and regulatory compliance (EU Methane Regulation, SFDR).</w:t>
            </w:r>
          </w:p>
        </w:tc>
      </w:tr>
      <w:tr>
        <w:tc>
          <w:tcPr>
            <w:tcW w:type="dxa" w:w="2592"/>
            <w:shd w:val="clear" w:color="auto" w:fill="0D2B4E"/>
          </w:tcPr>
          <w:p>
            <w:pPr>
              <w:jc w:val="left"/>
            </w:pPr>
            <w:r>
              <w:rPr>
                <w:rFonts w:ascii="Calibri" w:hAnsi="Calibri"/>
                <w:b/>
                <w:i w:val="0"/>
                <w:color w:val="FFFFFF"/>
                <w:sz w:val="19"/>
              </w:rPr>
              <w:t>Target Customers</w:t>
            </w:r>
          </w:p>
        </w:tc>
        <w:tc>
          <w:tcPr>
            <w:tcW w:type="dxa" w:w="6480"/>
            <w:shd w:val="clear" w:color="auto" w:fill="F4F6F7"/>
          </w:tcPr>
          <w:p>
            <w:r>
              <w:rPr>
                <w:rFonts w:ascii="Calibri" w:hAnsi="Calibri"/>
                <w:b w:val="0"/>
                <w:i w:val="0"/>
                <w:color w:val="17202A"/>
                <w:sz w:val="19"/>
              </w:rPr>
              <w:t>Energy companies, ESG investors, commodity traders, regulators</w:t>
            </w:r>
          </w:p>
        </w:tc>
      </w:tr>
      <w:tr>
        <w:tc>
          <w:tcPr>
            <w:tcW w:type="dxa" w:w="2592"/>
            <w:shd w:val="clear" w:color="auto" w:fill="0D2B4E"/>
          </w:tcPr>
          <w:p>
            <w:pPr>
              <w:jc w:val="left"/>
            </w:pPr>
            <w:r>
              <w:rPr>
                <w:rFonts w:ascii="Calibri" w:hAnsi="Calibri"/>
                <w:b/>
                <w:i w:val="0"/>
                <w:color w:val="FFFFFF"/>
                <w:sz w:val="19"/>
              </w:rPr>
              <w:t>Funding / Revenue</w:t>
            </w:r>
          </w:p>
        </w:tc>
        <w:tc>
          <w:tcPr>
            <w:tcW w:type="dxa" w:w="6480"/>
            <w:shd w:val="clear" w:color="auto" w:fill="F4F6F7"/>
          </w:tcPr>
          <w:p>
            <w:r>
              <w:rPr>
                <w:rFonts w:ascii="Calibri" w:hAnsi="Calibri"/>
                <w:b w:val="0"/>
                <w:i w:val="0"/>
                <w:color w:val="17202A"/>
                <w:sz w:val="19"/>
              </w:rPr>
              <w:t>See Category 1. Revenue ~$20.2M, raised ~$78M.</w:t>
            </w:r>
          </w:p>
        </w:tc>
      </w:tr>
      <w:tr>
        <w:tc>
          <w:tcPr>
            <w:tcW w:type="dxa" w:w="2592"/>
            <w:shd w:val="clear" w:color="auto" w:fill="0D2B4E"/>
          </w:tcPr>
          <w:p>
            <w:pPr>
              <w:jc w:val="left"/>
            </w:pPr>
            <w:r>
              <w:rPr>
                <w:rFonts w:ascii="Calibri" w:hAnsi="Calibri"/>
                <w:b/>
                <w:i w:val="0"/>
                <w:color w:val="FFFFFF"/>
                <w:sz w:val="19"/>
              </w:rPr>
              <w:t>Key Differentiators</w:t>
            </w:r>
          </w:p>
        </w:tc>
        <w:tc>
          <w:tcPr>
            <w:tcW w:type="dxa" w:w="6480"/>
            <w:shd w:val="clear" w:color="auto" w:fill="F4F6F7"/>
          </w:tcPr>
          <w:p>
            <w:r>
              <w:rPr>
                <w:rFonts w:ascii="Calibri" w:hAnsi="Calibri"/>
                <w:b w:val="0"/>
                <w:i w:val="0"/>
                <w:color w:val="17202A"/>
                <w:sz w:val="19"/>
              </w:rPr>
              <w:t>• Satellite-derived emissions data — independent of company self-reporting</w:t>
              <w:br/>
              <w:t>• Used for regulatory compliance — EUDR, EU Methane Reg.</w:t>
              <w:br/>
              <w:t>• Fortune "Change the World" recognition</w:t>
            </w:r>
          </w:p>
        </w:tc>
      </w:tr>
      <w:tr>
        <w:tc>
          <w:tcPr>
            <w:tcW w:type="dxa" w:w="2592"/>
            <w:shd w:val="clear" w:color="auto" w:fill="0D2B4E"/>
          </w:tcPr>
          <w:p>
            <w:pPr>
              <w:jc w:val="left"/>
            </w:pPr>
            <w:r>
              <w:rPr>
                <w:rFonts w:ascii="Calibri" w:hAnsi="Calibri"/>
                <w:b/>
                <w:i w:val="0"/>
                <w:color w:val="FFFFFF"/>
                <w:sz w:val="19"/>
              </w:rPr>
              <w:t>Limitations / Gaps</w:t>
            </w:r>
          </w:p>
        </w:tc>
        <w:tc>
          <w:tcPr>
            <w:tcW w:type="dxa" w:w="6480"/>
            <w:shd w:val="clear" w:color="auto" w:fill="F4F6F7"/>
          </w:tcPr>
          <w:p>
            <w:r>
              <w:rPr>
                <w:rFonts w:ascii="Calibri" w:hAnsi="Calibri"/>
                <w:b w:val="0"/>
                <w:i w:val="0"/>
                <w:color w:val="17202A"/>
                <w:sz w:val="19"/>
              </w:rPr>
              <w:t>• Narrow energy/emissions focus</w:t>
              <w:br/>
              <w:t>• Post-acquisition may narrow to energy clients only</w:t>
            </w:r>
          </w:p>
        </w:tc>
      </w:tr>
    </w:tbl>
    <w:p>
      <w:pPr>
        <w:spacing w:before="0" w:after="0"/>
      </w:pPr>
      <w:r>
        <w:rPr>
          <w:sz w:val="20"/>
        </w:rPr>
      </w:r>
    </w:p>
    <w:p>
      <w:pPr>
        <w:spacing w:before="280" w:after="80"/>
      </w:pPr>
      <w:r>
        <w:rPr>
          <w:rFonts w:ascii="Calibri" w:hAnsi="Calibri"/>
          <w:b/>
          <w:color w:val="1A5C8E"/>
          <w:sz w:val="24"/>
        </w:rPr>
        <w:t>MSCI ESG (Physical Risk / Trucost comparison)</w:t>
      </w:r>
    </w:p>
    <w:p>
      <w:pPr>
        <w:spacing w:before="20" w:after="120"/>
      </w:pPr>
      <w:r>
        <w:rPr>
          <w:rFonts w:ascii="Calibri" w:hAnsi="Calibri"/>
          <w:b/>
          <w:i w:val="0"/>
          <w:color w:val="ABB2B9"/>
          <w:sz w:val="19"/>
        </w:rPr>
        <w:t xml:space="preserve">Founded: (See Category 2)  |  </w:t>
      </w:r>
      <w:r>
        <w:rPr>
          <w:rFonts w:ascii="Calibri" w:hAnsi="Calibri"/>
          <w:b w:val="0"/>
          <w:i w:val="0"/>
          <w:color w:val="ABB2B9"/>
          <w:sz w:val="19"/>
        </w:rPr>
        <w:t xml:space="preserve">HQ: New York, NY  |  </w:t>
      </w:r>
      <w:r>
        <w:rPr>
          <w:rFonts w:ascii="Calibri" w:hAnsi="Calibri"/>
          <w:b w:val="0"/>
          <w:i w:val="0"/>
          <w:color w:val="ABB2B9"/>
          <w:sz w:val="19"/>
        </w:rPr>
        <w:t xml:space="preserve">Stage/Type: Public (NYSE: MSCI)  |  </w:t>
      </w:r>
      <w:r>
        <w:rPr>
          <w:rFonts w:ascii="Calibri" w:hAnsi="Calibri"/>
          <w:b/>
          <w:i w:val="0"/>
          <w:color w:val="ABB2B9"/>
          <w:sz w:val="19"/>
        </w:rPr>
        <w:t xml:space="preserve">Competitive Relevance: </w:t>
      </w:r>
      <w:r>
        <w:rPr>
          <w:rFonts w:ascii="Calibri" w:hAnsi="Calibri"/>
          <w:b/>
          <w:i w:val="0"/>
          <w:color w:val="1E8B4C"/>
          <w:sz w:val="19"/>
        </w:rPr>
        <w:t>High</w:t>
      </w: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0D2B4E"/>
          </w:tcPr>
          <w:p>
            <w:pPr>
              <w:jc w:val="left"/>
            </w:pPr>
            <w:r>
              <w:rPr>
                <w:rFonts w:ascii="Calibri" w:hAnsi="Calibri"/>
                <w:b/>
                <w:i w:val="0"/>
                <w:color w:val="FFFFFF"/>
                <w:sz w:val="19"/>
              </w:rPr>
              <w:t>Core Product / Service</w:t>
            </w:r>
          </w:p>
        </w:tc>
        <w:tc>
          <w:tcPr>
            <w:tcW w:type="dxa" w:w="6480"/>
            <w:shd w:val="clear" w:color="auto" w:fill="F4F6F7"/>
          </w:tcPr>
          <w:p>
            <w:r>
              <w:rPr>
                <w:rFonts w:ascii="Calibri" w:hAnsi="Calibri"/>
                <w:b w:val="0"/>
                <w:i w:val="0"/>
                <w:color w:val="17202A"/>
                <w:sz w:val="19"/>
              </w:rPr>
              <w:t>Physical climate risk scoring overlaid on asset locations. GeoSpatial Asset Intelligence product maps ~70K company locations to physical hazards (flood, fire, drought, etc). ESG ratings 8,500+ companies.</w:t>
            </w:r>
          </w:p>
        </w:tc>
      </w:tr>
      <w:tr>
        <w:tc>
          <w:tcPr>
            <w:tcW w:type="dxa" w:w="2592"/>
            <w:shd w:val="clear" w:color="auto" w:fill="0D2B4E"/>
          </w:tcPr>
          <w:p>
            <w:pPr>
              <w:jc w:val="left"/>
            </w:pPr>
            <w:r>
              <w:rPr>
                <w:rFonts w:ascii="Calibri" w:hAnsi="Calibri"/>
                <w:b/>
                <w:i w:val="0"/>
                <w:color w:val="FFFFFF"/>
                <w:sz w:val="19"/>
              </w:rPr>
              <w:t>Target Customers</w:t>
            </w:r>
          </w:p>
        </w:tc>
        <w:tc>
          <w:tcPr>
            <w:tcW w:type="dxa" w:w="6480"/>
            <w:shd w:val="clear" w:color="auto" w:fill="F4F6F7"/>
          </w:tcPr>
          <w:p>
            <w:r>
              <w:rPr>
                <w:rFonts w:ascii="Calibri" w:hAnsi="Calibri"/>
                <w:b w:val="0"/>
                <w:i w:val="0"/>
                <w:color w:val="17202A"/>
                <w:sz w:val="19"/>
              </w:rPr>
              <w:t>Asset managers, banks, pension funds</w:t>
            </w:r>
          </w:p>
        </w:tc>
      </w:tr>
      <w:tr>
        <w:tc>
          <w:tcPr>
            <w:tcW w:type="dxa" w:w="2592"/>
            <w:shd w:val="clear" w:color="auto" w:fill="0D2B4E"/>
          </w:tcPr>
          <w:p>
            <w:pPr>
              <w:jc w:val="left"/>
            </w:pPr>
            <w:r>
              <w:rPr>
                <w:rFonts w:ascii="Calibri" w:hAnsi="Calibri"/>
                <w:b/>
                <w:i w:val="0"/>
                <w:color w:val="FFFFFF"/>
                <w:sz w:val="19"/>
              </w:rPr>
              <w:t>Funding / Revenue</w:t>
            </w:r>
          </w:p>
        </w:tc>
        <w:tc>
          <w:tcPr>
            <w:tcW w:type="dxa" w:w="6480"/>
            <w:shd w:val="clear" w:color="auto" w:fill="F4F6F7"/>
          </w:tcPr>
          <w:p>
            <w:r>
              <w:rPr>
                <w:rFonts w:ascii="Calibri" w:hAnsi="Calibri"/>
                <w:b w:val="0"/>
                <w:i w:val="0"/>
                <w:color w:val="17202A"/>
                <w:sz w:val="19"/>
              </w:rPr>
              <w:t>ESG segment +40% YoY 2024. Total MSCI revenue ~$2.5B.</w:t>
            </w:r>
          </w:p>
        </w:tc>
      </w:tr>
      <w:tr>
        <w:tc>
          <w:tcPr>
            <w:tcW w:type="dxa" w:w="2592"/>
            <w:shd w:val="clear" w:color="auto" w:fill="0D2B4E"/>
          </w:tcPr>
          <w:p>
            <w:pPr>
              <w:jc w:val="left"/>
            </w:pPr>
            <w:r>
              <w:rPr>
                <w:rFonts w:ascii="Calibri" w:hAnsi="Calibri"/>
                <w:b/>
                <w:i w:val="0"/>
                <w:color w:val="FFFFFF"/>
                <w:sz w:val="19"/>
              </w:rPr>
              <w:t>Key Differentiators</w:t>
            </w:r>
          </w:p>
        </w:tc>
        <w:tc>
          <w:tcPr>
            <w:tcW w:type="dxa" w:w="6480"/>
            <w:shd w:val="clear" w:color="auto" w:fill="F4F6F7"/>
          </w:tcPr>
          <w:p>
            <w:r>
              <w:rPr>
                <w:rFonts w:ascii="Calibri" w:hAnsi="Calibri"/>
                <w:b w:val="0"/>
                <w:i w:val="0"/>
                <w:color w:val="17202A"/>
                <w:sz w:val="19"/>
              </w:rPr>
              <w:t>• Direct integration with portfolio management tools</w:t>
              <w:br/>
              <w:t>• Broadest company coverage for physical climate risk</w:t>
            </w:r>
          </w:p>
        </w:tc>
      </w:tr>
      <w:tr>
        <w:tc>
          <w:tcPr>
            <w:tcW w:type="dxa" w:w="2592"/>
            <w:shd w:val="clear" w:color="auto" w:fill="0D2B4E"/>
          </w:tcPr>
          <w:p>
            <w:pPr>
              <w:jc w:val="left"/>
            </w:pPr>
            <w:r>
              <w:rPr>
                <w:rFonts w:ascii="Calibri" w:hAnsi="Calibri"/>
                <w:b/>
                <w:i w:val="0"/>
                <w:color w:val="FFFFFF"/>
                <w:sz w:val="19"/>
              </w:rPr>
              <w:t>Limitations / Gaps</w:t>
            </w:r>
          </w:p>
        </w:tc>
        <w:tc>
          <w:tcPr>
            <w:tcW w:type="dxa" w:w="6480"/>
            <w:shd w:val="clear" w:color="auto" w:fill="F4F6F7"/>
          </w:tcPr>
          <w:p>
            <w:r>
              <w:rPr>
                <w:rFonts w:ascii="Calibri" w:hAnsi="Calibri"/>
                <w:b w:val="0"/>
                <w:i w:val="0"/>
                <w:color w:val="17202A"/>
                <w:sz w:val="19"/>
              </w:rPr>
              <w:t>• Not real-time — climate risk modelled from static scenarios</w:t>
              <w:br/>
              <w:t>• No satellite verification of actual asset conditions</w:t>
            </w:r>
          </w:p>
        </w:tc>
      </w:tr>
    </w:tbl>
    <w:p>
      <w:pPr>
        <w:spacing w:before="0" w:after="0"/>
      </w:pPr>
      <w:r>
        <w:rPr>
          <w:sz w:val="20"/>
        </w:rPr>
      </w:r>
    </w:p>
    <w:p>
      <w:pPr>
        <w:spacing w:before="280" w:after="80"/>
      </w:pPr>
      <w:r>
        <w:rPr>
          <w:rFonts w:ascii="Calibri" w:hAnsi="Calibri"/>
          <w:b/>
          <w:color w:val="1A5C8E"/>
          <w:sz w:val="24"/>
        </w:rPr>
        <w:t>S&amp;P Global Trucost</w:t>
      </w:r>
    </w:p>
    <w:p>
      <w:pPr>
        <w:spacing w:before="20" w:after="120"/>
      </w:pPr>
      <w:r>
        <w:rPr>
          <w:rFonts w:ascii="Calibri" w:hAnsi="Calibri"/>
          <w:b/>
          <w:i w:val="0"/>
          <w:color w:val="ABB2B9"/>
          <w:sz w:val="19"/>
        </w:rPr>
        <w:t xml:space="preserve">Founded: 2000 (Trucost), acquired by S&amp;P Global 2016  |  </w:t>
      </w:r>
      <w:r>
        <w:rPr>
          <w:rFonts w:ascii="Calibri" w:hAnsi="Calibri"/>
          <w:b w:val="0"/>
          <w:i w:val="0"/>
          <w:color w:val="ABB2B9"/>
          <w:sz w:val="19"/>
        </w:rPr>
        <w:t xml:space="preserve">HQ: London, UK  |  </w:t>
      </w:r>
      <w:r>
        <w:rPr>
          <w:rFonts w:ascii="Calibri" w:hAnsi="Calibri"/>
          <w:b w:val="0"/>
          <w:i w:val="0"/>
          <w:color w:val="ABB2B9"/>
          <w:sz w:val="19"/>
        </w:rPr>
        <w:t xml:space="preserve">Stage/Type: Subsidiary of S&amp;P Global  |  </w:t>
      </w:r>
      <w:r>
        <w:rPr>
          <w:rFonts w:ascii="Calibri" w:hAnsi="Calibri"/>
          <w:b/>
          <w:i w:val="0"/>
          <w:color w:val="ABB2B9"/>
          <w:sz w:val="19"/>
        </w:rPr>
        <w:t xml:space="preserve">Competitive Relevance: </w:t>
      </w:r>
      <w:r>
        <w:rPr>
          <w:rFonts w:ascii="Calibri" w:hAnsi="Calibri"/>
          <w:b/>
          <w:i w:val="0"/>
          <w:color w:val="1E8B4C"/>
          <w:sz w:val="19"/>
        </w:rPr>
        <w:t>High</w:t>
      </w: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0D2B4E"/>
          </w:tcPr>
          <w:p>
            <w:pPr>
              <w:jc w:val="left"/>
            </w:pPr>
            <w:r>
              <w:rPr>
                <w:rFonts w:ascii="Calibri" w:hAnsi="Calibri"/>
                <w:b/>
                <w:i w:val="0"/>
                <w:color w:val="FFFFFF"/>
                <w:sz w:val="19"/>
              </w:rPr>
              <w:t>Core Product / Service</w:t>
            </w:r>
          </w:p>
        </w:tc>
        <w:tc>
          <w:tcPr>
            <w:tcW w:type="dxa" w:w="6480"/>
            <w:shd w:val="clear" w:color="auto" w:fill="F4F6F7"/>
          </w:tcPr>
          <w:p>
            <w:r>
              <w:rPr>
                <w:rFonts w:ascii="Calibri" w:hAnsi="Calibri"/>
                <w:b w:val="0"/>
                <w:i w:val="0"/>
                <w:color w:val="17202A"/>
                <w:sz w:val="19"/>
              </w:rPr>
              <w:t>Environmental data for 15,000+ companies (99% global market cap). Physical Risk: 2.9M+ assets mapped to 7 climate hazards under multiple IPCC scenarios. Covers GHG, water use, biodiversity, fossil fuels.</w:t>
            </w:r>
          </w:p>
        </w:tc>
      </w:tr>
      <w:tr>
        <w:tc>
          <w:tcPr>
            <w:tcW w:type="dxa" w:w="2592"/>
            <w:shd w:val="clear" w:color="auto" w:fill="0D2B4E"/>
          </w:tcPr>
          <w:p>
            <w:pPr>
              <w:jc w:val="left"/>
            </w:pPr>
            <w:r>
              <w:rPr>
                <w:rFonts w:ascii="Calibri" w:hAnsi="Calibri"/>
                <w:b/>
                <w:i w:val="0"/>
                <w:color w:val="FFFFFF"/>
                <w:sz w:val="19"/>
              </w:rPr>
              <w:t>Target Customers</w:t>
            </w:r>
          </w:p>
        </w:tc>
        <w:tc>
          <w:tcPr>
            <w:tcW w:type="dxa" w:w="6480"/>
            <w:shd w:val="clear" w:color="auto" w:fill="F4F6F7"/>
          </w:tcPr>
          <w:p>
            <w:r>
              <w:rPr>
                <w:rFonts w:ascii="Calibri" w:hAnsi="Calibri"/>
                <w:b w:val="0"/>
                <w:i w:val="0"/>
                <w:color w:val="17202A"/>
                <w:sz w:val="19"/>
              </w:rPr>
              <w:t>Institutional investors, banks, insurers, corporates</w:t>
            </w:r>
          </w:p>
        </w:tc>
      </w:tr>
      <w:tr>
        <w:tc>
          <w:tcPr>
            <w:tcW w:type="dxa" w:w="2592"/>
            <w:shd w:val="clear" w:color="auto" w:fill="0D2B4E"/>
          </w:tcPr>
          <w:p>
            <w:pPr>
              <w:jc w:val="left"/>
            </w:pPr>
            <w:r>
              <w:rPr>
                <w:rFonts w:ascii="Calibri" w:hAnsi="Calibri"/>
                <w:b/>
                <w:i w:val="0"/>
                <w:color w:val="FFFFFF"/>
                <w:sz w:val="19"/>
              </w:rPr>
              <w:t>Funding / Revenue</w:t>
            </w:r>
          </w:p>
        </w:tc>
        <w:tc>
          <w:tcPr>
            <w:tcW w:type="dxa" w:w="6480"/>
            <w:shd w:val="clear" w:color="auto" w:fill="F4F6F7"/>
          </w:tcPr>
          <w:p>
            <w:r>
              <w:rPr>
                <w:rFonts w:ascii="Calibri" w:hAnsi="Calibri"/>
                <w:b w:val="0"/>
                <w:i w:val="0"/>
                <w:color w:val="17202A"/>
                <w:sz w:val="19"/>
              </w:rPr>
              <w:t>Part of S&amp;P Global ($15.3B FY2025 revenue). Trucost distributed via Xpressfeed and Sustainable1.</w:t>
            </w:r>
          </w:p>
        </w:tc>
      </w:tr>
      <w:tr>
        <w:tc>
          <w:tcPr>
            <w:tcW w:type="dxa" w:w="2592"/>
            <w:shd w:val="clear" w:color="auto" w:fill="0D2B4E"/>
          </w:tcPr>
          <w:p>
            <w:pPr>
              <w:jc w:val="left"/>
            </w:pPr>
            <w:r>
              <w:rPr>
                <w:rFonts w:ascii="Calibri" w:hAnsi="Calibri"/>
                <w:b/>
                <w:i w:val="0"/>
                <w:color w:val="FFFFFF"/>
                <w:sz w:val="19"/>
              </w:rPr>
              <w:t>Key Differentiators</w:t>
            </w:r>
          </w:p>
        </w:tc>
        <w:tc>
          <w:tcPr>
            <w:tcW w:type="dxa" w:w="6480"/>
            <w:shd w:val="clear" w:color="auto" w:fill="F4F6F7"/>
          </w:tcPr>
          <w:p>
            <w:r>
              <w:rPr>
                <w:rFonts w:ascii="Calibri" w:hAnsi="Calibri"/>
                <w:b w:val="0"/>
                <w:i w:val="0"/>
                <w:color w:val="17202A"/>
                <w:sz w:val="19"/>
              </w:rPr>
              <w:t>• Largest asset-level physical risk map (2.9M assets)</w:t>
              <w:br/>
              <w:t>• Cross-referenced with financial exposure data</w:t>
              <w:br/>
              <w:t>• State Street partnership — embedded in $40T AUM platform</w:t>
            </w:r>
          </w:p>
        </w:tc>
      </w:tr>
      <w:tr>
        <w:tc>
          <w:tcPr>
            <w:tcW w:type="dxa" w:w="2592"/>
            <w:shd w:val="clear" w:color="auto" w:fill="0D2B4E"/>
          </w:tcPr>
          <w:p>
            <w:pPr>
              <w:jc w:val="left"/>
            </w:pPr>
            <w:r>
              <w:rPr>
                <w:rFonts w:ascii="Calibri" w:hAnsi="Calibri"/>
                <w:b/>
                <w:i w:val="0"/>
                <w:color w:val="FFFFFF"/>
                <w:sz w:val="19"/>
              </w:rPr>
              <w:t>Limitations / Gaps</w:t>
            </w:r>
          </w:p>
        </w:tc>
        <w:tc>
          <w:tcPr>
            <w:tcW w:type="dxa" w:w="6480"/>
            <w:shd w:val="clear" w:color="auto" w:fill="F4F6F7"/>
          </w:tcPr>
          <w:p>
            <w:r>
              <w:rPr>
                <w:rFonts w:ascii="Calibri" w:hAnsi="Calibri"/>
                <w:b w:val="0"/>
                <w:i w:val="0"/>
                <w:color w:val="17202A"/>
                <w:sz w:val="19"/>
              </w:rPr>
              <w:t>• Physical risk is modelled/scenario-based, not satellite-observed</w:t>
              <w:br/>
              <w:t>• Coverage relies on disclosed or inferred facility lists</w:t>
              <w:br/>
              <w:t>• No operational monitoring — identifies risk exposure, not actual impact</w:t>
            </w:r>
          </w:p>
        </w:tc>
      </w:tr>
    </w:tbl>
    <w:p>
      <w:pPr>
        <w:spacing w:before="0" w:after="0"/>
      </w:pPr>
      <w:r>
        <w:rPr>
          <w:sz w:val="20"/>
        </w:rPr>
      </w:r>
    </w:p>
    <w:p>
      <w:pPr>
        <w:spacing w:before="280" w:after="80"/>
      </w:pPr>
      <w:r>
        <w:rPr>
          <w:rFonts w:ascii="Calibri" w:hAnsi="Calibri"/>
          <w:b/>
          <w:color w:val="1A5C8E"/>
          <w:sz w:val="24"/>
        </w:rPr>
        <w:t>AiDash</w:t>
      </w:r>
    </w:p>
    <w:p>
      <w:pPr>
        <w:spacing w:before="20" w:after="120"/>
      </w:pPr>
      <w:r>
        <w:rPr>
          <w:rFonts w:ascii="Calibri" w:hAnsi="Calibri"/>
          <w:b/>
          <w:i w:val="0"/>
          <w:color w:val="ABB2B9"/>
          <w:sz w:val="19"/>
        </w:rPr>
        <w:t xml:space="preserve">Founded: 2019  |  </w:t>
      </w:r>
      <w:r>
        <w:rPr>
          <w:rFonts w:ascii="Calibri" w:hAnsi="Calibri"/>
          <w:b w:val="0"/>
          <w:i w:val="0"/>
          <w:color w:val="ABB2B9"/>
          <w:sz w:val="19"/>
        </w:rPr>
        <w:t xml:space="preserve">HQ: Santa Clara, CA  |  </w:t>
      </w:r>
      <w:r>
        <w:rPr>
          <w:rFonts w:ascii="Calibri" w:hAnsi="Calibri"/>
          <w:b w:val="0"/>
          <w:i w:val="0"/>
          <w:color w:val="ABB2B9"/>
          <w:sz w:val="19"/>
        </w:rPr>
        <w:t xml:space="preserve">Stage/Type: Series C  |  </w:t>
      </w:r>
      <w:r>
        <w:rPr>
          <w:rFonts w:ascii="Calibri" w:hAnsi="Calibri"/>
          <w:b/>
          <w:i w:val="0"/>
          <w:color w:val="ABB2B9"/>
          <w:sz w:val="19"/>
        </w:rPr>
        <w:t xml:space="preserve">Competitive Relevance: </w:t>
      </w:r>
      <w:r>
        <w:rPr>
          <w:rFonts w:ascii="Calibri" w:hAnsi="Calibri"/>
          <w:b/>
          <w:i w:val="0"/>
          <w:color w:val="1E8B4C"/>
          <w:sz w:val="19"/>
        </w:rPr>
        <w:t>High</w:t>
      </w: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0D2B4E"/>
          </w:tcPr>
          <w:p>
            <w:pPr>
              <w:jc w:val="left"/>
            </w:pPr>
            <w:r>
              <w:rPr>
                <w:rFonts w:ascii="Calibri" w:hAnsi="Calibri"/>
                <w:b/>
                <w:i w:val="0"/>
                <w:color w:val="FFFFFF"/>
                <w:sz w:val="19"/>
              </w:rPr>
              <w:t>Core Product / Service</w:t>
            </w:r>
          </w:p>
        </w:tc>
        <w:tc>
          <w:tcPr>
            <w:tcW w:type="dxa" w:w="6480"/>
            <w:shd w:val="clear" w:color="auto" w:fill="F4F6F7"/>
          </w:tcPr>
          <w:p>
            <w:r>
              <w:rPr>
                <w:rFonts w:ascii="Calibri" w:hAnsi="Calibri"/>
                <w:b w:val="0"/>
                <w:i w:val="0"/>
                <w:color w:val="17202A"/>
                <w:sz w:val="19"/>
              </w:rPr>
              <w:t>AI + satellite platform for utilities and infrastructure. Key product: Intelligent Vegetation Management System (IVMS) — uses satellite data and AI to manage vegetation encroachment on power lines and pipelines. Also: asset inspection, wildfire risk, predictive maintenance.</w:t>
            </w:r>
          </w:p>
        </w:tc>
      </w:tr>
      <w:tr>
        <w:tc>
          <w:tcPr>
            <w:tcW w:type="dxa" w:w="2592"/>
            <w:shd w:val="clear" w:color="auto" w:fill="0D2B4E"/>
          </w:tcPr>
          <w:p>
            <w:pPr>
              <w:jc w:val="left"/>
            </w:pPr>
            <w:r>
              <w:rPr>
                <w:rFonts w:ascii="Calibri" w:hAnsi="Calibri"/>
                <w:b/>
                <w:i w:val="0"/>
                <w:color w:val="FFFFFF"/>
                <w:sz w:val="19"/>
              </w:rPr>
              <w:t>Target Customers</w:t>
            </w:r>
          </w:p>
        </w:tc>
        <w:tc>
          <w:tcPr>
            <w:tcW w:type="dxa" w:w="6480"/>
            <w:shd w:val="clear" w:color="auto" w:fill="F4F6F7"/>
          </w:tcPr>
          <w:p>
            <w:r>
              <w:rPr>
                <w:rFonts w:ascii="Calibri" w:hAnsi="Calibri"/>
                <w:b w:val="0"/>
                <w:i w:val="0"/>
                <w:color w:val="17202A"/>
                <w:sz w:val="19"/>
              </w:rPr>
              <w:t>Electric utilities, gas utilities, telecom infrastructure operators</w:t>
            </w:r>
          </w:p>
        </w:tc>
      </w:tr>
      <w:tr>
        <w:tc>
          <w:tcPr>
            <w:tcW w:type="dxa" w:w="2592"/>
            <w:shd w:val="clear" w:color="auto" w:fill="0D2B4E"/>
          </w:tcPr>
          <w:p>
            <w:pPr>
              <w:jc w:val="left"/>
            </w:pPr>
            <w:r>
              <w:rPr>
                <w:rFonts w:ascii="Calibri" w:hAnsi="Calibri"/>
                <w:b/>
                <w:i w:val="0"/>
                <w:color w:val="FFFFFF"/>
                <w:sz w:val="19"/>
              </w:rPr>
              <w:t>Funding / Revenue</w:t>
            </w:r>
          </w:p>
        </w:tc>
        <w:tc>
          <w:tcPr>
            <w:tcW w:type="dxa" w:w="6480"/>
            <w:shd w:val="clear" w:color="auto" w:fill="F4F6F7"/>
          </w:tcPr>
          <w:p>
            <w:r>
              <w:rPr>
                <w:rFonts w:ascii="Calibri" w:hAnsi="Calibri"/>
                <w:b w:val="0"/>
                <w:i w:val="0"/>
                <w:color w:val="17202A"/>
                <w:sz w:val="19"/>
              </w:rPr>
              <w:t>Total raised: $91.5M (Series C $58.5M, 2024 — oversubscribed). Investors: Lightrock, National Grid Partners, Shell Ventures, G2VP.</w:t>
            </w:r>
          </w:p>
        </w:tc>
      </w:tr>
      <w:tr>
        <w:tc>
          <w:tcPr>
            <w:tcW w:type="dxa" w:w="2592"/>
            <w:shd w:val="clear" w:color="auto" w:fill="0D2B4E"/>
          </w:tcPr>
          <w:p>
            <w:pPr>
              <w:jc w:val="left"/>
            </w:pPr>
            <w:r>
              <w:rPr>
                <w:rFonts w:ascii="Calibri" w:hAnsi="Calibri"/>
                <w:b/>
                <w:i w:val="0"/>
                <w:color w:val="FFFFFF"/>
                <w:sz w:val="19"/>
              </w:rPr>
              <w:t>Key Differentiators</w:t>
            </w:r>
          </w:p>
        </w:tc>
        <w:tc>
          <w:tcPr>
            <w:tcW w:type="dxa" w:w="6480"/>
            <w:shd w:val="clear" w:color="auto" w:fill="F4F6F7"/>
          </w:tcPr>
          <w:p>
            <w:r>
              <w:rPr>
                <w:rFonts w:ascii="Calibri" w:hAnsi="Calibri"/>
                <w:b w:val="0"/>
                <w:i w:val="0"/>
                <w:color w:val="17202A"/>
                <w:sz w:val="19"/>
              </w:rPr>
              <w:t>• Very strong product-market fit in utilities — clear cost/risk ROI</w:t>
              <w:br/>
              <w:t>• Satellite + AI for continuous vegetation/asset monitoring</w:t>
              <w:br/>
              <w:t>• Industrial investors (National Grid, Shell) validate use case</w:t>
              <w:br/>
              <w:t>• Growing into European market with dedicated HQ</w:t>
            </w:r>
          </w:p>
        </w:tc>
      </w:tr>
      <w:tr>
        <w:tc>
          <w:tcPr>
            <w:tcW w:type="dxa" w:w="2592"/>
            <w:shd w:val="clear" w:color="auto" w:fill="0D2B4E"/>
          </w:tcPr>
          <w:p>
            <w:pPr>
              <w:jc w:val="left"/>
            </w:pPr>
            <w:r>
              <w:rPr>
                <w:rFonts w:ascii="Calibri" w:hAnsi="Calibri"/>
                <w:b/>
                <w:i w:val="0"/>
                <w:color w:val="FFFFFF"/>
                <w:sz w:val="19"/>
              </w:rPr>
              <w:t>Limitations / Gaps</w:t>
            </w:r>
          </w:p>
        </w:tc>
        <w:tc>
          <w:tcPr>
            <w:tcW w:type="dxa" w:w="6480"/>
            <w:shd w:val="clear" w:color="auto" w:fill="F4F6F7"/>
          </w:tcPr>
          <w:p>
            <w:r>
              <w:rPr>
                <w:rFonts w:ascii="Calibri" w:hAnsi="Calibri"/>
                <w:b w:val="0"/>
                <w:i w:val="0"/>
                <w:color w:val="17202A"/>
                <w:sz w:val="19"/>
              </w:rPr>
              <w:t>• Narrow vertical: primarily electric/gas utilities</w:t>
              <w:br/>
              <w:t>• Does not produce ESG scores or financial analytics</w:t>
              <w:br/>
              <w:t>• No coverage of manufacturing, mining, or agri assets</w:t>
            </w:r>
          </w:p>
        </w:tc>
      </w:tr>
    </w:tbl>
    <w:p>
      <w:pPr>
        <w:spacing w:before="0" w:after="0"/>
      </w:pPr>
      <w:r>
        <w:rPr>
          <w:sz w:val="20"/>
        </w:rPr>
      </w:r>
    </w:p>
    <w:p>
      <w:r>
        <w:br w:type="page"/>
      </w:r>
    </w:p>
    <w:p>
      <w:pPr>
        <w:spacing w:before="280" w:after="80"/>
        <w:pBdr>
          <w:bottom w:val="single" w:sz="6" w:space="1" w:color="2E86C1"/>
        </w:pBdr>
      </w:pPr>
      <w:r>
        <w:rPr>
          <w:rFonts w:ascii="Calibri" w:hAnsi="Calibri"/>
          <w:b/>
          <w:color w:val="0D2B4E"/>
          <w:sz w:val="30"/>
        </w:rPr>
        <w:t>CATEGORY 4: REAL ESTATE &amp; INDUSTRIAL ASSET LOCATION INTELLIGENCE</w:t>
      </w:r>
    </w:p>
    <w:p>
      <w:pPr>
        <w:spacing w:before="40" w:after="160"/>
      </w:pPr>
      <w:r>
        <w:rPr>
          <w:rFonts w:ascii="Calibri" w:hAnsi="Calibri"/>
          <w:b w:val="0"/>
          <w:i/>
          <w:color w:val="ABB2B9"/>
          <w:sz w:val="20"/>
        </w:rPr>
        <w:t>These platforms focus on locating, valuing, and analysing physical real estate or infrastructure assets. They use a mix of public records, proprietary surveys, and increasingly AI to provide decision intelligence for real estate, insurance, corporate facilities, and site selection.</w:t>
      </w:r>
    </w:p>
    <w:p>
      <w:pPr>
        <w:spacing w:before="280" w:after="80"/>
      </w:pPr>
      <w:r>
        <w:rPr>
          <w:rFonts w:ascii="Calibri" w:hAnsi="Calibri"/>
          <w:b/>
          <w:color w:val="1A5C8E"/>
          <w:sz w:val="24"/>
        </w:rPr>
        <w:t>CoStar Group</w:t>
      </w:r>
    </w:p>
    <w:p>
      <w:pPr>
        <w:spacing w:before="20" w:after="120"/>
      </w:pPr>
      <w:r>
        <w:rPr>
          <w:rFonts w:ascii="Calibri" w:hAnsi="Calibri"/>
          <w:b/>
          <w:i w:val="0"/>
          <w:color w:val="ABB2B9"/>
          <w:sz w:val="19"/>
        </w:rPr>
        <w:t xml:space="preserve">Founded: 1987  |  </w:t>
      </w:r>
      <w:r>
        <w:rPr>
          <w:rFonts w:ascii="Calibri" w:hAnsi="Calibri"/>
          <w:b w:val="0"/>
          <w:i w:val="0"/>
          <w:color w:val="ABB2B9"/>
          <w:sz w:val="19"/>
        </w:rPr>
        <w:t xml:space="preserve">HQ: Washington, DC (NASDAQ: CSGP)  |  </w:t>
      </w:r>
      <w:r>
        <w:rPr>
          <w:rFonts w:ascii="Calibri" w:hAnsi="Calibri"/>
          <w:b w:val="0"/>
          <w:i w:val="0"/>
          <w:color w:val="ABB2B9"/>
          <w:sz w:val="19"/>
        </w:rPr>
        <w:t xml:space="preserve">Stage/Type: Public (NASDAQ: CSGP)  |  </w:t>
      </w:r>
      <w:r>
        <w:rPr>
          <w:rFonts w:ascii="Calibri" w:hAnsi="Calibri"/>
          <w:b/>
          <w:i w:val="0"/>
          <w:color w:val="ABB2B9"/>
          <w:sz w:val="19"/>
        </w:rPr>
        <w:t xml:space="preserve">Competitive Relevance: </w:t>
      </w:r>
      <w:r>
        <w:rPr>
          <w:rFonts w:ascii="Calibri" w:hAnsi="Calibri"/>
          <w:b/>
          <w:i w:val="0"/>
          <w:color w:val="ABB2B9"/>
          <w:sz w:val="19"/>
        </w:rPr>
        <w:t>Low</w:t>
      </w: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0D2B4E"/>
          </w:tcPr>
          <w:p>
            <w:pPr>
              <w:jc w:val="left"/>
            </w:pPr>
            <w:r>
              <w:rPr>
                <w:rFonts w:ascii="Calibri" w:hAnsi="Calibri"/>
                <w:b/>
                <w:i w:val="0"/>
                <w:color w:val="FFFFFF"/>
                <w:sz w:val="19"/>
              </w:rPr>
              <w:t>Core Product / Service</w:t>
            </w:r>
          </w:p>
        </w:tc>
        <w:tc>
          <w:tcPr>
            <w:tcW w:type="dxa" w:w="6480"/>
            <w:shd w:val="clear" w:color="auto" w:fill="F4F6F7"/>
          </w:tcPr>
          <w:p>
            <w:r>
              <w:rPr>
                <w:rFonts w:ascii="Calibri" w:hAnsi="Calibri"/>
                <w:b w:val="0"/>
                <w:i w:val="0"/>
                <w:color w:val="17202A"/>
                <w:sz w:val="19"/>
              </w:rPr>
              <w:t>Commercial real estate data and analytics: property listings, valuations, lease comps, market analytics, LoopNet (commercial search), Apartments.com, Homes.com. 2024 acquisition of Matterport (3D property capture).</w:t>
            </w:r>
          </w:p>
        </w:tc>
      </w:tr>
      <w:tr>
        <w:tc>
          <w:tcPr>
            <w:tcW w:type="dxa" w:w="2592"/>
            <w:shd w:val="clear" w:color="auto" w:fill="0D2B4E"/>
          </w:tcPr>
          <w:p>
            <w:pPr>
              <w:jc w:val="left"/>
            </w:pPr>
            <w:r>
              <w:rPr>
                <w:rFonts w:ascii="Calibri" w:hAnsi="Calibri"/>
                <w:b/>
                <w:i w:val="0"/>
                <w:color w:val="FFFFFF"/>
                <w:sz w:val="19"/>
              </w:rPr>
              <w:t>Target Customers</w:t>
            </w:r>
          </w:p>
        </w:tc>
        <w:tc>
          <w:tcPr>
            <w:tcW w:type="dxa" w:w="6480"/>
            <w:shd w:val="clear" w:color="auto" w:fill="F4F6F7"/>
          </w:tcPr>
          <w:p>
            <w:r>
              <w:rPr>
                <w:rFonts w:ascii="Calibri" w:hAnsi="Calibri"/>
                <w:b w:val="0"/>
                <w:i w:val="0"/>
                <w:color w:val="17202A"/>
                <w:sz w:val="19"/>
              </w:rPr>
              <w:t>CRE brokers, property investors, lenders, occupiers, appraisers</w:t>
            </w:r>
          </w:p>
        </w:tc>
      </w:tr>
      <w:tr>
        <w:tc>
          <w:tcPr>
            <w:tcW w:type="dxa" w:w="2592"/>
            <w:shd w:val="clear" w:color="auto" w:fill="0D2B4E"/>
          </w:tcPr>
          <w:p>
            <w:pPr>
              <w:jc w:val="left"/>
            </w:pPr>
            <w:r>
              <w:rPr>
                <w:rFonts w:ascii="Calibri" w:hAnsi="Calibri"/>
                <w:b/>
                <w:i w:val="0"/>
                <w:color w:val="FFFFFF"/>
                <w:sz w:val="19"/>
              </w:rPr>
              <w:t>Funding / Revenue</w:t>
            </w:r>
          </w:p>
        </w:tc>
        <w:tc>
          <w:tcPr>
            <w:tcW w:type="dxa" w:w="6480"/>
            <w:shd w:val="clear" w:color="auto" w:fill="F4F6F7"/>
          </w:tcPr>
          <w:p>
            <w:r>
              <w:rPr>
                <w:rFonts w:ascii="Calibri" w:hAnsi="Calibri"/>
                <w:b w:val="0"/>
                <w:i w:val="0"/>
                <w:color w:val="17202A"/>
                <w:sz w:val="19"/>
              </w:rPr>
              <w:t>FY2025 revenue: $3.2B (+19% YoY). FY2024 revenue: $2.74B (+11% YoY). Market cap ~$30B+. Acquired Matterport and Domain (Australia).</w:t>
            </w:r>
          </w:p>
        </w:tc>
      </w:tr>
      <w:tr>
        <w:tc>
          <w:tcPr>
            <w:tcW w:type="dxa" w:w="2592"/>
            <w:shd w:val="clear" w:color="auto" w:fill="0D2B4E"/>
          </w:tcPr>
          <w:p>
            <w:pPr>
              <w:jc w:val="left"/>
            </w:pPr>
            <w:r>
              <w:rPr>
                <w:rFonts w:ascii="Calibri" w:hAnsi="Calibri"/>
                <w:b/>
                <w:i w:val="0"/>
                <w:color w:val="FFFFFF"/>
                <w:sz w:val="19"/>
              </w:rPr>
              <w:t>Key Differentiators</w:t>
            </w:r>
          </w:p>
        </w:tc>
        <w:tc>
          <w:tcPr>
            <w:tcW w:type="dxa" w:w="6480"/>
            <w:shd w:val="clear" w:color="auto" w:fill="F4F6F7"/>
          </w:tcPr>
          <w:p>
            <w:r>
              <w:rPr>
                <w:rFonts w:ascii="Calibri" w:hAnsi="Calibri"/>
                <w:b w:val="0"/>
                <w:i w:val="0"/>
                <w:color w:val="17202A"/>
                <w:sz w:val="19"/>
              </w:rPr>
              <w:t>• Dominant in US commercial real estate — near-monopoly on CRE data</w:t>
              <w:br/>
              <w:t>• Vertical integration from listing to financing analytics</w:t>
              <w:br/>
              <w:t>• Matterport acquisition adds 3D digital twin capability</w:t>
            </w:r>
          </w:p>
        </w:tc>
      </w:tr>
      <w:tr>
        <w:tc>
          <w:tcPr>
            <w:tcW w:type="dxa" w:w="2592"/>
            <w:shd w:val="clear" w:color="auto" w:fill="0D2B4E"/>
          </w:tcPr>
          <w:p>
            <w:pPr>
              <w:jc w:val="left"/>
            </w:pPr>
            <w:r>
              <w:rPr>
                <w:rFonts w:ascii="Calibri" w:hAnsi="Calibri"/>
                <w:b/>
                <w:i w:val="0"/>
                <w:color w:val="FFFFFF"/>
                <w:sz w:val="19"/>
              </w:rPr>
              <w:t>Limitations / Gaps</w:t>
            </w:r>
          </w:p>
        </w:tc>
        <w:tc>
          <w:tcPr>
            <w:tcW w:type="dxa" w:w="6480"/>
            <w:shd w:val="clear" w:color="auto" w:fill="F4F6F7"/>
          </w:tcPr>
          <w:p>
            <w:r>
              <w:rPr>
                <w:rFonts w:ascii="Calibri" w:hAnsi="Calibri"/>
                <w:b w:val="0"/>
                <w:i w:val="0"/>
                <w:color w:val="17202A"/>
                <w:sz w:val="19"/>
              </w:rPr>
              <w:t>• Focused on real estate — not industrial/energy/mining assets</w:t>
              <w:br/>
              <w:t>• No satellite monitoring or ESG analytics for physical assets</w:t>
              <w:br/>
              <w:t>• Does not track operational activity of assets (just physical characteristics)</w:t>
              <w:br/>
              <w:t>• Very US-centric</w:t>
            </w:r>
          </w:p>
        </w:tc>
      </w:tr>
    </w:tbl>
    <w:p>
      <w:pPr>
        <w:spacing w:before="0" w:after="0"/>
      </w:pPr>
      <w:r>
        <w:rPr>
          <w:sz w:val="20"/>
        </w:rPr>
      </w:r>
    </w:p>
    <w:p>
      <w:pPr>
        <w:spacing w:before="280" w:after="80"/>
      </w:pPr>
      <w:r>
        <w:rPr>
          <w:rFonts w:ascii="Calibri" w:hAnsi="Calibri"/>
          <w:b/>
          <w:color w:val="1A5C8E"/>
          <w:sz w:val="24"/>
        </w:rPr>
        <w:t>Gordian (formerly RSMeans)</w:t>
      </w:r>
    </w:p>
    <w:p>
      <w:pPr>
        <w:spacing w:before="20" w:after="120"/>
      </w:pPr>
      <w:r>
        <w:rPr>
          <w:rFonts w:ascii="Calibri" w:hAnsi="Calibri"/>
          <w:b/>
          <w:i w:val="0"/>
          <w:color w:val="ABB2B9"/>
          <w:sz w:val="19"/>
        </w:rPr>
        <w:t xml:space="preserve">Founded: 1942 (RSMeans), Gordian formed 2017  |  </w:t>
      </w:r>
      <w:r>
        <w:rPr>
          <w:rFonts w:ascii="Calibri" w:hAnsi="Calibri"/>
          <w:b w:val="0"/>
          <w:i w:val="0"/>
          <w:color w:val="ABB2B9"/>
          <w:sz w:val="19"/>
        </w:rPr>
        <w:t xml:space="preserve">HQ: Greenville, SC  |  </w:t>
      </w:r>
      <w:r>
        <w:rPr>
          <w:rFonts w:ascii="Calibri" w:hAnsi="Calibri"/>
          <w:b w:val="0"/>
          <w:i w:val="0"/>
          <w:color w:val="ABB2B9"/>
          <w:sz w:val="19"/>
        </w:rPr>
        <w:t xml:space="preserve">Stage/Type: Private (owned by PE)  |  </w:t>
      </w:r>
      <w:r>
        <w:rPr>
          <w:rFonts w:ascii="Calibri" w:hAnsi="Calibri"/>
          <w:b/>
          <w:i w:val="0"/>
          <w:color w:val="ABB2B9"/>
          <w:sz w:val="19"/>
        </w:rPr>
        <w:t xml:space="preserve">Competitive Relevance: </w:t>
      </w:r>
      <w:r>
        <w:rPr>
          <w:rFonts w:ascii="Calibri" w:hAnsi="Calibri"/>
          <w:b/>
          <w:i w:val="0"/>
          <w:color w:val="ABB2B9"/>
          <w:sz w:val="19"/>
        </w:rPr>
        <w:t>Low</w:t>
      </w: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0D2B4E"/>
          </w:tcPr>
          <w:p>
            <w:pPr>
              <w:jc w:val="left"/>
            </w:pPr>
            <w:r>
              <w:rPr>
                <w:rFonts w:ascii="Calibri" w:hAnsi="Calibri"/>
                <w:b/>
                <w:i w:val="0"/>
                <w:color w:val="FFFFFF"/>
                <w:sz w:val="19"/>
              </w:rPr>
              <w:t>Core Product / Service</w:t>
            </w:r>
          </w:p>
        </w:tc>
        <w:tc>
          <w:tcPr>
            <w:tcW w:type="dxa" w:w="6480"/>
            <w:shd w:val="clear" w:color="auto" w:fill="F4F6F7"/>
          </w:tcPr>
          <w:p>
            <w:r>
              <w:rPr>
                <w:rFonts w:ascii="Calibri" w:hAnsi="Calibri"/>
                <w:b w:val="0"/>
                <w:i w:val="0"/>
                <w:color w:val="17202A"/>
                <w:sz w:val="19"/>
              </w:rPr>
              <w:t>Construction cost intelligence and facilities management. Products: RSMeans cost data, job order contracting (JOC) platform, facility condition assessments. Tracks building/infrastructure asset condition and costs.</w:t>
            </w:r>
          </w:p>
        </w:tc>
      </w:tr>
      <w:tr>
        <w:tc>
          <w:tcPr>
            <w:tcW w:type="dxa" w:w="2592"/>
            <w:shd w:val="clear" w:color="auto" w:fill="0D2B4E"/>
          </w:tcPr>
          <w:p>
            <w:pPr>
              <w:jc w:val="left"/>
            </w:pPr>
            <w:r>
              <w:rPr>
                <w:rFonts w:ascii="Calibri" w:hAnsi="Calibri"/>
                <w:b/>
                <w:i w:val="0"/>
                <w:color w:val="FFFFFF"/>
                <w:sz w:val="19"/>
              </w:rPr>
              <w:t>Target Customers</w:t>
            </w:r>
          </w:p>
        </w:tc>
        <w:tc>
          <w:tcPr>
            <w:tcW w:type="dxa" w:w="6480"/>
            <w:shd w:val="clear" w:color="auto" w:fill="F4F6F7"/>
          </w:tcPr>
          <w:p>
            <w:r>
              <w:rPr>
                <w:rFonts w:ascii="Calibri" w:hAnsi="Calibri"/>
                <w:b w:val="0"/>
                <w:i w:val="0"/>
                <w:color w:val="17202A"/>
                <w:sz w:val="19"/>
              </w:rPr>
              <w:t>Government agencies, universities, healthcare, facility managers</w:t>
            </w:r>
          </w:p>
        </w:tc>
      </w:tr>
      <w:tr>
        <w:tc>
          <w:tcPr>
            <w:tcW w:type="dxa" w:w="2592"/>
            <w:shd w:val="clear" w:color="auto" w:fill="0D2B4E"/>
          </w:tcPr>
          <w:p>
            <w:pPr>
              <w:jc w:val="left"/>
            </w:pPr>
            <w:r>
              <w:rPr>
                <w:rFonts w:ascii="Calibri" w:hAnsi="Calibri"/>
                <w:b/>
                <w:i w:val="0"/>
                <w:color w:val="FFFFFF"/>
                <w:sz w:val="19"/>
              </w:rPr>
              <w:t>Funding / Revenue</w:t>
            </w:r>
          </w:p>
        </w:tc>
        <w:tc>
          <w:tcPr>
            <w:tcW w:type="dxa" w:w="6480"/>
            <w:shd w:val="clear" w:color="auto" w:fill="F4F6F7"/>
          </w:tcPr>
          <w:p>
            <w:r>
              <w:rPr>
                <w:rFonts w:ascii="Calibri" w:hAnsi="Calibri"/>
                <w:b w:val="0"/>
                <w:i w:val="0"/>
                <w:color w:val="17202A"/>
                <w:sz w:val="19"/>
              </w:rPr>
              <w:t>Revenue not publicly disclosed. PE-backed; primarily US public sector.</w:t>
            </w:r>
          </w:p>
        </w:tc>
      </w:tr>
      <w:tr>
        <w:tc>
          <w:tcPr>
            <w:tcW w:type="dxa" w:w="2592"/>
            <w:shd w:val="clear" w:color="auto" w:fill="0D2B4E"/>
          </w:tcPr>
          <w:p>
            <w:pPr>
              <w:jc w:val="left"/>
            </w:pPr>
            <w:r>
              <w:rPr>
                <w:rFonts w:ascii="Calibri" w:hAnsi="Calibri"/>
                <w:b/>
                <w:i w:val="0"/>
                <w:color w:val="FFFFFF"/>
                <w:sz w:val="19"/>
              </w:rPr>
              <w:t>Key Differentiators</w:t>
            </w:r>
          </w:p>
        </w:tc>
        <w:tc>
          <w:tcPr>
            <w:tcW w:type="dxa" w:w="6480"/>
            <w:shd w:val="clear" w:color="auto" w:fill="F4F6F7"/>
          </w:tcPr>
          <w:p>
            <w:r>
              <w:rPr>
                <w:rFonts w:ascii="Calibri" w:hAnsi="Calibri"/>
                <w:b w:val="0"/>
                <w:i w:val="0"/>
                <w:color w:val="17202A"/>
                <w:sz w:val="19"/>
              </w:rPr>
              <w:t>• Dominant in US construction cost data (RSMeans)</w:t>
              <w:br/>
              <w:t>• Asset condition lifecycle management</w:t>
            </w:r>
          </w:p>
        </w:tc>
      </w:tr>
      <w:tr>
        <w:tc>
          <w:tcPr>
            <w:tcW w:type="dxa" w:w="2592"/>
            <w:shd w:val="clear" w:color="auto" w:fill="0D2B4E"/>
          </w:tcPr>
          <w:p>
            <w:pPr>
              <w:jc w:val="left"/>
            </w:pPr>
            <w:r>
              <w:rPr>
                <w:rFonts w:ascii="Calibri" w:hAnsi="Calibri"/>
                <w:b/>
                <w:i w:val="0"/>
                <w:color w:val="FFFFFF"/>
                <w:sz w:val="19"/>
              </w:rPr>
              <w:t>Limitations / Gaps</w:t>
            </w:r>
          </w:p>
        </w:tc>
        <w:tc>
          <w:tcPr>
            <w:tcW w:type="dxa" w:w="6480"/>
            <w:shd w:val="clear" w:color="auto" w:fill="F4F6F7"/>
          </w:tcPr>
          <w:p>
            <w:r>
              <w:rPr>
                <w:rFonts w:ascii="Calibri" w:hAnsi="Calibri"/>
                <w:b w:val="0"/>
                <w:i w:val="0"/>
                <w:color w:val="17202A"/>
                <w:sz w:val="19"/>
              </w:rPr>
              <w:t>• Very niche — construction/facility management, not productive industrial assets</w:t>
              <w:br/>
              <w:t>• No satellite, geospatial, or ESG capabilities</w:t>
              <w:br/>
              <w:t>• Primarily US public sector</w:t>
            </w:r>
          </w:p>
        </w:tc>
      </w:tr>
    </w:tbl>
    <w:p>
      <w:pPr>
        <w:spacing w:before="0" w:after="0"/>
      </w:pPr>
      <w:r>
        <w:rPr>
          <w:sz w:val="20"/>
        </w:rPr>
      </w:r>
    </w:p>
    <w:p>
      <w:pPr>
        <w:spacing w:before="280" w:after="80"/>
      </w:pPr>
      <w:r>
        <w:rPr>
          <w:rFonts w:ascii="Calibri" w:hAnsi="Calibri"/>
          <w:b/>
          <w:color w:val="1A5C8E"/>
          <w:sz w:val="24"/>
        </w:rPr>
        <w:t>Kroll</w:t>
      </w:r>
    </w:p>
    <w:p>
      <w:pPr>
        <w:spacing w:before="20" w:after="120"/>
      </w:pPr>
      <w:r>
        <w:rPr>
          <w:rFonts w:ascii="Calibri" w:hAnsi="Calibri"/>
          <w:b/>
          <w:i w:val="0"/>
          <w:color w:val="ABB2B9"/>
          <w:sz w:val="19"/>
        </w:rPr>
        <w:t xml:space="preserve">Founded: 1932  |  </w:t>
      </w:r>
      <w:r>
        <w:rPr>
          <w:rFonts w:ascii="Calibri" w:hAnsi="Calibri"/>
          <w:b w:val="0"/>
          <w:i w:val="0"/>
          <w:color w:val="ABB2B9"/>
          <w:sz w:val="19"/>
        </w:rPr>
        <w:t xml:space="preserve">HQ: New York, NY  |  </w:t>
      </w:r>
      <w:r>
        <w:rPr>
          <w:rFonts w:ascii="Calibri" w:hAnsi="Calibri"/>
          <w:b w:val="0"/>
          <w:i w:val="0"/>
          <w:color w:val="ABB2B9"/>
          <w:sz w:val="19"/>
        </w:rPr>
        <w:t xml:space="preserve">Stage/Type: Private (PE-backed, Duff &amp; Phelps merged 2018)  |  </w:t>
      </w:r>
      <w:r>
        <w:rPr>
          <w:rFonts w:ascii="Calibri" w:hAnsi="Calibri"/>
          <w:b/>
          <w:i w:val="0"/>
          <w:color w:val="ABB2B9"/>
          <w:sz w:val="19"/>
        </w:rPr>
        <w:t xml:space="preserve">Competitive Relevance: </w:t>
      </w:r>
      <w:r>
        <w:rPr>
          <w:rFonts w:ascii="Calibri" w:hAnsi="Calibri"/>
          <w:b/>
          <w:i w:val="0"/>
          <w:color w:val="ABB2B9"/>
          <w:sz w:val="19"/>
        </w:rPr>
        <w:t>Low</w:t>
      </w: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0D2B4E"/>
          </w:tcPr>
          <w:p>
            <w:pPr>
              <w:jc w:val="left"/>
            </w:pPr>
            <w:r>
              <w:rPr>
                <w:rFonts w:ascii="Calibri" w:hAnsi="Calibri"/>
                <w:b/>
                <w:i w:val="0"/>
                <w:color w:val="FFFFFF"/>
                <w:sz w:val="19"/>
              </w:rPr>
              <w:t>Core Product / Service</w:t>
            </w:r>
          </w:p>
        </w:tc>
        <w:tc>
          <w:tcPr>
            <w:tcW w:type="dxa" w:w="6480"/>
            <w:shd w:val="clear" w:color="auto" w:fill="F4F6F7"/>
          </w:tcPr>
          <w:p>
            <w:r>
              <w:rPr>
                <w:rFonts w:ascii="Calibri" w:hAnsi="Calibri"/>
                <w:b w:val="0"/>
                <w:i w:val="0"/>
                <w:color w:val="17202A"/>
                <w:sz w:val="19"/>
              </w:rPr>
              <w:t>Valuation, due diligence, and risk advisory. Relevant products: fixed-asset appraisals, plant/machinery valuation, real estate appraisals, business intelligence investigations, environmental risk assessments.</w:t>
            </w:r>
          </w:p>
        </w:tc>
      </w:tr>
      <w:tr>
        <w:tc>
          <w:tcPr>
            <w:tcW w:type="dxa" w:w="2592"/>
            <w:shd w:val="clear" w:color="auto" w:fill="0D2B4E"/>
          </w:tcPr>
          <w:p>
            <w:pPr>
              <w:jc w:val="left"/>
            </w:pPr>
            <w:r>
              <w:rPr>
                <w:rFonts w:ascii="Calibri" w:hAnsi="Calibri"/>
                <w:b/>
                <w:i w:val="0"/>
                <w:color w:val="FFFFFF"/>
                <w:sz w:val="19"/>
              </w:rPr>
              <w:t>Target Customers</w:t>
            </w:r>
          </w:p>
        </w:tc>
        <w:tc>
          <w:tcPr>
            <w:tcW w:type="dxa" w:w="6480"/>
            <w:shd w:val="clear" w:color="auto" w:fill="F4F6F7"/>
          </w:tcPr>
          <w:p>
            <w:r>
              <w:rPr>
                <w:rFonts w:ascii="Calibri" w:hAnsi="Calibri"/>
                <w:b w:val="0"/>
                <w:i w:val="0"/>
                <w:color w:val="17202A"/>
                <w:sz w:val="19"/>
              </w:rPr>
              <w:t>Financial institutions, PE funds, corporates (M&amp;A), insurers, litigation</w:t>
            </w:r>
          </w:p>
        </w:tc>
      </w:tr>
      <w:tr>
        <w:tc>
          <w:tcPr>
            <w:tcW w:type="dxa" w:w="2592"/>
            <w:shd w:val="clear" w:color="auto" w:fill="0D2B4E"/>
          </w:tcPr>
          <w:p>
            <w:pPr>
              <w:jc w:val="left"/>
            </w:pPr>
            <w:r>
              <w:rPr>
                <w:rFonts w:ascii="Calibri" w:hAnsi="Calibri"/>
                <w:b/>
                <w:i w:val="0"/>
                <w:color w:val="FFFFFF"/>
                <w:sz w:val="19"/>
              </w:rPr>
              <w:t>Funding / Revenue</w:t>
            </w:r>
          </w:p>
        </w:tc>
        <w:tc>
          <w:tcPr>
            <w:tcW w:type="dxa" w:w="6480"/>
            <w:shd w:val="clear" w:color="auto" w:fill="F4F6F7"/>
          </w:tcPr>
          <w:p>
            <w:r>
              <w:rPr>
                <w:rFonts w:ascii="Calibri" w:hAnsi="Calibri"/>
                <w:b w:val="0"/>
                <w:i w:val="0"/>
                <w:color w:val="17202A"/>
                <w:sz w:val="19"/>
              </w:rPr>
              <w:t>Revenue not publicly disclosed. PE-backed (Jordan Company + others).</w:t>
            </w:r>
          </w:p>
        </w:tc>
      </w:tr>
      <w:tr>
        <w:tc>
          <w:tcPr>
            <w:tcW w:type="dxa" w:w="2592"/>
            <w:shd w:val="clear" w:color="auto" w:fill="0D2B4E"/>
          </w:tcPr>
          <w:p>
            <w:pPr>
              <w:jc w:val="left"/>
            </w:pPr>
            <w:r>
              <w:rPr>
                <w:rFonts w:ascii="Calibri" w:hAnsi="Calibri"/>
                <w:b/>
                <w:i w:val="0"/>
                <w:color w:val="FFFFFF"/>
                <w:sz w:val="19"/>
              </w:rPr>
              <w:t>Key Differentiators</w:t>
            </w:r>
          </w:p>
        </w:tc>
        <w:tc>
          <w:tcPr>
            <w:tcW w:type="dxa" w:w="6480"/>
            <w:shd w:val="clear" w:color="auto" w:fill="F4F6F7"/>
          </w:tcPr>
          <w:p>
            <w:r>
              <w:rPr>
                <w:rFonts w:ascii="Calibri" w:hAnsi="Calibri"/>
                <w:b w:val="0"/>
                <w:i w:val="0"/>
                <w:color w:val="17202A"/>
                <w:sz w:val="19"/>
              </w:rPr>
              <w:t>• Trusted brand for asset valuation in M&amp;A and litigation</w:t>
              <w:br/>
              <w:t>• Combines financial + physical asset assessment in due diligence</w:t>
              <w:br/>
              <w:t>• Global reach for cross-border asset intelligence</w:t>
            </w:r>
          </w:p>
        </w:tc>
      </w:tr>
      <w:tr>
        <w:tc>
          <w:tcPr>
            <w:tcW w:type="dxa" w:w="2592"/>
            <w:shd w:val="clear" w:color="auto" w:fill="0D2B4E"/>
          </w:tcPr>
          <w:p>
            <w:pPr>
              <w:jc w:val="left"/>
            </w:pPr>
            <w:r>
              <w:rPr>
                <w:rFonts w:ascii="Calibri" w:hAnsi="Calibri"/>
                <w:b/>
                <w:i w:val="0"/>
                <w:color w:val="FFFFFF"/>
                <w:sz w:val="19"/>
              </w:rPr>
              <w:t>Limitations / Gaps</w:t>
            </w:r>
          </w:p>
        </w:tc>
        <w:tc>
          <w:tcPr>
            <w:tcW w:type="dxa" w:w="6480"/>
            <w:shd w:val="clear" w:color="auto" w:fill="F4F6F7"/>
          </w:tcPr>
          <w:p>
            <w:r>
              <w:rPr>
                <w:rFonts w:ascii="Calibri" w:hAnsi="Calibri"/>
                <w:b w:val="0"/>
                <w:i w:val="0"/>
                <w:color w:val="17202A"/>
                <w:sz w:val="19"/>
              </w:rPr>
              <w:t>• Services-based, not a data/SaaS product</w:t>
              <w:br/>
              <w:t>• No real-time or satellite-based monitoring</w:t>
              <w:br/>
              <w:t>• High cost — advisory model, not scalable analytics</w:t>
            </w:r>
          </w:p>
        </w:tc>
      </w:tr>
    </w:tbl>
    <w:p>
      <w:pPr>
        <w:spacing w:before="0" w:after="0"/>
      </w:pPr>
      <w:r>
        <w:rPr>
          <w:sz w:val="20"/>
        </w:rPr>
      </w:r>
    </w:p>
    <w:p>
      <w:pPr>
        <w:spacing w:before="280" w:after="80"/>
      </w:pPr>
      <w:r>
        <w:rPr>
          <w:rFonts w:ascii="Calibri" w:hAnsi="Calibri"/>
          <w:b/>
          <w:color w:val="1A5C8E"/>
          <w:sz w:val="24"/>
        </w:rPr>
        <w:t>Site Selection Group</w:t>
      </w:r>
    </w:p>
    <w:p>
      <w:pPr>
        <w:spacing w:before="20" w:after="120"/>
      </w:pPr>
      <w:r>
        <w:rPr>
          <w:rFonts w:ascii="Calibri" w:hAnsi="Calibri"/>
          <w:b/>
          <w:i w:val="0"/>
          <w:color w:val="ABB2B9"/>
          <w:sz w:val="19"/>
        </w:rPr>
        <w:t xml:space="preserve">Founded: 1997  |  </w:t>
      </w:r>
      <w:r>
        <w:rPr>
          <w:rFonts w:ascii="Calibri" w:hAnsi="Calibri"/>
          <w:b w:val="0"/>
          <w:i w:val="0"/>
          <w:color w:val="ABB2B9"/>
          <w:sz w:val="19"/>
        </w:rPr>
        <w:t xml:space="preserve">HQ: Dallas, TX  |  </w:t>
      </w:r>
      <w:r>
        <w:rPr>
          <w:rFonts w:ascii="Calibri" w:hAnsi="Calibri"/>
          <w:b w:val="0"/>
          <w:i w:val="0"/>
          <w:color w:val="ABB2B9"/>
          <w:sz w:val="19"/>
        </w:rPr>
        <w:t xml:space="preserve">Stage/Type: Private (boutique)  |  </w:t>
      </w:r>
      <w:r>
        <w:rPr>
          <w:rFonts w:ascii="Calibri" w:hAnsi="Calibri"/>
          <w:b/>
          <w:i w:val="0"/>
          <w:color w:val="ABB2B9"/>
          <w:sz w:val="19"/>
        </w:rPr>
        <w:t xml:space="preserve">Competitive Relevance: </w:t>
      </w:r>
      <w:r>
        <w:rPr>
          <w:rFonts w:ascii="Calibri" w:hAnsi="Calibri"/>
          <w:b/>
          <w:i w:val="0"/>
          <w:color w:val="ABB2B9"/>
          <w:sz w:val="19"/>
        </w:rPr>
        <w:t>Low</w:t>
      </w: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0D2B4E"/>
          </w:tcPr>
          <w:p>
            <w:pPr>
              <w:jc w:val="left"/>
            </w:pPr>
            <w:r>
              <w:rPr>
                <w:rFonts w:ascii="Calibri" w:hAnsi="Calibri"/>
                <w:b/>
                <w:i w:val="0"/>
                <w:color w:val="FFFFFF"/>
                <w:sz w:val="19"/>
              </w:rPr>
              <w:t>Core Product / Service</w:t>
            </w:r>
          </w:p>
        </w:tc>
        <w:tc>
          <w:tcPr>
            <w:tcW w:type="dxa" w:w="6480"/>
            <w:shd w:val="clear" w:color="auto" w:fill="F4F6F7"/>
          </w:tcPr>
          <w:p>
            <w:r>
              <w:rPr>
                <w:rFonts w:ascii="Calibri" w:hAnsi="Calibri"/>
                <w:b w:val="0"/>
                <w:i w:val="0"/>
                <w:color w:val="17202A"/>
                <w:sz w:val="19"/>
              </w:rPr>
              <w:t>Advisory firm for corporate site selection and real estate strategy. Uses GIS, demographics, incentive analysis, and labour market data to help corporations locate facilities (manufacturing, distribution, offices).</w:t>
            </w:r>
          </w:p>
        </w:tc>
      </w:tr>
      <w:tr>
        <w:tc>
          <w:tcPr>
            <w:tcW w:type="dxa" w:w="2592"/>
            <w:shd w:val="clear" w:color="auto" w:fill="0D2B4E"/>
          </w:tcPr>
          <w:p>
            <w:pPr>
              <w:jc w:val="left"/>
            </w:pPr>
            <w:r>
              <w:rPr>
                <w:rFonts w:ascii="Calibri" w:hAnsi="Calibri"/>
                <w:b/>
                <w:i w:val="0"/>
                <w:color w:val="FFFFFF"/>
                <w:sz w:val="19"/>
              </w:rPr>
              <w:t>Target Customers</w:t>
            </w:r>
          </w:p>
        </w:tc>
        <w:tc>
          <w:tcPr>
            <w:tcW w:type="dxa" w:w="6480"/>
            <w:shd w:val="clear" w:color="auto" w:fill="F4F6F7"/>
          </w:tcPr>
          <w:p>
            <w:r>
              <w:rPr>
                <w:rFonts w:ascii="Calibri" w:hAnsi="Calibri"/>
                <w:b w:val="0"/>
                <w:i w:val="0"/>
                <w:color w:val="17202A"/>
                <w:sz w:val="19"/>
              </w:rPr>
              <w:t>Corporates planning new facilities, economic development agencies</w:t>
            </w:r>
          </w:p>
        </w:tc>
      </w:tr>
      <w:tr>
        <w:tc>
          <w:tcPr>
            <w:tcW w:type="dxa" w:w="2592"/>
            <w:shd w:val="clear" w:color="auto" w:fill="0D2B4E"/>
          </w:tcPr>
          <w:p>
            <w:pPr>
              <w:jc w:val="left"/>
            </w:pPr>
            <w:r>
              <w:rPr>
                <w:rFonts w:ascii="Calibri" w:hAnsi="Calibri"/>
                <w:b/>
                <w:i w:val="0"/>
                <w:color w:val="FFFFFF"/>
                <w:sz w:val="19"/>
              </w:rPr>
              <w:t>Funding / Revenue</w:t>
            </w:r>
          </w:p>
        </w:tc>
        <w:tc>
          <w:tcPr>
            <w:tcW w:type="dxa" w:w="6480"/>
            <w:shd w:val="clear" w:color="auto" w:fill="F4F6F7"/>
          </w:tcPr>
          <w:p>
            <w:r>
              <w:rPr>
                <w:rFonts w:ascii="Calibri" w:hAnsi="Calibri"/>
                <w:b w:val="0"/>
                <w:i w:val="0"/>
                <w:color w:val="17202A"/>
                <w:sz w:val="19"/>
              </w:rPr>
              <w:t>Small boutique; revenue not disclosed.</w:t>
            </w:r>
          </w:p>
        </w:tc>
      </w:tr>
      <w:tr>
        <w:tc>
          <w:tcPr>
            <w:tcW w:type="dxa" w:w="2592"/>
            <w:shd w:val="clear" w:color="auto" w:fill="0D2B4E"/>
          </w:tcPr>
          <w:p>
            <w:pPr>
              <w:jc w:val="left"/>
            </w:pPr>
            <w:r>
              <w:rPr>
                <w:rFonts w:ascii="Calibri" w:hAnsi="Calibri"/>
                <w:b/>
                <w:i w:val="0"/>
                <w:color w:val="FFFFFF"/>
                <w:sz w:val="19"/>
              </w:rPr>
              <w:t>Key Differentiators</w:t>
            </w:r>
          </w:p>
        </w:tc>
        <w:tc>
          <w:tcPr>
            <w:tcW w:type="dxa" w:w="6480"/>
            <w:shd w:val="clear" w:color="auto" w:fill="F4F6F7"/>
          </w:tcPr>
          <w:p>
            <w:r>
              <w:rPr>
                <w:rFonts w:ascii="Calibri" w:hAnsi="Calibri"/>
                <w:b w:val="0"/>
                <w:i w:val="0"/>
                <w:color w:val="17202A"/>
                <w:sz w:val="19"/>
              </w:rPr>
              <w:t>• Specialised multi-criteria site selection methodology</w:t>
              <w:br/>
              <w:t>• Strong incentive negotiation expertise</w:t>
            </w:r>
          </w:p>
        </w:tc>
      </w:tr>
      <w:tr>
        <w:tc>
          <w:tcPr>
            <w:tcW w:type="dxa" w:w="2592"/>
            <w:shd w:val="clear" w:color="auto" w:fill="0D2B4E"/>
          </w:tcPr>
          <w:p>
            <w:pPr>
              <w:jc w:val="left"/>
            </w:pPr>
            <w:r>
              <w:rPr>
                <w:rFonts w:ascii="Calibri" w:hAnsi="Calibri"/>
                <w:b/>
                <w:i w:val="0"/>
                <w:color w:val="FFFFFF"/>
                <w:sz w:val="19"/>
              </w:rPr>
              <w:t>Limitations / Gaps</w:t>
            </w:r>
          </w:p>
        </w:tc>
        <w:tc>
          <w:tcPr>
            <w:tcW w:type="dxa" w:w="6480"/>
            <w:shd w:val="clear" w:color="auto" w:fill="F4F6F7"/>
          </w:tcPr>
          <w:p>
            <w:r>
              <w:rPr>
                <w:rFonts w:ascii="Calibri" w:hAnsi="Calibri"/>
                <w:b w:val="0"/>
                <w:i w:val="0"/>
                <w:color w:val="17202A"/>
                <w:sz w:val="19"/>
              </w:rPr>
              <w:t>• Advisory only — no technology platform or SaaS product</w:t>
              <w:br/>
              <w:t>• No continuous monitoring after site selection</w:t>
              <w:br/>
              <w:t>• Not relevant for financial/ESG asset intelligence</w:t>
            </w:r>
          </w:p>
        </w:tc>
      </w:tr>
    </w:tbl>
    <w:p>
      <w:pPr>
        <w:spacing w:before="0" w:after="0"/>
      </w:pPr>
      <w:r>
        <w:rPr>
          <w:sz w:val="20"/>
        </w:rPr>
      </w:r>
    </w:p>
    <w:p>
      <w:pPr>
        <w:spacing w:before="280" w:after="80"/>
      </w:pPr>
      <w:r>
        <w:rPr>
          <w:rFonts w:ascii="Calibri" w:hAnsi="Calibri"/>
          <w:b/>
          <w:color w:val="1A5C8E"/>
          <w:sz w:val="24"/>
        </w:rPr>
        <w:t>LiveEO</w:t>
      </w:r>
    </w:p>
    <w:p>
      <w:pPr>
        <w:spacing w:before="20" w:after="120"/>
      </w:pPr>
      <w:r>
        <w:rPr>
          <w:rFonts w:ascii="Calibri" w:hAnsi="Calibri"/>
          <w:b/>
          <w:i w:val="0"/>
          <w:color w:val="ABB2B9"/>
          <w:sz w:val="19"/>
        </w:rPr>
        <w:t xml:space="preserve">Founded: 2018  |  </w:t>
      </w:r>
      <w:r>
        <w:rPr>
          <w:rFonts w:ascii="Calibri" w:hAnsi="Calibri"/>
          <w:b w:val="0"/>
          <w:i w:val="0"/>
          <w:color w:val="ABB2B9"/>
          <w:sz w:val="19"/>
        </w:rPr>
        <w:t xml:space="preserve">HQ: Berlin, Germany  |  </w:t>
      </w:r>
      <w:r>
        <w:rPr>
          <w:rFonts w:ascii="Calibri" w:hAnsi="Calibri"/>
          <w:b w:val="0"/>
          <w:i w:val="0"/>
          <w:color w:val="ABB2B9"/>
          <w:sz w:val="19"/>
        </w:rPr>
        <w:t xml:space="preserve">Stage/Type: Series B+  |  </w:t>
      </w:r>
      <w:r>
        <w:rPr>
          <w:rFonts w:ascii="Calibri" w:hAnsi="Calibri"/>
          <w:b/>
          <w:i w:val="0"/>
          <w:color w:val="ABB2B9"/>
          <w:sz w:val="19"/>
        </w:rPr>
        <w:t xml:space="preserve">Competitive Relevance: </w:t>
      </w:r>
      <w:r>
        <w:rPr>
          <w:rFonts w:ascii="Calibri" w:hAnsi="Calibri"/>
          <w:b/>
          <w:i w:val="0"/>
          <w:color w:val="1E8B4C"/>
          <w:sz w:val="19"/>
        </w:rPr>
        <w:t>High</w:t>
      </w: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0D2B4E"/>
          </w:tcPr>
          <w:p>
            <w:pPr>
              <w:jc w:val="left"/>
            </w:pPr>
            <w:r>
              <w:rPr>
                <w:rFonts w:ascii="Calibri" w:hAnsi="Calibri"/>
                <w:b/>
                <w:i w:val="0"/>
                <w:color w:val="FFFFFF"/>
                <w:sz w:val="19"/>
              </w:rPr>
              <w:t>Core Product / Service</w:t>
            </w:r>
          </w:p>
        </w:tc>
        <w:tc>
          <w:tcPr>
            <w:tcW w:type="dxa" w:w="6480"/>
            <w:shd w:val="clear" w:color="auto" w:fill="F4F6F7"/>
          </w:tcPr>
          <w:p>
            <w:r>
              <w:rPr>
                <w:rFonts w:ascii="Calibri" w:hAnsi="Calibri"/>
                <w:b w:val="0"/>
                <w:i w:val="0"/>
                <w:color w:val="17202A"/>
                <w:sz w:val="19"/>
              </w:rPr>
              <w:t>AI-powered satellite monitoring for civil infrastructure assets: power lines, railways, pipelines. Products: vegetation management, third-party interference detection, corridor mapping, climate risk. Launching Twinspector constellation (35cm stereo, 2028).</w:t>
            </w:r>
          </w:p>
        </w:tc>
      </w:tr>
      <w:tr>
        <w:tc>
          <w:tcPr>
            <w:tcW w:type="dxa" w:w="2592"/>
            <w:shd w:val="clear" w:color="auto" w:fill="0D2B4E"/>
          </w:tcPr>
          <w:p>
            <w:pPr>
              <w:jc w:val="left"/>
            </w:pPr>
            <w:r>
              <w:rPr>
                <w:rFonts w:ascii="Calibri" w:hAnsi="Calibri"/>
                <w:b/>
                <w:i w:val="0"/>
                <w:color w:val="FFFFFF"/>
                <w:sz w:val="19"/>
              </w:rPr>
              <w:t>Target Customers</w:t>
            </w:r>
          </w:p>
        </w:tc>
        <w:tc>
          <w:tcPr>
            <w:tcW w:type="dxa" w:w="6480"/>
            <w:shd w:val="clear" w:color="auto" w:fill="F4F6F7"/>
          </w:tcPr>
          <w:p>
            <w:r>
              <w:rPr>
                <w:rFonts w:ascii="Calibri" w:hAnsi="Calibri"/>
                <w:b w:val="0"/>
                <w:i w:val="0"/>
                <w:color w:val="17202A"/>
                <w:sz w:val="19"/>
              </w:rPr>
              <w:t>Electric utilities, railway operators, pipeline companies (EU + global)</w:t>
            </w:r>
          </w:p>
        </w:tc>
      </w:tr>
      <w:tr>
        <w:tc>
          <w:tcPr>
            <w:tcW w:type="dxa" w:w="2592"/>
            <w:shd w:val="clear" w:color="auto" w:fill="0D2B4E"/>
          </w:tcPr>
          <w:p>
            <w:pPr>
              <w:jc w:val="left"/>
            </w:pPr>
            <w:r>
              <w:rPr>
                <w:rFonts w:ascii="Calibri" w:hAnsi="Calibri"/>
                <w:b/>
                <w:i w:val="0"/>
                <w:color w:val="FFFFFF"/>
                <w:sz w:val="19"/>
              </w:rPr>
              <w:t>Funding / Revenue</w:t>
            </w:r>
          </w:p>
        </w:tc>
        <w:tc>
          <w:tcPr>
            <w:tcW w:type="dxa" w:w="6480"/>
            <w:shd w:val="clear" w:color="auto" w:fill="F4F6F7"/>
          </w:tcPr>
          <w:p>
            <w:r>
              <w:rPr>
                <w:rFonts w:ascii="Calibri" w:hAnsi="Calibri"/>
                <w:b w:val="0"/>
                <w:i w:val="0"/>
                <w:color w:val="17202A"/>
                <w:sz w:val="19"/>
              </w:rPr>
              <w:t>Total raised: &gt;€72M. Jun 2024: €25M Series B. 2026: &gt;€28M first close new round. Revenue 3x growth since 2021 ESA Demo Project.</w:t>
            </w:r>
          </w:p>
        </w:tc>
      </w:tr>
      <w:tr>
        <w:tc>
          <w:tcPr>
            <w:tcW w:type="dxa" w:w="2592"/>
            <w:shd w:val="clear" w:color="auto" w:fill="0D2B4E"/>
          </w:tcPr>
          <w:p>
            <w:pPr>
              <w:jc w:val="left"/>
            </w:pPr>
            <w:r>
              <w:rPr>
                <w:rFonts w:ascii="Calibri" w:hAnsi="Calibri"/>
                <w:b/>
                <w:i w:val="0"/>
                <w:color w:val="FFFFFF"/>
                <w:sz w:val="19"/>
              </w:rPr>
              <w:t>Key Differentiators</w:t>
            </w:r>
          </w:p>
        </w:tc>
        <w:tc>
          <w:tcPr>
            <w:tcW w:type="dxa" w:w="6480"/>
            <w:shd w:val="clear" w:color="auto" w:fill="F4F6F7"/>
          </w:tcPr>
          <w:p>
            <w:r>
              <w:rPr>
                <w:rFonts w:ascii="Calibri" w:hAnsi="Calibri"/>
                <w:b w:val="0"/>
                <w:i w:val="0"/>
                <w:color w:val="17202A"/>
                <w:sz w:val="19"/>
              </w:rPr>
              <w:t>• Deep infrastructure asset monitoring — proven EU utility customers</w:t>
              <w:br/>
              <w:t>• Developing own constellation (Twinspector) for independence</w:t>
              <w:br/>
              <w:t>• Expanding into defence/security vertical</w:t>
              <w:br/>
              <w:t>• European-built sovereign capability</w:t>
            </w:r>
          </w:p>
        </w:tc>
      </w:tr>
      <w:tr>
        <w:tc>
          <w:tcPr>
            <w:tcW w:type="dxa" w:w="2592"/>
            <w:shd w:val="clear" w:color="auto" w:fill="0D2B4E"/>
          </w:tcPr>
          <w:p>
            <w:pPr>
              <w:jc w:val="left"/>
            </w:pPr>
            <w:r>
              <w:rPr>
                <w:rFonts w:ascii="Calibri" w:hAnsi="Calibri"/>
                <w:b/>
                <w:i w:val="0"/>
                <w:color w:val="FFFFFF"/>
                <w:sz w:val="19"/>
              </w:rPr>
              <w:t>Limitations / Gaps</w:t>
            </w:r>
          </w:p>
        </w:tc>
        <w:tc>
          <w:tcPr>
            <w:tcW w:type="dxa" w:w="6480"/>
            <w:shd w:val="clear" w:color="auto" w:fill="F4F6F7"/>
          </w:tcPr>
          <w:p>
            <w:r>
              <w:rPr>
                <w:rFonts w:ascii="Calibri" w:hAnsi="Calibri"/>
                <w:b w:val="0"/>
                <w:i w:val="0"/>
                <w:color w:val="17202A"/>
                <w:sz w:val="19"/>
              </w:rPr>
              <w:t>• Infrastructure-focused — not manufacturing, mining, or agri assets</w:t>
              <w:br/>
              <w:t>• No ESG scores or financial analytics layer</w:t>
              <w:br/>
              <w:t>• Small compared to Maxar/Planet for global coverage</w:t>
            </w:r>
          </w:p>
        </w:tc>
      </w:tr>
    </w:tbl>
    <w:p>
      <w:pPr>
        <w:spacing w:before="0" w:after="0"/>
      </w:pPr>
      <w:r>
        <w:rPr>
          <w:sz w:val="20"/>
        </w:rPr>
      </w:r>
    </w:p>
    <w:p>
      <w:pPr>
        <w:spacing w:before="280" w:after="80"/>
      </w:pPr>
      <w:r>
        <w:rPr>
          <w:rFonts w:ascii="Calibri" w:hAnsi="Calibri"/>
          <w:b/>
          <w:color w:val="1A5C8E"/>
          <w:sz w:val="24"/>
        </w:rPr>
        <w:t>Rezatec</w:t>
      </w:r>
    </w:p>
    <w:p>
      <w:pPr>
        <w:spacing w:before="20" w:after="120"/>
      </w:pPr>
      <w:r>
        <w:rPr>
          <w:rFonts w:ascii="Calibri" w:hAnsi="Calibri"/>
          <w:b/>
          <w:i w:val="0"/>
          <w:color w:val="ABB2B9"/>
          <w:sz w:val="19"/>
        </w:rPr>
        <w:t xml:space="preserve">Founded: 2013  |  </w:t>
      </w:r>
      <w:r>
        <w:rPr>
          <w:rFonts w:ascii="Calibri" w:hAnsi="Calibri"/>
          <w:b w:val="0"/>
          <w:i w:val="0"/>
          <w:color w:val="ABB2B9"/>
          <w:sz w:val="19"/>
        </w:rPr>
        <w:t xml:space="preserve">HQ: Oxford, UK  |  </w:t>
      </w:r>
      <w:r>
        <w:rPr>
          <w:rFonts w:ascii="Calibri" w:hAnsi="Calibri"/>
          <w:b w:val="0"/>
          <w:i w:val="0"/>
          <w:color w:val="ABB2B9"/>
          <w:sz w:val="19"/>
        </w:rPr>
        <w:t xml:space="preserve">Stage/Type: Acquired (majority stake, Dec 2024)  |  </w:t>
      </w:r>
      <w:r>
        <w:rPr>
          <w:rFonts w:ascii="Calibri" w:hAnsi="Calibri"/>
          <w:b/>
          <w:i w:val="0"/>
          <w:color w:val="ABB2B9"/>
          <w:sz w:val="19"/>
        </w:rPr>
        <w:t xml:space="preserve">Competitive Relevance: </w:t>
      </w:r>
      <w:r>
        <w:rPr>
          <w:rFonts w:ascii="Calibri" w:hAnsi="Calibri"/>
          <w:b/>
          <w:i w:val="0"/>
          <w:color w:val="E67E22"/>
          <w:sz w:val="19"/>
        </w:rPr>
        <w:t>Medium</w:t>
      </w: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0D2B4E"/>
          </w:tcPr>
          <w:p>
            <w:pPr>
              <w:jc w:val="left"/>
            </w:pPr>
            <w:r>
              <w:rPr>
                <w:rFonts w:ascii="Calibri" w:hAnsi="Calibri"/>
                <w:b/>
                <w:i w:val="0"/>
                <w:color w:val="FFFFFF"/>
                <w:sz w:val="19"/>
              </w:rPr>
              <w:t>Core Product / Service</w:t>
            </w:r>
          </w:p>
        </w:tc>
        <w:tc>
          <w:tcPr>
            <w:tcW w:type="dxa" w:w="6480"/>
            <w:shd w:val="clear" w:color="auto" w:fill="F4F6F7"/>
          </w:tcPr>
          <w:p>
            <w:r>
              <w:rPr>
                <w:rFonts w:ascii="Calibri" w:hAnsi="Calibri"/>
                <w:b w:val="0"/>
                <w:i w:val="0"/>
                <w:color w:val="17202A"/>
                <w:sz w:val="19"/>
              </w:rPr>
              <w:t>Geospatial analytics platform using satellite data + AI for infrastructure asset management: water networks, forestry, land stability, pipeline integrity. Products focus on condition monitoring and risk prediction.</w:t>
            </w:r>
          </w:p>
        </w:tc>
      </w:tr>
      <w:tr>
        <w:tc>
          <w:tcPr>
            <w:tcW w:type="dxa" w:w="2592"/>
            <w:shd w:val="clear" w:color="auto" w:fill="0D2B4E"/>
          </w:tcPr>
          <w:p>
            <w:pPr>
              <w:jc w:val="left"/>
            </w:pPr>
            <w:r>
              <w:rPr>
                <w:rFonts w:ascii="Calibri" w:hAnsi="Calibri"/>
                <w:b/>
                <w:i w:val="0"/>
                <w:color w:val="FFFFFF"/>
                <w:sz w:val="19"/>
              </w:rPr>
              <w:t>Target Customers</w:t>
            </w:r>
          </w:p>
        </w:tc>
        <w:tc>
          <w:tcPr>
            <w:tcW w:type="dxa" w:w="6480"/>
            <w:shd w:val="clear" w:color="auto" w:fill="F4F6F7"/>
          </w:tcPr>
          <w:p>
            <w:r>
              <w:rPr>
                <w:rFonts w:ascii="Calibri" w:hAnsi="Calibri"/>
                <w:b w:val="0"/>
                <w:i w:val="0"/>
                <w:color w:val="17202A"/>
                <w:sz w:val="19"/>
              </w:rPr>
              <w:t>Water utilities, forestry companies, infrastructure operators</w:t>
            </w:r>
          </w:p>
        </w:tc>
      </w:tr>
      <w:tr>
        <w:tc>
          <w:tcPr>
            <w:tcW w:type="dxa" w:w="2592"/>
            <w:shd w:val="clear" w:color="auto" w:fill="0D2B4E"/>
          </w:tcPr>
          <w:p>
            <w:pPr>
              <w:jc w:val="left"/>
            </w:pPr>
            <w:r>
              <w:rPr>
                <w:rFonts w:ascii="Calibri" w:hAnsi="Calibri"/>
                <w:b/>
                <w:i w:val="0"/>
                <w:color w:val="FFFFFF"/>
                <w:sz w:val="19"/>
              </w:rPr>
              <w:t>Funding / Revenue</w:t>
            </w:r>
          </w:p>
        </w:tc>
        <w:tc>
          <w:tcPr>
            <w:tcW w:type="dxa" w:w="6480"/>
            <w:shd w:val="clear" w:color="auto" w:fill="F4F6F7"/>
          </w:tcPr>
          <w:p>
            <w:r>
              <w:rPr>
                <w:rFonts w:ascii="Calibri" w:hAnsi="Calibri"/>
                <w:b w:val="0"/>
                <w:i w:val="0"/>
                <w:color w:val="17202A"/>
                <w:sz w:val="19"/>
              </w:rPr>
              <w:t>Total raised: ~$21.1M. Majority stake acquired Dec 2024 (undisclosed acquirer).</w:t>
            </w:r>
          </w:p>
        </w:tc>
      </w:tr>
      <w:tr>
        <w:tc>
          <w:tcPr>
            <w:tcW w:type="dxa" w:w="2592"/>
            <w:shd w:val="clear" w:color="auto" w:fill="0D2B4E"/>
          </w:tcPr>
          <w:p>
            <w:pPr>
              <w:jc w:val="left"/>
            </w:pPr>
            <w:r>
              <w:rPr>
                <w:rFonts w:ascii="Calibri" w:hAnsi="Calibri"/>
                <w:b/>
                <w:i w:val="0"/>
                <w:color w:val="FFFFFF"/>
                <w:sz w:val="19"/>
              </w:rPr>
              <w:t>Key Differentiators</w:t>
            </w:r>
          </w:p>
        </w:tc>
        <w:tc>
          <w:tcPr>
            <w:tcW w:type="dxa" w:w="6480"/>
            <w:shd w:val="clear" w:color="auto" w:fill="F4F6F7"/>
          </w:tcPr>
          <w:p>
            <w:r>
              <w:rPr>
                <w:rFonts w:ascii="Calibri" w:hAnsi="Calibri"/>
                <w:b w:val="0"/>
                <w:i w:val="0"/>
                <w:color w:val="17202A"/>
                <w:sz w:val="19"/>
              </w:rPr>
              <w:t>• Deep water utility vertical — network leakage and ground movement detection</w:t>
              <w:br/>
              <w:t>• Multi-asset infrastructure (not just power lines)</w:t>
              <w:br/>
              <w:t>• UK/EU regulatory alignment</w:t>
            </w:r>
          </w:p>
        </w:tc>
      </w:tr>
      <w:tr>
        <w:tc>
          <w:tcPr>
            <w:tcW w:type="dxa" w:w="2592"/>
            <w:shd w:val="clear" w:color="auto" w:fill="0D2B4E"/>
          </w:tcPr>
          <w:p>
            <w:pPr>
              <w:jc w:val="left"/>
            </w:pPr>
            <w:r>
              <w:rPr>
                <w:rFonts w:ascii="Calibri" w:hAnsi="Calibri"/>
                <w:b/>
                <w:i w:val="0"/>
                <w:color w:val="FFFFFF"/>
                <w:sz w:val="19"/>
              </w:rPr>
              <w:t>Limitations / Gaps</w:t>
            </w:r>
          </w:p>
        </w:tc>
        <w:tc>
          <w:tcPr>
            <w:tcW w:type="dxa" w:w="6480"/>
            <w:shd w:val="clear" w:color="auto" w:fill="F4F6F7"/>
          </w:tcPr>
          <w:p>
            <w:r>
              <w:rPr>
                <w:rFonts w:ascii="Calibri" w:hAnsi="Calibri"/>
                <w:b w:val="0"/>
                <w:i w:val="0"/>
                <w:color w:val="17202A"/>
                <w:sz w:val="19"/>
              </w:rPr>
              <w:t>• Narrow sector coverage (water, forestry)</w:t>
              <w:br/>
              <w:t>• Small; post-acquisition strategic direction unclear</w:t>
              <w:br/>
              <w:t>• No ESG or financial analytics</w:t>
            </w:r>
          </w:p>
        </w:tc>
      </w:tr>
    </w:tbl>
    <w:p>
      <w:pPr>
        <w:spacing w:before="0" w:after="0"/>
      </w:pPr>
      <w:r>
        <w:rPr>
          <w:sz w:val="20"/>
        </w:rPr>
      </w:r>
    </w:p>
    <w:p>
      <w:r>
        <w:br w:type="page"/>
      </w:r>
    </w:p>
    <w:p>
      <w:pPr>
        <w:spacing w:before="280" w:after="80"/>
        <w:pBdr>
          <w:bottom w:val="single" w:sz="6" w:space="1" w:color="2E86C1"/>
        </w:pBdr>
      </w:pPr>
      <w:r>
        <w:rPr>
          <w:rFonts w:ascii="Calibri" w:hAnsi="Calibri"/>
          <w:b/>
          <w:color w:val="0D2B4E"/>
          <w:sz w:val="30"/>
        </w:rPr>
        <w:t>CATEGORY 5: AI-NATIVE STARTUPS — PHYSICAL ASSET INTELLIGENCE &amp; GEOSPATIAL AI FOR FINANCE/ESG</w:t>
      </w:r>
    </w:p>
    <w:p>
      <w:pPr>
        <w:spacing w:before="40" w:after="160"/>
      </w:pPr>
      <w:r>
        <w:rPr>
          <w:rFonts w:ascii="Calibri" w:hAnsi="Calibri"/>
          <w:b w:val="0"/>
          <w:i/>
          <w:color w:val="ABB2B9"/>
          <w:sz w:val="20"/>
        </w:rPr>
        <w:t>The most strategically relevant category for the competitive analysis. These companies are building AI-native platforms that intersect geospatial/satellite data with financial, ESG, or industrial intelligence. They represent both competitive threats and potential partners or acquisition targets.</w:t>
      </w:r>
    </w:p>
    <w:p>
      <w:pPr>
        <w:spacing w:before="280" w:after="80"/>
      </w:pPr>
      <w:r>
        <w:rPr>
          <w:rFonts w:ascii="Calibri" w:hAnsi="Calibri"/>
          <w:b/>
          <w:color w:val="1A5C8E"/>
          <w:sz w:val="24"/>
        </w:rPr>
        <w:t>Kayrros</w:t>
      </w:r>
    </w:p>
    <w:p>
      <w:pPr>
        <w:spacing w:before="20" w:after="120"/>
      </w:pPr>
      <w:r>
        <w:rPr>
          <w:rFonts w:ascii="Calibri" w:hAnsi="Calibri"/>
          <w:b/>
          <w:i w:val="0"/>
          <w:color w:val="ABB2B9"/>
          <w:sz w:val="19"/>
        </w:rPr>
        <w:t xml:space="preserve">Founded: 2016  |  </w:t>
      </w:r>
      <w:r>
        <w:rPr>
          <w:rFonts w:ascii="Calibri" w:hAnsi="Calibri"/>
          <w:b w:val="0"/>
          <w:i w:val="0"/>
          <w:color w:val="ABB2B9"/>
          <w:sz w:val="19"/>
        </w:rPr>
        <w:t xml:space="preserve">HQ: Paris, France (acquired Energy Aspects, 2026)  |  </w:t>
      </w:r>
      <w:r>
        <w:rPr>
          <w:rFonts w:ascii="Calibri" w:hAnsi="Calibri"/>
          <w:b w:val="0"/>
          <w:i w:val="0"/>
          <w:color w:val="ABB2B9"/>
          <w:sz w:val="19"/>
        </w:rPr>
        <w:t xml:space="preserve">Stage/Type: Acquired  |  </w:t>
      </w:r>
      <w:r>
        <w:rPr>
          <w:rFonts w:ascii="Calibri" w:hAnsi="Calibri"/>
          <w:b/>
          <w:i w:val="0"/>
          <w:color w:val="ABB2B9"/>
          <w:sz w:val="19"/>
        </w:rPr>
        <w:t xml:space="preserve">Competitive Relevance: </w:t>
      </w:r>
      <w:r>
        <w:rPr>
          <w:rFonts w:ascii="Calibri" w:hAnsi="Calibri"/>
          <w:b/>
          <w:i w:val="0"/>
          <w:color w:val="1E8B4C"/>
          <w:sz w:val="19"/>
        </w:rPr>
        <w:t>High</w:t>
      </w: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0D2B4E"/>
          </w:tcPr>
          <w:p>
            <w:pPr>
              <w:jc w:val="left"/>
            </w:pPr>
            <w:r>
              <w:rPr>
                <w:rFonts w:ascii="Calibri" w:hAnsi="Calibri"/>
                <w:b/>
                <w:i w:val="0"/>
                <w:color w:val="FFFFFF"/>
                <w:sz w:val="19"/>
              </w:rPr>
              <w:t>Core Product / Service</w:t>
            </w:r>
          </w:p>
        </w:tc>
        <w:tc>
          <w:tcPr>
            <w:tcW w:type="dxa" w:w="6480"/>
            <w:shd w:val="clear" w:color="auto" w:fill="F4F6F7"/>
          </w:tcPr>
          <w:p>
            <w:r>
              <w:rPr>
                <w:rFonts w:ascii="Calibri" w:hAnsi="Calibri"/>
                <w:b w:val="0"/>
                <w:i w:val="0"/>
                <w:color w:val="17202A"/>
                <w:sz w:val="19"/>
              </w:rPr>
              <w:t>MOST RELEVANT BENCHMARK. Satellite AI for energy asset-level emissions monitoring, oil/gas storage tracking, methane detection. Used for ESG compliance and commodity finance. See full profile in Category 1.</w:t>
            </w:r>
          </w:p>
        </w:tc>
      </w:tr>
      <w:tr>
        <w:tc>
          <w:tcPr>
            <w:tcW w:type="dxa" w:w="2592"/>
            <w:shd w:val="clear" w:color="auto" w:fill="0D2B4E"/>
          </w:tcPr>
          <w:p>
            <w:pPr>
              <w:jc w:val="left"/>
            </w:pPr>
            <w:r>
              <w:rPr>
                <w:rFonts w:ascii="Calibri" w:hAnsi="Calibri"/>
                <w:b/>
                <w:i w:val="0"/>
                <w:color w:val="FFFFFF"/>
                <w:sz w:val="19"/>
              </w:rPr>
              <w:t>Target Customers</w:t>
            </w:r>
          </w:p>
        </w:tc>
        <w:tc>
          <w:tcPr>
            <w:tcW w:type="dxa" w:w="6480"/>
            <w:shd w:val="clear" w:color="auto" w:fill="F4F6F7"/>
          </w:tcPr>
          <w:p>
            <w:r>
              <w:rPr>
                <w:rFonts w:ascii="Calibri" w:hAnsi="Calibri"/>
                <w:b w:val="0"/>
                <w:i w:val="0"/>
                <w:color w:val="17202A"/>
                <w:sz w:val="19"/>
              </w:rPr>
              <w:t>Energy firms, ESG investors, regulators, traders</w:t>
            </w:r>
          </w:p>
        </w:tc>
      </w:tr>
      <w:tr>
        <w:tc>
          <w:tcPr>
            <w:tcW w:type="dxa" w:w="2592"/>
            <w:shd w:val="clear" w:color="auto" w:fill="0D2B4E"/>
          </w:tcPr>
          <w:p>
            <w:pPr>
              <w:jc w:val="left"/>
            </w:pPr>
            <w:r>
              <w:rPr>
                <w:rFonts w:ascii="Calibri" w:hAnsi="Calibri"/>
                <w:b/>
                <w:i w:val="0"/>
                <w:color w:val="FFFFFF"/>
                <w:sz w:val="19"/>
              </w:rPr>
              <w:t>Funding / Revenue</w:t>
            </w:r>
          </w:p>
        </w:tc>
        <w:tc>
          <w:tcPr>
            <w:tcW w:type="dxa" w:w="6480"/>
            <w:shd w:val="clear" w:color="auto" w:fill="F4F6F7"/>
          </w:tcPr>
          <w:p>
            <w:r>
              <w:rPr>
                <w:rFonts w:ascii="Calibri" w:hAnsi="Calibri"/>
                <w:b w:val="0"/>
                <w:i w:val="0"/>
                <w:color w:val="17202A"/>
                <w:sz w:val="19"/>
              </w:rPr>
              <w:t>~$78M raised, $20.2M revenue (2024). Acquired 2026.</w:t>
            </w:r>
          </w:p>
        </w:tc>
      </w:tr>
      <w:tr>
        <w:tc>
          <w:tcPr>
            <w:tcW w:type="dxa" w:w="2592"/>
            <w:shd w:val="clear" w:color="auto" w:fill="0D2B4E"/>
          </w:tcPr>
          <w:p>
            <w:pPr>
              <w:jc w:val="left"/>
            </w:pPr>
            <w:r>
              <w:rPr>
                <w:rFonts w:ascii="Calibri" w:hAnsi="Calibri"/>
                <w:b/>
                <w:i w:val="0"/>
                <w:color w:val="FFFFFF"/>
                <w:sz w:val="19"/>
              </w:rPr>
              <w:t>Key Differentiators</w:t>
            </w:r>
          </w:p>
        </w:tc>
        <w:tc>
          <w:tcPr>
            <w:tcW w:type="dxa" w:w="6480"/>
            <w:shd w:val="clear" w:color="auto" w:fill="F4F6F7"/>
          </w:tcPr>
          <w:p>
            <w:r>
              <w:rPr>
                <w:rFonts w:ascii="Calibri" w:hAnsi="Calibri"/>
                <w:b w:val="0"/>
                <w:i w:val="0"/>
                <w:color w:val="17202A"/>
                <w:sz w:val="19"/>
              </w:rPr>
              <w:t>• Only company that has successfully productised satellite AI into ESG/finance for energy assets</w:t>
              <w:br/>
              <w:t>• Real-time monitoring + regulatory compliance use case</w:t>
              <w:br/>
              <w:t>• Independent (non-company-reported) emissions data</w:t>
            </w:r>
          </w:p>
        </w:tc>
      </w:tr>
      <w:tr>
        <w:tc>
          <w:tcPr>
            <w:tcW w:type="dxa" w:w="2592"/>
            <w:shd w:val="clear" w:color="auto" w:fill="0D2B4E"/>
          </w:tcPr>
          <w:p>
            <w:pPr>
              <w:jc w:val="left"/>
            </w:pPr>
            <w:r>
              <w:rPr>
                <w:rFonts w:ascii="Calibri" w:hAnsi="Calibri"/>
                <w:b/>
                <w:i w:val="0"/>
                <w:color w:val="FFFFFF"/>
                <w:sz w:val="19"/>
              </w:rPr>
              <w:t>Limitations / Gaps</w:t>
            </w:r>
          </w:p>
        </w:tc>
        <w:tc>
          <w:tcPr>
            <w:tcW w:type="dxa" w:w="6480"/>
            <w:shd w:val="clear" w:color="auto" w:fill="F4F6F7"/>
          </w:tcPr>
          <w:p>
            <w:r>
              <w:rPr>
                <w:rFonts w:ascii="Calibri" w:hAnsi="Calibri"/>
                <w:b w:val="0"/>
                <w:i w:val="0"/>
                <w:color w:val="17202A"/>
                <w:sz w:val="19"/>
              </w:rPr>
              <w:t>• Energy sector only — no cross-sector asset intelligence</w:t>
              <w:br/>
              <w:t>• Post-acquisition may become captive to Energy Aspects client base</w:t>
            </w:r>
          </w:p>
        </w:tc>
      </w:tr>
    </w:tbl>
    <w:p>
      <w:pPr>
        <w:spacing w:before="0" w:after="0"/>
      </w:pPr>
      <w:r>
        <w:rPr>
          <w:sz w:val="20"/>
        </w:rPr>
      </w:r>
    </w:p>
    <w:p>
      <w:pPr>
        <w:spacing w:before="280" w:after="80"/>
      </w:pPr>
      <w:r>
        <w:rPr>
          <w:rFonts w:ascii="Calibri" w:hAnsi="Calibri"/>
          <w:b/>
          <w:color w:val="1A5C8E"/>
          <w:sz w:val="24"/>
        </w:rPr>
        <w:t>MSCI GeoSpatial Asset Intelligence</w:t>
      </w:r>
    </w:p>
    <w:p>
      <w:pPr>
        <w:spacing w:before="20" w:after="120"/>
      </w:pPr>
      <w:r>
        <w:rPr>
          <w:rFonts w:ascii="Calibri" w:hAnsi="Calibri"/>
          <w:b/>
          <w:i w:val="0"/>
          <w:color w:val="ABB2B9"/>
          <w:sz w:val="19"/>
        </w:rPr>
        <w:t xml:space="preserve">Founded: ~2023 product launch within MSCI  |  </w:t>
      </w:r>
      <w:r>
        <w:rPr>
          <w:rFonts w:ascii="Calibri" w:hAnsi="Calibri"/>
          <w:b w:val="0"/>
          <w:i w:val="0"/>
          <w:color w:val="ABB2B9"/>
          <w:sz w:val="19"/>
        </w:rPr>
        <w:t xml:space="preserve">HQ: New York, NY (MSCI division)  |  </w:t>
      </w:r>
      <w:r>
        <w:rPr>
          <w:rFonts w:ascii="Calibri" w:hAnsi="Calibri"/>
          <w:b w:val="0"/>
          <w:i w:val="0"/>
          <w:color w:val="ABB2B9"/>
          <w:sz w:val="19"/>
        </w:rPr>
        <w:t xml:space="preserve">Stage/Type: Product within Public Company (MSCI)  |  </w:t>
      </w:r>
      <w:r>
        <w:rPr>
          <w:rFonts w:ascii="Calibri" w:hAnsi="Calibri"/>
          <w:b/>
          <w:i w:val="0"/>
          <w:color w:val="ABB2B9"/>
          <w:sz w:val="19"/>
        </w:rPr>
        <w:t xml:space="preserve">Competitive Relevance: </w:t>
      </w:r>
      <w:r>
        <w:rPr>
          <w:rFonts w:ascii="Calibri" w:hAnsi="Calibri"/>
          <w:b/>
          <w:i w:val="0"/>
          <w:color w:val="1E8B4C"/>
          <w:sz w:val="19"/>
        </w:rPr>
        <w:t>High</w:t>
      </w: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0D2B4E"/>
          </w:tcPr>
          <w:p>
            <w:pPr>
              <w:jc w:val="left"/>
            </w:pPr>
            <w:r>
              <w:rPr>
                <w:rFonts w:ascii="Calibri" w:hAnsi="Calibri"/>
                <w:b/>
                <w:i w:val="0"/>
                <w:color w:val="FFFFFF"/>
                <w:sz w:val="19"/>
              </w:rPr>
              <w:t>Core Product / Service</w:t>
            </w:r>
          </w:p>
        </w:tc>
        <w:tc>
          <w:tcPr>
            <w:tcW w:type="dxa" w:w="6480"/>
            <w:shd w:val="clear" w:color="auto" w:fill="F4F6F7"/>
          </w:tcPr>
          <w:p>
            <w:r>
              <w:rPr>
                <w:rFonts w:ascii="Calibri" w:hAnsi="Calibri"/>
                <w:b w:val="0"/>
                <w:i w:val="0"/>
                <w:color w:val="17202A"/>
                <w:sz w:val="19"/>
              </w:rPr>
              <w:t>Location-based physical risk data for ~70,000 public and private companies. Maps company facility locations to nature risks and climate hazards. Enables investors and lenders to explore location-specific exposure. Recently launched dedicated GeoSpatial AI division.</w:t>
            </w:r>
          </w:p>
        </w:tc>
      </w:tr>
      <w:tr>
        <w:tc>
          <w:tcPr>
            <w:tcW w:type="dxa" w:w="2592"/>
            <w:shd w:val="clear" w:color="auto" w:fill="0D2B4E"/>
          </w:tcPr>
          <w:p>
            <w:pPr>
              <w:jc w:val="left"/>
            </w:pPr>
            <w:r>
              <w:rPr>
                <w:rFonts w:ascii="Calibri" w:hAnsi="Calibri"/>
                <w:b/>
                <w:i w:val="0"/>
                <w:color w:val="FFFFFF"/>
                <w:sz w:val="19"/>
              </w:rPr>
              <w:t>Target Customers</w:t>
            </w:r>
          </w:p>
        </w:tc>
        <w:tc>
          <w:tcPr>
            <w:tcW w:type="dxa" w:w="6480"/>
            <w:shd w:val="clear" w:color="auto" w:fill="F4F6F7"/>
          </w:tcPr>
          <w:p>
            <w:r>
              <w:rPr>
                <w:rFonts w:ascii="Calibri" w:hAnsi="Calibri"/>
                <w:b w:val="0"/>
                <w:i w:val="0"/>
                <w:color w:val="17202A"/>
                <w:sz w:val="19"/>
              </w:rPr>
              <w:t>Banks (lending risk), asset managers (portfolio), corporates (CSRD)</w:t>
            </w:r>
          </w:p>
        </w:tc>
      </w:tr>
      <w:tr>
        <w:tc>
          <w:tcPr>
            <w:tcW w:type="dxa" w:w="2592"/>
            <w:shd w:val="clear" w:color="auto" w:fill="0D2B4E"/>
          </w:tcPr>
          <w:p>
            <w:pPr>
              <w:jc w:val="left"/>
            </w:pPr>
            <w:r>
              <w:rPr>
                <w:rFonts w:ascii="Calibri" w:hAnsi="Calibri"/>
                <w:b/>
                <w:i w:val="0"/>
                <w:color w:val="FFFFFF"/>
                <w:sz w:val="19"/>
              </w:rPr>
              <w:t>Funding / Revenue</w:t>
            </w:r>
          </w:p>
        </w:tc>
        <w:tc>
          <w:tcPr>
            <w:tcW w:type="dxa" w:w="6480"/>
            <w:shd w:val="clear" w:color="auto" w:fill="F4F6F7"/>
          </w:tcPr>
          <w:p>
            <w:r>
              <w:rPr>
                <w:rFonts w:ascii="Calibri" w:hAnsi="Calibri"/>
                <w:b w:val="0"/>
                <w:i w:val="0"/>
                <w:color w:val="17202A"/>
                <w:sz w:val="19"/>
              </w:rPr>
              <w:t>Part of MSCI ($2.5B total revenue). ESG analytics +40% YoY 2024. Dedicated team hiring actively (Careers page confirms division)</w:t>
            </w:r>
          </w:p>
        </w:tc>
      </w:tr>
      <w:tr>
        <w:tc>
          <w:tcPr>
            <w:tcW w:type="dxa" w:w="2592"/>
            <w:shd w:val="clear" w:color="auto" w:fill="0D2B4E"/>
          </w:tcPr>
          <w:p>
            <w:pPr>
              <w:jc w:val="left"/>
            </w:pPr>
            <w:r>
              <w:rPr>
                <w:rFonts w:ascii="Calibri" w:hAnsi="Calibri"/>
                <w:b/>
                <w:i w:val="0"/>
                <w:color w:val="FFFFFF"/>
                <w:sz w:val="19"/>
              </w:rPr>
              <w:t>Key Differentiators</w:t>
            </w:r>
          </w:p>
        </w:tc>
        <w:tc>
          <w:tcPr>
            <w:tcW w:type="dxa" w:w="6480"/>
            <w:shd w:val="clear" w:color="auto" w:fill="F4F6F7"/>
          </w:tcPr>
          <w:p>
            <w:r>
              <w:rPr>
                <w:rFonts w:ascii="Calibri" w:hAnsi="Calibri"/>
                <w:b w:val="0"/>
                <w:i w:val="0"/>
                <w:color w:val="17202A"/>
                <w:sz w:val="19"/>
              </w:rPr>
              <w:t>• Largest financial-institution customer base for physical asset risk</w:t>
              <w:br/>
              <w:t>• Crosses into 70K private companies — beyond public markets</w:t>
              <w:br/>
              <w:t>• 70,000 companies with location-level data is unmatched at this scale</w:t>
              <w:br/>
              <w:t>• Integration into existing portfolio and risk workflows</w:t>
            </w:r>
          </w:p>
        </w:tc>
      </w:tr>
      <w:tr>
        <w:tc>
          <w:tcPr>
            <w:tcW w:type="dxa" w:w="2592"/>
            <w:shd w:val="clear" w:color="auto" w:fill="0D2B4E"/>
          </w:tcPr>
          <w:p>
            <w:pPr>
              <w:jc w:val="left"/>
            </w:pPr>
            <w:r>
              <w:rPr>
                <w:rFonts w:ascii="Calibri" w:hAnsi="Calibri"/>
                <w:b/>
                <w:i w:val="0"/>
                <w:color w:val="FFFFFF"/>
                <w:sz w:val="19"/>
              </w:rPr>
              <w:t>Limitations / Gaps</w:t>
            </w:r>
          </w:p>
        </w:tc>
        <w:tc>
          <w:tcPr>
            <w:tcW w:type="dxa" w:w="6480"/>
            <w:shd w:val="clear" w:color="auto" w:fill="F4F6F7"/>
          </w:tcPr>
          <w:p>
            <w:r>
              <w:rPr>
                <w:rFonts w:ascii="Calibri" w:hAnsi="Calibri"/>
                <w:b w:val="0"/>
                <w:i w:val="0"/>
                <w:color w:val="17202A"/>
                <w:sz w:val="19"/>
              </w:rPr>
              <w:t>• Location data is modelled/inferred, not satellite-verified</w:t>
              <w:br/>
              <w:t>• Hazard assessment is scenario-based — not operational monitoring</w:t>
              <w:br/>
              <w:t>• Does not identify unknown or undisclosed assets</w:t>
              <w:br/>
              <w:t>• Large company inertia — hard to iterate quickly vs nimble startups</w:t>
            </w:r>
          </w:p>
        </w:tc>
      </w:tr>
    </w:tbl>
    <w:p>
      <w:pPr>
        <w:spacing w:before="0" w:after="0"/>
      </w:pPr>
      <w:r>
        <w:rPr>
          <w:sz w:val="20"/>
        </w:rPr>
      </w:r>
    </w:p>
    <w:p>
      <w:pPr>
        <w:spacing w:before="280" w:after="80"/>
      </w:pPr>
      <w:r>
        <w:rPr>
          <w:rFonts w:ascii="Calibri" w:hAnsi="Calibri"/>
          <w:b/>
          <w:color w:val="1A5C8E"/>
          <w:sz w:val="24"/>
        </w:rPr>
        <w:t>Blackshark.ai</w:t>
      </w:r>
    </w:p>
    <w:p>
      <w:pPr>
        <w:spacing w:before="20" w:after="120"/>
      </w:pPr>
      <w:r>
        <w:rPr>
          <w:rFonts w:ascii="Calibri" w:hAnsi="Calibri"/>
          <w:b/>
          <w:i w:val="0"/>
          <w:color w:val="ABB2B9"/>
          <w:sz w:val="19"/>
        </w:rPr>
        <w:t xml:space="preserve">Founded: 2020  |  </w:t>
      </w:r>
      <w:r>
        <w:rPr>
          <w:rFonts w:ascii="Calibri" w:hAnsi="Calibri"/>
          <w:b w:val="0"/>
          <w:i w:val="0"/>
          <w:color w:val="ABB2B9"/>
          <w:sz w:val="19"/>
        </w:rPr>
        <w:t xml:space="preserve">HQ: Vienna, Austria  |  </w:t>
      </w:r>
      <w:r>
        <w:rPr>
          <w:rFonts w:ascii="Calibri" w:hAnsi="Calibri"/>
          <w:b w:val="0"/>
          <w:i w:val="0"/>
          <w:color w:val="ABB2B9"/>
          <w:sz w:val="19"/>
        </w:rPr>
        <w:t xml:space="preserve">Stage/Type: Growth stage  |  </w:t>
      </w:r>
      <w:r>
        <w:rPr>
          <w:rFonts w:ascii="Calibri" w:hAnsi="Calibri"/>
          <w:b/>
          <w:i w:val="0"/>
          <w:color w:val="ABB2B9"/>
          <w:sz w:val="19"/>
        </w:rPr>
        <w:t xml:space="preserve">Competitive Relevance: </w:t>
      </w:r>
      <w:r>
        <w:rPr>
          <w:rFonts w:ascii="Calibri" w:hAnsi="Calibri"/>
          <w:b/>
          <w:i w:val="0"/>
          <w:color w:val="ABB2B9"/>
          <w:sz w:val="19"/>
        </w:rPr>
        <w:t>Low</w:t>
      </w: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0D2B4E"/>
          </w:tcPr>
          <w:p>
            <w:pPr>
              <w:jc w:val="left"/>
            </w:pPr>
            <w:r>
              <w:rPr>
                <w:rFonts w:ascii="Calibri" w:hAnsi="Calibri"/>
                <w:b/>
                <w:i w:val="0"/>
                <w:color w:val="FFFFFF"/>
                <w:sz w:val="19"/>
              </w:rPr>
              <w:t>Core Product / Service</w:t>
            </w:r>
          </w:p>
        </w:tc>
        <w:tc>
          <w:tcPr>
            <w:tcW w:type="dxa" w:w="6480"/>
            <w:shd w:val="clear" w:color="auto" w:fill="F4F6F7"/>
          </w:tcPr>
          <w:p>
            <w:r>
              <w:rPr>
                <w:rFonts w:ascii="Calibri" w:hAnsi="Calibri"/>
                <w:b w:val="0"/>
                <w:i w:val="0"/>
                <w:color w:val="17202A"/>
                <w:sz w:val="19"/>
              </w:rPr>
              <w:t>Geospatial AI that extracts structured information from satellite/aerial imagery at global scale using ML. Builds a semantic 3D map of the world. Partners include Microsoft Flight Simulator; expanding to enterprise/industrial mapping.</w:t>
            </w:r>
          </w:p>
        </w:tc>
      </w:tr>
      <w:tr>
        <w:tc>
          <w:tcPr>
            <w:tcW w:type="dxa" w:w="2592"/>
            <w:shd w:val="clear" w:color="auto" w:fill="0D2B4E"/>
          </w:tcPr>
          <w:p>
            <w:pPr>
              <w:jc w:val="left"/>
            </w:pPr>
            <w:r>
              <w:rPr>
                <w:rFonts w:ascii="Calibri" w:hAnsi="Calibri"/>
                <w:b/>
                <w:i w:val="0"/>
                <w:color w:val="FFFFFF"/>
                <w:sz w:val="19"/>
              </w:rPr>
              <w:t>Target Customers</w:t>
            </w:r>
          </w:p>
        </w:tc>
        <w:tc>
          <w:tcPr>
            <w:tcW w:type="dxa" w:w="6480"/>
            <w:shd w:val="clear" w:color="auto" w:fill="F4F6F7"/>
          </w:tcPr>
          <w:p>
            <w:r>
              <w:rPr>
                <w:rFonts w:ascii="Calibri" w:hAnsi="Calibri"/>
                <w:b w:val="0"/>
                <w:i w:val="0"/>
                <w:color w:val="17202A"/>
                <w:sz w:val="19"/>
              </w:rPr>
              <w:t>Governments, infrastructure, gaming/simulation, enterprise</w:t>
            </w:r>
          </w:p>
        </w:tc>
      </w:tr>
      <w:tr>
        <w:tc>
          <w:tcPr>
            <w:tcW w:type="dxa" w:w="2592"/>
            <w:shd w:val="clear" w:color="auto" w:fill="0D2B4E"/>
          </w:tcPr>
          <w:p>
            <w:pPr>
              <w:jc w:val="left"/>
            </w:pPr>
            <w:r>
              <w:rPr>
                <w:rFonts w:ascii="Calibri" w:hAnsi="Calibri"/>
                <w:b/>
                <w:i w:val="0"/>
                <w:color w:val="FFFFFF"/>
                <w:sz w:val="19"/>
              </w:rPr>
              <w:t>Funding / Revenue</w:t>
            </w:r>
          </w:p>
        </w:tc>
        <w:tc>
          <w:tcPr>
            <w:tcW w:type="dxa" w:w="6480"/>
            <w:shd w:val="clear" w:color="auto" w:fill="F4F6F7"/>
          </w:tcPr>
          <w:p>
            <w:r>
              <w:rPr>
                <w:rFonts w:ascii="Calibri" w:hAnsi="Calibri"/>
                <w:b w:val="0"/>
                <w:i w:val="0"/>
                <w:color w:val="17202A"/>
                <w:sz w:val="19"/>
              </w:rPr>
              <w:t>Funding details not publicly disclosed.</w:t>
            </w:r>
          </w:p>
        </w:tc>
      </w:tr>
      <w:tr>
        <w:tc>
          <w:tcPr>
            <w:tcW w:type="dxa" w:w="2592"/>
            <w:shd w:val="clear" w:color="auto" w:fill="0D2B4E"/>
          </w:tcPr>
          <w:p>
            <w:pPr>
              <w:jc w:val="left"/>
            </w:pPr>
            <w:r>
              <w:rPr>
                <w:rFonts w:ascii="Calibri" w:hAnsi="Calibri"/>
                <w:b/>
                <w:i w:val="0"/>
                <w:color w:val="FFFFFF"/>
                <w:sz w:val="19"/>
              </w:rPr>
              <w:t>Key Differentiators</w:t>
            </w:r>
          </w:p>
        </w:tc>
        <w:tc>
          <w:tcPr>
            <w:tcW w:type="dxa" w:w="6480"/>
            <w:shd w:val="clear" w:color="auto" w:fill="F4F6F7"/>
          </w:tcPr>
          <w:p>
            <w:r>
              <w:rPr>
                <w:rFonts w:ascii="Calibri" w:hAnsi="Calibri"/>
                <w:b w:val="0"/>
                <w:i w:val="0"/>
                <w:color w:val="17202A"/>
                <w:sz w:val="19"/>
              </w:rPr>
              <w:t>• Global semantic extraction from satellite imagery — identifies objects/structures</w:t>
              <w:br/>
              <w:t>• Technical depth in geospatial AI</w:t>
            </w:r>
          </w:p>
        </w:tc>
      </w:tr>
      <w:tr>
        <w:tc>
          <w:tcPr>
            <w:tcW w:type="dxa" w:w="2592"/>
            <w:shd w:val="clear" w:color="auto" w:fill="0D2B4E"/>
          </w:tcPr>
          <w:p>
            <w:pPr>
              <w:jc w:val="left"/>
            </w:pPr>
            <w:r>
              <w:rPr>
                <w:rFonts w:ascii="Calibri" w:hAnsi="Calibri"/>
                <w:b/>
                <w:i w:val="0"/>
                <w:color w:val="FFFFFF"/>
                <w:sz w:val="19"/>
              </w:rPr>
              <w:t>Limitations / Gaps</w:t>
            </w:r>
          </w:p>
        </w:tc>
        <w:tc>
          <w:tcPr>
            <w:tcW w:type="dxa" w:w="6480"/>
            <w:shd w:val="clear" w:color="auto" w:fill="F4F6F7"/>
          </w:tcPr>
          <w:p>
            <w:r>
              <w:rPr>
                <w:rFonts w:ascii="Calibri" w:hAnsi="Calibri"/>
                <w:b w:val="0"/>
                <w:i w:val="0"/>
                <w:color w:val="17202A"/>
                <w:sz w:val="19"/>
              </w:rPr>
              <w:t>• Not focused on financial/ESG use cases</w:t>
              <w:br/>
              <w:t>• No monitoring/time-series asset intelligence</w:t>
            </w:r>
          </w:p>
        </w:tc>
      </w:tr>
    </w:tbl>
    <w:p>
      <w:pPr>
        <w:spacing w:before="0" w:after="0"/>
      </w:pPr>
      <w:r>
        <w:rPr>
          <w:sz w:val="20"/>
        </w:rPr>
      </w:r>
    </w:p>
    <w:p>
      <w:pPr>
        <w:spacing w:before="280" w:after="80"/>
      </w:pPr>
      <w:r>
        <w:rPr>
          <w:rFonts w:ascii="Calibri" w:hAnsi="Calibri"/>
          <w:b/>
          <w:color w:val="1A5C8E"/>
          <w:sz w:val="24"/>
        </w:rPr>
        <w:t>Cervest</w:t>
      </w:r>
    </w:p>
    <w:p>
      <w:pPr>
        <w:spacing w:before="20" w:after="120"/>
      </w:pPr>
      <w:r>
        <w:rPr>
          <w:rFonts w:ascii="Calibri" w:hAnsi="Calibri"/>
          <w:b/>
          <w:i w:val="0"/>
          <w:color w:val="ABB2B9"/>
          <w:sz w:val="19"/>
        </w:rPr>
        <w:t xml:space="preserve">Founded: 2015  |  </w:t>
      </w:r>
      <w:r>
        <w:rPr>
          <w:rFonts w:ascii="Calibri" w:hAnsi="Calibri"/>
          <w:b w:val="0"/>
          <w:i w:val="0"/>
          <w:color w:val="ABB2B9"/>
          <w:sz w:val="19"/>
        </w:rPr>
        <w:t xml:space="preserve">HQ: London, UK  |  </w:t>
      </w:r>
      <w:r>
        <w:rPr>
          <w:rFonts w:ascii="Calibri" w:hAnsi="Calibri"/>
          <w:b w:val="0"/>
          <w:i w:val="0"/>
          <w:color w:val="ABB2B9"/>
          <w:sz w:val="19"/>
        </w:rPr>
        <w:t xml:space="preserve">Stage/Type: Early-growth / restructured  |  </w:t>
      </w:r>
      <w:r>
        <w:rPr>
          <w:rFonts w:ascii="Calibri" w:hAnsi="Calibri"/>
          <w:b/>
          <w:i w:val="0"/>
          <w:color w:val="ABB2B9"/>
          <w:sz w:val="19"/>
        </w:rPr>
        <w:t xml:space="preserve">Competitive Relevance: </w:t>
      </w:r>
      <w:r>
        <w:rPr>
          <w:rFonts w:ascii="Calibri" w:hAnsi="Calibri"/>
          <w:b/>
          <w:i w:val="0"/>
          <w:color w:val="E67E22"/>
          <w:sz w:val="19"/>
        </w:rPr>
        <w:t>Medium</w:t>
      </w: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0D2B4E"/>
          </w:tcPr>
          <w:p>
            <w:pPr>
              <w:jc w:val="left"/>
            </w:pPr>
            <w:r>
              <w:rPr>
                <w:rFonts w:ascii="Calibri" w:hAnsi="Calibri"/>
                <w:b/>
                <w:i w:val="0"/>
                <w:color w:val="FFFFFF"/>
                <w:sz w:val="19"/>
              </w:rPr>
              <w:t>Core Product / Service</w:t>
            </w:r>
          </w:p>
        </w:tc>
        <w:tc>
          <w:tcPr>
            <w:tcW w:type="dxa" w:w="6480"/>
            <w:shd w:val="clear" w:color="auto" w:fill="F4F6F7"/>
          </w:tcPr>
          <w:p>
            <w:r>
              <w:rPr>
                <w:rFonts w:ascii="Calibri" w:hAnsi="Calibri"/>
                <w:b w:val="0"/>
                <w:i w:val="0"/>
                <w:color w:val="17202A"/>
                <w:sz w:val="19"/>
              </w:rPr>
              <w:t>Climate intelligence platform (EarthScan) providing AI-powered climate risk assessments for individual physical assets. Covers agriculture, infrastructure, commercial real estate. Mission: "Climate Security for global assets."</w:t>
            </w:r>
          </w:p>
        </w:tc>
      </w:tr>
      <w:tr>
        <w:tc>
          <w:tcPr>
            <w:tcW w:type="dxa" w:w="2592"/>
            <w:shd w:val="clear" w:color="auto" w:fill="0D2B4E"/>
          </w:tcPr>
          <w:p>
            <w:pPr>
              <w:jc w:val="left"/>
            </w:pPr>
            <w:r>
              <w:rPr>
                <w:rFonts w:ascii="Calibri" w:hAnsi="Calibri"/>
                <w:b/>
                <w:i w:val="0"/>
                <w:color w:val="FFFFFF"/>
                <w:sz w:val="19"/>
              </w:rPr>
              <w:t>Target Customers</w:t>
            </w:r>
          </w:p>
        </w:tc>
        <w:tc>
          <w:tcPr>
            <w:tcW w:type="dxa" w:w="6480"/>
            <w:shd w:val="clear" w:color="auto" w:fill="F4F6F7"/>
          </w:tcPr>
          <w:p>
            <w:r>
              <w:rPr>
                <w:rFonts w:ascii="Calibri" w:hAnsi="Calibri"/>
                <w:b w:val="0"/>
                <w:i w:val="0"/>
                <w:color w:val="17202A"/>
                <w:sz w:val="19"/>
              </w:rPr>
              <w:t>Corporates, insurers, financial institutions, governments</w:t>
            </w:r>
          </w:p>
        </w:tc>
      </w:tr>
      <w:tr>
        <w:tc>
          <w:tcPr>
            <w:tcW w:type="dxa" w:w="2592"/>
            <w:shd w:val="clear" w:color="auto" w:fill="0D2B4E"/>
          </w:tcPr>
          <w:p>
            <w:pPr>
              <w:jc w:val="left"/>
            </w:pPr>
            <w:r>
              <w:rPr>
                <w:rFonts w:ascii="Calibri" w:hAnsi="Calibri"/>
                <w:b/>
                <w:i w:val="0"/>
                <w:color w:val="FFFFFF"/>
                <w:sz w:val="19"/>
              </w:rPr>
              <w:t>Funding / Revenue</w:t>
            </w:r>
          </w:p>
        </w:tc>
        <w:tc>
          <w:tcPr>
            <w:tcW w:type="dxa" w:w="6480"/>
            <w:shd w:val="clear" w:color="auto" w:fill="F4F6F7"/>
          </w:tcPr>
          <w:p>
            <w:r>
              <w:rPr>
                <w:rFonts w:ascii="Calibri" w:hAnsi="Calibri"/>
                <w:b w:val="0"/>
                <w:i w:val="0"/>
                <w:color w:val="17202A"/>
                <w:sz w:val="19"/>
              </w:rPr>
              <w:t>Raised ~$30M. Company underwent restructuring; current status uncertain.</w:t>
            </w:r>
          </w:p>
        </w:tc>
      </w:tr>
      <w:tr>
        <w:tc>
          <w:tcPr>
            <w:tcW w:type="dxa" w:w="2592"/>
            <w:shd w:val="clear" w:color="auto" w:fill="0D2B4E"/>
          </w:tcPr>
          <w:p>
            <w:pPr>
              <w:jc w:val="left"/>
            </w:pPr>
            <w:r>
              <w:rPr>
                <w:rFonts w:ascii="Calibri" w:hAnsi="Calibri"/>
                <w:b/>
                <w:i w:val="0"/>
                <w:color w:val="FFFFFF"/>
                <w:sz w:val="19"/>
              </w:rPr>
              <w:t>Key Differentiators</w:t>
            </w:r>
          </w:p>
        </w:tc>
        <w:tc>
          <w:tcPr>
            <w:tcW w:type="dxa" w:w="6480"/>
            <w:shd w:val="clear" w:color="auto" w:fill="F4F6F7"/>
          </w:tcPr>
          <w:p>
            <w:r>
              <w:rPr>
                <w:rFonts w:ascii="Calibri" w:hAnsi="Calibri"/>
                <w:b w:val="0"/>
                <w:i w:val="0"/>
                <w:color w:val="17202A"/>
                <w:sz w:val="19"/>
              </w:rPr>
              <w:t>• Asset-level (not portfolio-level) climate risk — granular approach</w:t>
              <w:br/>
              <w:t>• Covers multiple asset types: agriculture, infrastructure, real estate</w:t>
              <w:br/>
              <w:t>• Strong academic/scientific backing (climate models)</w:t>
            </w:r>
          </w:p>
        </w:tc>
      </w:tr>
      <w:tr>
        <w:tc>
          <w:tcPr>
            <w:tcW w:type="dxa" w:w="2592"/>
            <w:shd w:val="clear" w:color="auto" w:fill="0D2B4E"/>
          </w:tcPr>
          <w:p>
            <w:pPr>
              <w:jc w:val="left"/>
            </w:pPr>
            <w:r>
              <w:rPr>
                <w:rFonts w:ascii="Calibri" w:hAnsi="Calibri"/>
                <w:b/>
                <w:i w:val="0"/>
                <w:color w:val="FFFFFF"/>
                <w:sz w:val="19"/>
              </w:rPr>
              <w:t>Limitations / Gaps</w:t>
            </w:r>
          </w:p>
        </w:tc>
        <w:tc>
          <w:tcPr>
            <w:tcW w:type="dxa" w:w="6480"/>
            <w:shd w:val="clear" w:color="auto" w:fill="F4F6F7"/>
          </w:tcPr>
          <w:p>
            <w:r>
              <w:rPr>
                <w:rFonts w:ascii="Calibri" w:hAnsi="Calibri"/>
                <w:b w:val="0"/>
                <w:i w:val="0"/>
                <w:color w:val="17202A"/>
                <w:sz w:val="19"/>
              </w:rPr>
              <w:t>• Company has faced funding challenges and restructuring</w:t>
              <w:br/>
              <w:t>• Limited real-time satellite monitoring — primarily modelled risk</w:t>
              <w:br/>
              <w:t>• Small team and limited commercial traction publicly visible</w:t>
            </w:r>
          </w:p>
        </w:tc>
      </w:tr>
    </w:tbl>
    <w:p>
      <w:pPr>
        <w:spacing w:before="0" w:after="0"/>
      </w:pPr>
      <w:r>
        <w:rPr>
          <w:sz w:val="20"/>
        </w:rPr>
      </w:r>
    </w:p>
    <w:p>
      <w:pPr>
        <w:spacing w:before="280" w:after="80"/>
      </w:pPr>
      <w:r>
        <w:rPr>
          <w:rFonts w:ascii="Calibri" w:hAnsi="Calibri"/>
          <w:b/>
          <w:color w:val="1A5C8E"/>
          <w:sz w:val="24"/>
        </w:rPr>
        <w:t>Orbital Sidekick</w:t>
      </w:r>
    </w:p>
    <w:p>
      <w:pPr>
        <w:spacing w:before="20" w:after="120"/>
      </w:pPr>
      <w:r>
        <w:rPr>
          <w:rFonts w:ascii="Calibri" w:hAnsi="Calibri"/>
          <w:b/>
          <w:i w:val="0"/>
          <w:color w:val="ABB2B9"/>
          <w:sz w:val="19"/>
        </w:rPr>
        <w:t xml:space="preserve">Founded: 2016  |  </w:t>
      </w:r>
      <w:r>
        <w:rPr>
          <w:rFonts w:ascii="Calibri" w:hAnsi="Calibri"/>
          <w:b w:val="0"/>
          <w:i w:val="0"/>
          <w:color w:val="ABB2B9"/>
          <w:sz w:val="19"/>
        </w:rPr>
        <w:t xml:space="preserve">HQ: San Francisco, CA  |  </w:t>
      </w:r>
      <w:r>
        <w:rPr>
          <w:rFonts w:ascii="Calibri" w:hAnsi="Calibri"/>
          <w:b w:val="0"/>
          <w:i w:val="0"/>
          <w:color w:val="ABB2B9"/>
          <w:sz w:val="19"/>
        </w:rPr>
        <w:t xml:space="preserve">Stage/Type: Growth stage  |  </w:t>
      </w:r>
      <w:r>
        <w:rPr>
          <w:rFonts w:ascii="Calibri" w:hAnsi="Calibri"/>
          <w:b/>
          <w:i w:val="0"/>
          <w:color w:val="ABB2B9"/>
          <w:sz w:val="19"/>
        </w:rPr>
        <w:t xml:space="preserve">Competitive Relevance: </w:t>
      </w:r>
      <w:r>
        <w:rPr>
          <w:rFonts w:ascii="Calibri" w:hAnsi="Calibri"/>
          <w:b/>
          <w:i w:val="0"/>
          <w:color w:val="E67E22"/>
          <w:sz w:val="19"/>
        </w:rPr>
        <w:t>Medium</w:t>
      </w: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0D2B4E"/>
          </w:tcPr>
          <w:p>
            <w:pPr>
              <w:jc w:val="left"/>
            </w:pPr>
            <w:r>
              <w:rPr>
                <w:rFonts w:ascii="Calibri" w:hAnsi="Calibri"/>
                <w:b/>
                <w:i w:val="0"/>
                <w:color w:val="FFFFFF"/>
                <w:sz w:val="19"/>
              </w:rPr>
              <w:t>Core Product / Service</w:t>
            </w:r>
          </w:p>
        </w:tc>
        <w:tc>
          <w:tcPr>
            <w:tcW w:type="dxa" w:w="6480"/>
            <w:shd w:val="clear" w:color="auto" w:fill="F4F6F7"/>
          </w:tcPr>
          <w:p>
            <w:r>
              <w:rPr>
                <w:rFonts w:ascii="Calibri" w:hAnsi="Calibri"/>
                <w:b w:val="0"/>
                <w:i w:val="0"/>
                <w:color w:val="17202A"/>
                <w:sz w:val="19"/>
              </w:rPr>
              <w:t>Hyperspectral satellite analytics for oil &amp; gas, mining, and industrial asset monitoring. GHOSt constellation provides molecular-level detection of hydrocarbons, methane, minerals from space. Key use cases: pipeline leak detection, mine tailings, spill monitoring.</w:t>
            </w:r>
          </w:p>
        </w:tc>
      </w:tr>
      <w:tr>
        <w:tc>
          <w:tcPr>
            <w:tcW w:type="dxa" w:w="2592"/>
            <w:shd w:val="clear" w:color="auto" w:fill="0D2B4E"/>
          </w:tcPr>
          <w:p>
            <w:pPr>
              <w:jc w:val="left"/>
            </w:pPr>
            <w:r>
              <w:rPr>
                <w:rFonts w:ascii="Calibri" w:hAnsi="Calibri"/>
                <w:b/>
                <w:i w:val="0"/>
                <w:color w:val="FFFFFF"/>
                <w:sz w:val="19"/>
              </w:rPr>
              <w:t>Target Customers</w:t>
            </w:r>
          </w:p>
        </w:tc>
        <w:tc>
          <w:tcPr>
            <w:tcW w:type="dxa" w:w="6480"/>
            <w:shd w:val="clear" w:color="auto" w:fill="F4F6F7"/>
          </w:tcPr>
          <w:p>
            <w:r>
              <w:rPr>
                <w:rFonts w:ascii="Calibri" w:hAnsi="Calibri"/>
                <w:b w:val="0"/>
                <w:i w:val="0"/>
                <w:color w:val="17202A"/>
                <w:sz w:val="19"/>
              </w:rPr>
              <w:t>Oil &amp; gas operators, mining companies, environmental regulators</w:t>
            </w:r>
          </w:p>
        </w:tc>
      </w:tr>
      <w:tr>
        <w:tc>
          <w:tcPr>
            <w:tcW w:type="dxa" w:w="2592"/>
            <w:shd w:val="clear" w:color="auto" w:fill="0D2B4E"/>
          </w:tcPr>
          <w:p>
            <w:pPr>
              <w:jc w:val="left"/>
            </w:pPr>
            <w:r>
              <w:rPr>
                <w:rFonts w:ascii="Calibri" w:hAnsi="Calibri"/>
                <w:b/>
                <w:i w:val="0"/>
                <w:color w:val="FFFFFF"/>
                <w:sz w:val="19"/>
              </w:rPr>
              <w:t>Funding / Revenue</w:t>
            </w:r>
          </w:p>
        </w:tc>
        <w:tc>
          <w:tcPr>
            <w:tcW w:type="dxa" w:w="6480"/>
            <w:shd w:val="clear" w:color="auto" w:fill="F4F6F7"/>
          </w:tcPr>
          <w:p>
            <w:r>
              <w:rPr>
                <w:rFonts w:ascii="Calibri" w:hAnsi="Calibri"/>
                <w:b w:val="0"/>
                <w:i w:val="0"/>
                <w:color w:val="17202A"/>
                <w:sz w:val="19"/>
              </w:rPr>
              <w:t>Raised ~$20-25M. Strategic investors include SK Telecom.</w:t>
            </w:r>
          </w:p>
        </w:tc>
      </w:tr>
      <w:tr>
        <w:tc>
          <w:tcPr>
            <w:tcW w:type="dxa" w:w="2592"/>
            <w:shd w:val="clear" w:color="auto" w:fill="0D2B4E"/>
          </w:tcPr>
          <w:p>
            <w:pPr>
              <w:jc w:val="left"/>
            </w:pPr>
            <w:r>
              <w:rPr>
                <w:rFonts w:ascii="Calibri" w:hAnsi="Calibri"/>
                <w:b/>
                <w:i w:val="0"/>
                <w:color w:val="FFFFFF"/>
                <w:sz w:val="19"/>
              </w:rPr>
              <w:t>Key Differentiators</w:t>
            </w:r>
          </w:p>
        </w:tc>
        <w:tc>
          <w:tcPr>
            <w:tcW w:type="dxa" w:w="6480"/>
            <w:shd w:val="clear" w:color="auto" w:fill="F4F6F7"/>
          </w:tcPr>
          <w:p>
            <w:r>
              <w:rPr>
                <w:rFonts w:ascii="Calibri" w:hAnsi="Calibri"/>
                <w:b w:val="0"/>
                <w:i w:val="0"/>
                <w:color w:val="17202A"/>
                <w:sz w:val="19"/>
              </w:rPr>
              <w:t>• Hyperspectral = chemical/molecular detection from space — unique capability</w:t>
              <w:br/>
              <w:t>• Identifies specific substances (methane, hydrocarbons, minerals) vs optical/SAR</w:t>
              <w:br/>
              <w:t>• Direct ESG compliance use case for industrial operators</w:t>
            </w:r>
          </w:p>
        </w:tc>
      </w:tr>
      <w:tr>
        <w:tc>
          <w:tcPr>
            <w:tcW w:type="dxa" w:w="2592"/>
            <w:shd w:val="clear" w:color="auto" w:fill="0D2B4E"/>
          </w:tcPr>
          <w:p>
            <w:pPr>
              <w:jc w:val="left"/>
            </w:pPr>
            <w:r>
              <w:rPr>
                <w:rFonts w:ascii="Calibri" w:hAnsi="Calibri"/>
                <w:b/>
                <w:i w:val="0"/>
                <w:color w:val="FFFFFF"/>
                <w:sz w:val="19"/>
              </w:rPr>
              <w:t>Limitations / Gaps</w:t>
            </w:r>
          </w:p>
        </w:tc>
        <w:tc>
          <w:tcPr>
            <w:tcW w:type="dxa" w:w="6480"/>
            <w:shd w:val="clear" w:color="auto" w:fill="F4F6F7"/>
          </w:tcPr>
          <w:p>
            <w:r>
              <w:rPr>
                <w:rFonts w:ascii="Calibri" w:hAnsi="Calibri"/>
                <w:b w:val="0"/>
                <w:i w:val="0"/>
                <w:color w:val="17202A"/>
                <w:sz w:val="19"/>
              </w:rPr>
              <w:t>• Very small constellation — limited revisit frequency</w:t>
              <w:br/>
              <w:t>• Narrow sector coverage (oil/gas, mining)</w:t>
              <w:br/>
              <w:t>• Not yet productised for financial analytics or ESG ratings</w:t>
            </w:r>
          </w:p>
        </w:tc>
      </w:tr>
    </w:tbl>
    <w:p>
      <w:pPr>
        <w:spacing w:before="0" w:after="0"/>
      </w:pPr>
      <w:r>
        <w:rPr>
          <w:sz w:val="20"/>
        </w:rPr>
      </w:r>
    </w:p>
    <w:p>
      <w:pPr>
        <w:spacing w:before="280" w:after="80"/>
      </w:pPr>
      <w:r>
        <w:rPr>
          <w:rFonts w:ascii="Calibri" w:hAnsi="Calibri"/>
          <w:b/>
          <w:color w:val="1A5C8E"/>
          <w:sz w:val="24"/>
        </w:rPr>
        <w:t>Plume (YC W25)</w:t>
      </w:r>
    </w:p>
    <w:p>
      <w:pPr>
        <w:spacing w:before="20" w:after="120"/>
      </w:pPr>
      <w:r>
        <w:rPr>
          <w:rFonts w:ascii="Calibri" w:hAnsi="Calibri"/>
          <w:b/>
          <w:i w:val="0"/>
          <w:color w:val="ABB2B9"/>
          <w:sz w:val="19"/>
        </w:rPr>
        <w:t xml:space="preserve">Founded: 2024  |  </w:t>
      </w:r>
      <w:r>
        <w:rPr>
          <w:rFonts w:ascii="Calibri" w:hAnsi="Calibri"/>
          <w:b w:val="0"/>
          <w:i w:val="0"/>
          <w:color w:val="ABB2B9"/>
          <w:sz w:val="19"/>
        </w:rPr>
        <w:t xml:space="preserve">HQ: Paris, France / San Francisco, CA  |  </w:t>
      </w:r>
      <w:r>
        <w:rPr>
          <w:rFonts w:ascii="Calibri" w:hAnsi="Calibri"/>
          <w:b w:val="0"/>
          <w:i w:val="0"/>
          <w:color w:val="ABB2B9"/>
          <w:sz w:val="19"/>
        </w:rPr>
        <w:t xml:space="preserve">Stage/Type: Seed (YC W25)  |  </w:t>
      </w:r>
      <w:r>
        <w:rPr>
          <w:rFonts w:ascii="Calibri" w:hAnsi="Calibri"/>
          <w:b/>
          <w:i w:val="0"/>
          <w:color w:val="ABB2B9"/>
          <w:sz w:val="19"/>
        </w:rPr>
        <w:t xml:space="preserve">Competitive Relevance: </w:t>
      </w:r>
      <w:r>
        <w:rPr>
          <w:rFonts w:ascii="Calibri" w:hAnsi="Calibri"/>
          <w:b/>
          <w:i w:val="0"/>
          <w:color w:val="E67E22"/>
          <w:sz w:val="19"/>
        </w:rPr>
        <w:t>Medium</w:t>
      </w: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0D2B4E"/>
          </w:tcPr>
          <w:p>
            <w:pPr>
              <w:jc w:val="left"/>
            </w:pPr>
            <w:r>
              <w:rPr>
                <w:rFonts w:ascii="Calibri" w:hAnsi="Calibri"/>
                <w:b/>
                <w:i w:val="0"/>
                <w:color w:val="FFFFFF"/>
                <w:sz w:val="19"/>
              </w:rPr>
              <w:t>Core Product / Service</w:t>
            </w:r>
          </w:p>
        </w:tc>
        <w:tc>
          <w:tcPr>
            <w:tcW w:type="dxa" w:w="6480"/>
            <w:shd w:val="clear" w:color="auto" w:fill="F4F6F7"/>
          </w:tcPr>
          <w:p>
            <w:r>
              <w:rPr>
                <w:rFonts w:ascii="Calibri" w:hAnsi="Calibri"/>
                <w:b w:val="0"/>
                <w:i w:val="0"/>
                <w:color w:val="17202A"/>
                <w:sz w:val="19"/>
              </w:rPr>
              <w:t>AI-powered geospatial platform for energy infrastructure site selection. Aggregates 150+ geographic datasets and AI agents to analyse documents, speed up permit processing and grid connection applications for renewable energy projects.</w:t>
            </w:r>
          </w:p>
        </w:tc>
      </w:tr>
      <w:tr>
        <w:tc>
          <w:tcPr>
            <w:tcW w:type="dxa" w:w="2592"/>
            <w:shd w:val="clear" w:color="auto" w:fill="0D2B4E"/>
          </w:tcPr>
          <w:p>
            <w:pPr>
              <w:jc w:val="left"/>
            </w:pPr>
            <w:r>
              <w:rPr>
                <w:rFonts w:ascii="Calibri" w:hAnsi="Calibri"/>
                <w:b/>
                <w:i w:val="0"/>
                <w:color w:val="FFFFFF"/>
                <w:sz w:val="19"/>
              </w:rPr>
              <w:t>Target Customers</w:t>
            </w:r>
          </w:p>
        </w:tc>
        <w:tc>
          <w:tcPr>
            <w:tcW w:type="dxa" w:w="6480"/>
            <w:shd w:val="clear" w:color="auto" w:fill="F4F6F7"/>
          </w:tcPr>
          <w:p>
            <w:r>
              <w:rPr>
                <w:rFonts w:ascii="Calibri" w:hAnsi="Calibri"/>
                <w:b w:val="0"/>
                <w:i w:val="0"/>
                <w:color w:val="17202A"/>
                <w:sz w:val="19"/>
              </w:rPr>
              <w:t>Renewable energy developers, infrastructure investors</w:t>
            </w:r>
          </w:p>
        </w:tc>
      </w:tr>
      <w:tr>
        <w:tc>
          <w:tcPr>
            <w:tcW w:type="dxa" w:w="2592"/>
            <w:shd w:val="clear" w:color="auto" w:fill="0D2B4E"/>
          </w:tcPr>
          <w:p>
            <w:pPr>
              <w:jc w:val="left"/>
            </w:pPr>
            <w:r>
              <w:rPr>
                <w:rFonts w:ascii="Calibri" w:hAnsi="Calibri"/>
                <w:b/>
                <w:i w:val="0"/>
                <w:color w:val="FFFFFF"/>
                <w:sz w:val="19"/>
              </w:rPr>
              <w:t>Funding / Revenue</w:t>
            </w:r>
          </w:p>
        </w:tc>
        <w:tc>
          <w:tcPr>
            <w:tcW w:type="dxa" w:w="6480"/>
            <w:shd w:val="clear" w:color="auto" w:fill="F4F6F7"/>
          </w:tcPr>
          <w:p>
            <w:r>
              <w:rPr>
                <w:rFonts w:ascii="Calibri" w:hAnsi="Calibri"/>
                <w:b w:val="0"/>
                <w:i w:val="0"/>
                <w:color w:val="17202A"/>
                <w:sz w:val="19"/>
              </w:rPr>
              <w:t>Raised €3.3M (April 2026). Y Combinator W25 cohort. Founded by ex-Palantir and ex-Harvard AI/geospatial researchers.</w:t>
            </w:r>
          </w:p>
        </w:tc>
      </w:tr>
      <w:tr>
        <w:tc>
          <w:tcPr>
            <w:tcW w:type="dxa" w:w="2592"/>
            <w:shd w:val="clear" w:color="auto" w:fill="0D2B4E"/>
          </w:tcPr>
          <w:p>
            <w:pPr>
              <w:jc w:val="left"/>
            </w:pPr>
            <w:r>
              <w:rPr>
                <w:rFonts w:ascii="Calibri" w:hAnsi="Calibri"/>
                <w:b/>
                <w:i w:val="0"/>
                <w:color w:val="FFFFFF"/>
                <w:sz w:val="19"/>
              </w:rPr>
              <w:t>Key Differentiators</w:t>
            </w:r>
          </w:p>
        </w:tc>
        <w:tc>
          <w:tcPr>
            <w:tcW w:type="dxa" w:w="6480"/>
            <w:shd w:val="clear" w:color="auto" w:fill="F4F6F7"/>
          </w:tcPr>
          <w:p>
            <w:r>
              <w:rPr>
                <w:rFonts w:ascii="Calibri" w:hAnsi="Calibri"/>
                <w:b w:val="0"/>
                <w:i w:val="0"/>
                <w:color w:val="17202A"/>
                <w:sz w:val="19"/>
              </w:rPr>
              <w:t>• AI agents for unstructured regulatory/permit documents — novel approach</w:t>
              <w:br/>
              <w:t>• 150+ live geographic datasets integrated</w:t>
              <w:br/>
              <w:t>• YC-backed with Palantir geospatial pedigree</w:t>
            </w:r>
          </w:p>
        </w:tc>
      </w:tr>
      <w:tr>
        <w:tc>
          <w:tcPr>
            <w:tcW w:type="dxa" w:w="2592"/>
            <w:shd w:val="clear" w:color="auto" w:fill="0D2B4E"/>
          </w:tcPr>
          <w:p>
            <w:pPr>
              <w:jc w:val="left"/>
            </w:pPr>
            <w:r>
              <w:rPr>
                <w:rFonts w:ascii="Calibri" w:hAnsi="Calibri"/>
                <w:b/>
                <w:i w:val="0"/>
                <w:color w:val="FFFFFF"/>
                <w:sz w:val="19"/>
              </w:rPr>
              <w:t>Limitations / Gaps</w:t>
            </w:r>
          </w:p>
        </w:tc>
        <w:tc>
          <w:tcPr>
            <w:tcW w:type="dxa" w:w="6480"/>
            <w:shd w:val="clear" w:color="auto" w:fill="F4F6F7"/>
          </w:tcPr>
          <w:p>
            <w:r>
              <w:rPr>
                <w:rFonts w:ascii="Calibri" w:hAnsi="Calibri"/>
                <w:b w:val="0"/>
                <w:i w:val="0"/>
                <w:color w:val="17202A"/>
                <w:sz w:val="19"/>
              </w:rPr>
              <w:t>• Very early stage — site selection only, not ongoing monitoring</w:t>
              <w:br/>
              <w:t>• Renewable energy niche — not broad physical asset intelligence</w:t>
              <w:br/>
              <w:t>• No revenue or customer traction publicly disclosed</w:t>
            </w:r>
          </w:p>
        </w:tc>
      </w:tr>
    </w:tbl>
    <w:p>
      <w:pPr>
        <w:spacing w:before="0" w:after="0"/>
      </w:pPr>
      <w:r>
        <w:rPr>
          <w:sz w:val="20"/>
        </w:rPr>
      </w:r>
    </w:p>
    <w:p>
      <w:pPr>
        <w:spacing w:before="280" w:after="80"/>
      </w:pPr>
      <w:r>
        <w:rPr>
          <w:rFonts w:ascii="Calibri" w:hAnsi="Calibri"/>
          <w:b/>
          <w:color w:val="1A5C8E"/>
          <w:sz w:val="24"/>
        </w:rPr>
        <w:t>RS Metrics</w:t>
      </w:r>
    </w:p>
    <w:p>
      <w:pPr>
        <w:spacing w:before="20" w:after="120"/>
      </w:pPr>
      <w:r>
        <w:rPr>
          <w:rFonts w:ascii="Calibri" w:hAnsi="Calibri"/>
          <w:b/>
          <w:i w:val="0"/>
          <w:color w:val="ABB2B9"/>
          <w:sz w:val="19"/>
        </w:rPr>
        <w:t xml:space="preserve">Founded: 2011  |  </w:t>
      </w:r>
      <w:r>
        <w:rPr>
          <w:rFonts w:ascii="Calibri" w:hAnsi="Calibri"/>
          <w:b w:val="0"/>
          <w:i w:val="0"/>
          <w:color w:val="ABB2B9"/>
          <w:sz w:val="19"/>
        </w:rPr>
        <w:t xml:space="preserve">HQ: Bethesda, MD  |  </w:t>
      </w:r>
      <w:r>
        <w:rPr>
          <w:rFonts w:ascii="Calibri" w:hAnsi="Calibri"/>
          <w:b w:val="0"/>
          <w:i w:val="0"/>
          <w:color w:val="ABB2B9"/>
          <w:sz w:val="19"/>
        </w:rPr>
        <w:t xml:space="preserve">Stage/Type: Private / bootstrapped  |  </w:t>
      </w:r>
      <w:r>
        <w:rPr>
          <w:rFonts w:ascii="Calibri" w:hAnsi="Calibri"/>
          <w:b/>
          <w:i w:val="0"/>
          <w:color w:val="ABB2B9"/>
          <w:sz w:val="19"/>
        </w:rPr>
        <w:t xml:space="preserve">Competitive Relevance: </w:t>
      </w:r>
      <w:r>
        <w:rPr>
          <w:rFonts w:ascii="Calibri" w:hAnsi="Calibri"/>
          <w:b/>
          <w:i w:val="0"/>
          <w:color w:val="E67E22"/>
          <w:sz w:val="19"/>
        </w:rPr>
        <w:t>Medium</w:t>
      </w: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0D2B4E"/>
          </w:tcPr>
          <w:p>
            <w:pPr>
              <w:jc w:val="left"/>
            </w:pPr>
            <w:r>
              <w:rPr>
                <w:rFonts w:ascii="Calibri" w:hAnsi="Calibri"/>
                <w:b/>
                <w:i w:val="0"/>
                <w:color w:val="FFFFFF"/>
                <w:sz w:val="19"/>
              </w:rPr>
              <w:t>Core Product / Service</w:t>
            </w:r>
          </w:p>
        </w:tc>
        <w:tc>
          <w:tcPr>
            <w:tcW w:type="dxa" w:w="6480"/>
            <w:shd w:val="clear" w:color="auto" w:fill="F4F6F7"/>
          </w:tcPr>
          <w:p>
            <w:r>
              <w:rPr>
                <w:rFonts w:ascii="Calibri" w:hAnsi="Calibri"/>
                <w:b w:val="0"/>
                <w:i w:val="0"/>
                <w:color w:val="17202A"/>
                <w:sz w:val="19"/>
              </w:rPr>
              <w:t>Satellite-derived alternative data for financial markets. Products: MetalSignals (aluminium/steel production from space), RetailSignals (parking lot activity / foot traffic), Commodities Intelligence. Used by hedge funds and commodity traders for alpha generation.</w:t>
            </w:r>
          </w:p>
        </w:tc>
      </w:tr>
      <w:tr>
        <w:tc>
          <w:tcPr>
            <w:tcW w:type="dxa" w:w="2592"/>
            <w:shd w:val="clear" w:color="auto" w:fill="0D2B4E"/>
          </w:tcPr>
          <w:p>
            <w:pPr>
              <w:jc w:val="left"/>
            </w:pPr>
            <w:r>
              <w:rPr>
                <w:rFonts w:ascii="Calibri" w:hAnsi="Calibri"/>
                <w:b/>
                <w:i w:val="0"/>
                <w:color w:val="FFFFFF"/>
                <w:sz w:val="19"/>
              </w:rPr>
              <w:t>Target Customers</w:t>
            </w:r>
          </w:p>
        </w:tc>
        <w:tc>
          <w:tcPr>
            <w:tcW w:type="dxa" w:w="6480"/>
            <w:shd w:val="clear" w:color="auto" w:fill="F4F6F7"/>
          </w:tcPr>
          <w:p>
            <w:r>
              <w:rPr>
                <w:rFonts w:ascii="Calibri" w:hAnsi="Calibri"/>
                <w:b w:val="0"/>
                <w:i w:val="0"/>
                <w:color w:val="17202A"/>
                <w:sz w:val="19"/>
              </w:rPr>
              <w:t>Hedge funds, quant investors, commodity traders</w:t>
            </w:r>
          </w:p>
        </w:tc>
      </w:tr>
      <w:tr>
        <w:tc>
          <w:tcPr>
            <w:tcW w:type="dxa" w:w="2592"/>
            <w:shd w:val="clear" w:color="auto" w:fill="0D2B4E"/>
          </w:tcPr>
          <w:p>
            <w:pPr>
              <w:jc w:val="left"/>
            </w:pPr>
            <w:r>
              <w:rPr>
                <w:rFonts w:ascii="Calibri" w:hAnsi="Calibri"/>
                <w:b/>
                <w:i w:val="0"/>
                <w:color w:val="FFFFFF"/>
                <w:sz w:val="19"/>
              </w:rPr>
              <w:t>Funding / Revenue</w:t>
            </w:r>
          </w:p>
        </w:tc>
        <w:tc>
          <w:tcPr>
            <w:tcW w:type="dxa" w:w="6480"/>
            <w:shd w:val="clear" w:color="auto" w:fill="F4F6F7"/>
          </w:tcPr>
          <w:p>
            <w:r>
              <w:rPr>
                <w:rFonts w:ascii="Calibri" w:hAnsi="Calibri"/>
                <w:b w:val="0"/>
                <w:i w:val="0"/>
                <w:color w:val="17202A"/>
                <w:sz w:val="19"/>
              </w:rPr>
              <w:t>Revenue and funding not publicly disclosed. Bootstrapped/profitable niche.</w:t>
            </w:r>
          </w:p>
        </w:tc>
      </w:tr>
      <w:tr>
        <w:tc>
          <w:tcPr>
            <w:tcW w:type="dxa" w:w="2592"/>
            <w:shd w:val="clear" w:color="auto" w:fill="0D2B4E"/>
          </w:tcPr>
          <w:p>
            <w:pPr>
              <w:jc w:val="left"/>
            </w:pPr>
            <w:r>
              <w:rPr>
                <w:rFonts w:ascii="Calibri" w:hAnsi="Calibri"/>
                <w:b/>
                <w:i w:val="0"/>
                <w:color w:val="FFFFFF"/>
                <w:sz w:val="19"/>
              </w:rPr>
              <w:t>Key Differentiators</w:t>
            </w:r>
          </w:p>
        </w:tc>
        <w:tc>
          <w:tcPr>
            <w:tcW w:type="dxa" w:w="6480"/>
            <w:shd w:val="clear" w:color="auto" w:fill="F4F6F7"/>
          </w:tcPr>
          <w:p>
            <w:r>
              <w:rPr>
                <w:rFonts w:ascii="Calibri" w:hAnsi="Calibri"/>
                <w:b w:val="0"/>
                <w:i w:val="0"/>
                <w:color w:val="17202A"/>
                <w:sz w:val="19"/>
              </w:rPr>
              <w:t>• Proven product-market fit with quantitative hedge funds</w:t>
              <w:br/>
              <w:t>• MetalSignals — industrial production intelligence from satellite</w:t>
              <w:br/>
              <w:t>• Long track record (14+ years) — data history for backtesting</w:t>
            </w:r>
          </w:p>
        </w:tc>
      </w:tr>
      <w:tr>
        <w:tc>
          <w:tcPr>
            <w:tcW w:type="dxa" w:w="2592"/>
            <w:shd w:val="clear" w:color="auto" w:fill="0D2B4E"/>
          </w:tcPr>
          <w:p>
            <w:pPr>
              <w:jc w:val="left"/>
            </w:pPr>
            <w:r>
              <w:rPr>
                <w:rFonts w:ascii="Calibri" w:hAnsi="Calibri"/>
                <w:b/>
                <w:i w:val="0"/>
                <w:color w:val="FFFFFF"/>
                <w:sz w:val="19"/>
              </w:rPr>
              <w:t>Limitations / Gaps</w:t>
            </w:r>
          </w:p>
        </w:tc>
        <w:tc>
          <w:tcPr>
            <w:tcW w:type="dxa" w:w="6480"/>
            <w:shd w:val="clear" w:color="auto" w:fill="F4F6F7"/>
          </w:tcPr>
          <w:p>
            <w:r>
              <w:rPr>
                <w:rFonts w:ascii="Calibri" w:hAnsi="Calibri"/>
                <w:b w:val="0"/>
                <w:i w:val="0"/>
                <w:color w:val="17202A"/>
                <w:sz w:val="19"/>
              </w:rPr>
              <w:t>• Very niche — financial alpha, not ESG or operational intelligence</w:t>
              <w:br/>
              <w:t>• No ESG, regulatory, or risk management products</w:t>
              <w:br/>
              <w:t>• Limited geographic coverage (US-centric)</w:t>
              <w:br/>
              <w:t>• Not designed for large-scale or cross-sector asset intelligence</w:t>
            </w:r>
          </w:p>
        </w:tc>
      </w:tr>
    </w:tbl>
    <w:p>
      <w:pPr>
        <w:spacing w:before="0" w:after="0"/>
      </w:pPr>
      <w:r>
        <w:rPr>
          <w:sz w:val="20"/>
        </w:rPr>
      </w:r>
    </w:p>
    <w:p>
      <w:r>
        <w:br w:type="page"/>
      </w:r>
    </w:p>
    <w:p>
      <w:pPr>
        <w:spacing w:before="280" w:after="80"/>
        <w:pBdr>
          <w:bottom w:val="single" w:sz="6" w:space="1" w:color="2E86C1"/>
        </w:pBdr>
      </w:pPr>
      <w:r>
        <w:rPr>
          <w:rFonts w:ascii="Calibri" w:hAnsi="Calibri"/>
          <w:b/>
          <w:color w:val="0D2B4E"/>
          <w:sz w:val="30"/>
        </w:rPr>
        <w:t>COMPETITIVE POSITIONING MATRIX</w:t>
      </w:r>
    </w:p>
    <w:p>
      <w:pPr>
        <w:spacing w:before="40" w:after="160"/>
      </w:pPr>
      <w:r>
        <w:rPr>
          <w:rFonts w:ascii="Calibri" w:hAnsi="Calibri"/>
          <w:b w:val="0"/>
          <w:i/>
          <w:color w:val="ABB2B9"/>
          <w:sz w:val="20"/>
        </w:rPr>
        <w:t>The matrix below compares key players across six dimensions critical to the GeoAsset Intelligence value proposition. Scores: H = High capability / strength, M = Medium, L = Low / absent.</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0D2B4E"/>
          </w:tcPr>
          <w:p>
            <w:pPr>
              <w:jc w:val="center"/>
            </w:pPr>
            <w:r>
              <w:rPr>
                <w:rFonts w:ascii="Calibri" w:hAnsi="Calibri"/>
                <w:b/>
                <w:i w:val="0"/>
                <w:color w:val="FFFFFF"/>
                <w:sz w:val="16"/>
              </w:rPr>
              <w:t>Company</w:t>
            </w:r>
          </w:p>
        </w:tc>
        <w:tc>
          <w:tcPr>
            <w:tcW w:type="dxa" w:w="1337"/>
            <w:shd w:val="clear" w:color="auto" w:fill="0D2B4E"/>
          </w:tcPr>
          <w:p>
            <w:pPr>
              <w:jc w:val="center"/>
            </w:pPr>
            <w:r>
              <w:rPr>
                <w:rFonts w:ascii="Calibri" w:hAnsi="Calibri"/>
                <w:b/>
                <w:i w:val="0"/>
                <w:color w:val="FFFFFF"/>
                <w:sz w:val="16"/>
              </w:rPr>
              <w:t>Satellite</w:t>
              <w:br/>
              <w:t>Monitoring</w:t>
            </w:r>
          </w:p>
        </w:tc>
        <w:tc>
          <w:tcPr>
            <w:tcW w:type="dxa" w:w="1337"/>
            <w:shd w:val="clear" w:color="auto" w:fill="0D2B4E"/>
          </w:tcPr>
          <w:p>
            <w:pPr>
              <w:jc w:val="center"/>
            </w:pPr>
            <w:r>
              <w:rPr>
                <w:rFonts w:ascii="Calibri" w:hAnsi="Calibri"/>
                <w:b/>
                <w:i w:val="0"/>
                <w:color w:val="FFFFFF"/>
                <w:sz w:val="16"/>
              </w:rPr>
              <w:t>AI Analytics</w:t>
            </w:r>
          </w:p>
        </w:tc>
        <w:tc>
          <w:tcPr>
            <w:tcW w:type="dxa" w:w="1337"/>
            <w:shd w:val="clear" w:color="auto" w:fill="0D2B4E"/>
          </w:tcPr>
          <w:p>
            <w:pPr>
              <w:jc w:val="center"/>
            </w:pPr>
            <w:r>
              <w:rPr>
                <w:rFonts w:ascii="Calibri" w:hAnsi="Calibri"/>
                <w:b/>
                <w:i w:val="0"/>
                <w:color w:val="FFFFFF"/>
                <w:sz w:val="16"/>
              </w:rPr>
              <w:t>Multi-Sector</w:t>
              <w:br/>
              <w:t>Asset Coverage</w:t>
            </w:r>
          </w:p>
        </w:tc>
        <w:tc>
          <w:tcPr>
            <w:tcW w:type="dxa" w:w="1337"/>
            <w:shd w:val="clear" w:color="auto" w:fill="0D2B4E"/>
          </w:tcPr>
          <w:p>
            <w:pPr>
              <w:jc w:val="center"/>
            </w:pPr>
            <w:r>
              <w:rPr>
                <w:rFonts w:ascii="Calibri" w:hAnsi="Calibri"/>
                <w:b/>
                <w:i w:val="0"/>
                <w:color w:val="FFFFFF"/>
                <w:sz w:val="16"/>
              </w:rPr>
              <w:t>ESG/Finance</w:t>
              <w:br/>
              <w:t>Integration</w:t>
            </w:r>
          </w:p>
        </w:tc>
        <w:tc>
          <w:tcPr>
            <w:tcW w:type="dxa" w:w="1337"/>
            <w:shd w:val="clear" w:color="auto" w:fill="0D2B4E"/>
          </w:tcPr>
          <w:p>
            <w:pPr>
              <w:jc w:val="center"/>
            </w:pPr>
            <w:r>
              <w:rPr>
                <w:rFonts w:ascii="Calibri" w:hAnsi="Calibri"/>
                <w:b/>
                <w:i w:val="0"/>
                <w:color w:val="FFFFFF"/>
                <w:sz w:val="16"/>
              </w:rPr>
              <w:t>Real-Time</w:t>
              <w:br/>
              <w:t>/ Near-RT</w:t>
            </w:r>
          </w:p>
        </w:tc>
        <w:tc>
          <w:tcPr>
            <w:tcW w:type="dxa" w:w="1337"/>
            <w:shd w:val="clear" w:color="auto" w:fill="0D2B4E"/>
          </w:tcPr>
          <w:p>
            <w:pPr>
              <w:jc w:val="center"/>
            </w:pPr>
            <w:r>
              <w:rPr>
                <w:rFonts w:ascii="Calibri" w:hAnsi="Calibri"/>
                <w:b/>
                <w:i w:val="0"/>
                <w:color w:val="FFFFFF"/>
                <w:sz w:val="16"/>
              </w:rPr>
              <w:t>Unknown</w:t>
              <w:br/>
              <w:t>Asset Discovery</w:t>
            </w:r>
          </w:p>
        </w:tc>
      </w:tr>
      <w:tr>
        <w:tc>
          <w:tcPr>
            <w:tcW w:type="dxa" w:w="1337"/>
            <w:shd w:val="clear" w:color="auto" w:fill="F4F6F7"/>
          </w:tcPr>
          <w:p>
            <w:pPr>
              <w:jc w:val="left"/>
            </w:pPr>
            <w:r>
              <w:rPr>
                <w:rFonts w:ascii="Calibri" w:hAnsi="Calibri"/>
                <w:b w:val="0"/>
                <w:i w:val="0"/>
                <w:color w:val="0D2B4E"/>
                <w:sz w:val="17"/>
              </w:rPr>
              <w:t>Orbital Insight</w:t>
            </w:r>
          </w:p>
        </w:tc>
        <w:tc>
          <w:tcPr>
            <w:tcW w:type="dxa" w:w="1337"/>
            <w:shd w:val="clear" w:color="auto" w:fill="F4F6F7"/>
          </w:tcPr>
          <w:p>
            <w:pPr>
              <w:jc w:val="center"/>
            </w:pPr>
            <w:r>
              <w:rPr>
                <w:rFonts w:ascii="Calibri" w:hAnsi="Calibri"/>
                <w:b w:val="0"/>
                <w:i w:val="0"/>
                <w:color w:val="1E8B4C"/>
                <w:sz w:val="18"/>
              </w:rPr>
              <w:t>H</w:t>
            </w:r>
          </w:p>
        </w:tc>
        <w:tc>
          <w:tcPr>
            <w:tcW w:type="dxa" w:w="1337"/>
            <w:shd w:val="clear" w:color="auto" w:fill="F4F6F7"/>
          </w:tcPr>
          <w:p>
            <w:pPr>
              <w:jc w:val="center"/>
            </w:pPr>
            <w:r>
              <w:rPr>
                <w:rFonts w:ascii="Calibri" w:hAnsi="Calibri"/>
                <w:b w:val="0"/>
                <w:i w:val="0"/>
                <w:color w:val="1E8B4C"/>
                <w:sz w:val="18"/>
              </w:rPr>
              <w:t>H</w:t>
            </w:r>
          </w:p>
        </w:tc>
        <w:tc>
          <w:tcPr>
            <w:tcW w:type="dxa" w:w="1337"/>
            <w:shd w:val="clear" w:color="auto" w:fill="F4F6F7"/>
          </w:tcPr>
          <w:p>
            <w:pPr>
              <w:jc w:val="center"/>
            </w:pPr>
            <w:r>
              <w:rPr>
                <w:rFonts w:ascii="Calibri" w:hAnsi="Calibri"/>
                <w:b w:val="0"/>
                <w:i w:val="0"/>
                <w:color w:val="1E8B4C"/>
                <w:sz w:val="18"/>
              </w:rPr>
              <w:t>H</w:t>
            </w:r>
          </w:p>
        </w:tc>
        <w:tc>
          <w:tcPr>
            <w:tcW w:type="dxa" w:w="1337"/>
            <w:shd w:val="clear" w:color="auto" w:fill="F4F6F7"/>
          </w:tcPr>
          <w:p>
            <w:pPr>
              <w:jc w:val="center"/>
            </w:pPr>
            <w:r>
              <w:rPr>
                <w:rFonts w:ascii="Calibri" w:hAnsi="Calibri"/>
                <w:b w:val="0"/>
                <w:i w:val="0"/>
                <w:color w:val="E67E22"/>
                <w:sz w:val="18"/>
              </w:rPr>
              <w:t>M</w:t>
            </w:r>
          </w:p>
        </w:tc>
        <w:tc>
          <w:tcPr>
            <w:tcW w:type="dxa" w:w="1337"/>
            <w:shd w:val="clear" w:color="auto" w:fill="F4F6F7"/>
          </w:tcPr>
          <w:p>
            <w:pPr>
              <w:jc w:val="center"/>
            </w:pPr>
            <w:r>
              <w:rPr>
                <w:rFonts w:ascii="Calibri" w:hAnsi="Calibri"/>
                <w:b w:val="0"/>
                <w:i w:val="0"/>
                <w:color w:val="E67E22"/>
                <w:sz w:val="18"/>
              </w:rPr>
              <w:t>M</w:t>
            </w:r>
          </w:p>
        </w:tc>
        <w:tc>
          <w:tcPr>
            <w:tcW w:type="dxa" w:w="1337"/>
            <w:shd w:val="clear" w:color="auto" w:fill="F4F6F7"/>
          </w:tcPr>
          <w:p>
            <w:pPr>
              <w:jc w:val="center"/>
            </w:pPr>
            <w:r>
              <w:rPr>
                <w:rFonts w:ascii="Calibri" w:hAnsi="Calibri"/>
                <w:b w:val="0"/>
                <w:i w:val="0"/>
                <w:color w:val="1E8B4C"/>
                <w:sz w:val="18"/>
              </w:rPr>
              <w:t>H</w:t>
            </w:r>
          </w:p>
        </w:tc>
      </w:tr>
      <w:tr>
        <w:tc>
          <w:tcPr>
            <w:tcW w:type="dxa" w:w="1337"/>
            <w:shd w:val="clear" w:color="auto" w:fill="FFFFFF"/>
          </w:tcPr>
          <w:p>
            <w:pPr>
              <w:jc w:val="left"/>
            </w:pPr>
            <w:r>
              <w:rPr>
                <w:rFonts w:ascii="Calibri" w:hAnsi="Calibri"/>
                <w:b w:val="0"/>
                <w:i w:val="0"/>
                <w:color w:val="0D2B4E"/>
                <w:sz w:val="17"/>
              </w:rPr>
              <w:t>Kayrros</w:t>
            </w:r>
          </w:p>
        </w:tc>
        <w:tc>
          <w:tcPr>
            <w:tcW w:type="dxa" w:w="1337"/>
            <w:shd w:val="clear" w:color="auto" w:fill="FFFFFF"/>
          </w:tcPr>
          <w:p>
            <w:pPr>
              <w:jc w:val="center"/>
            </w:pPr>
            <w:r>
              <w:rPr>
                <w:rFonts w:ascii="Calibri" w:hAnsi="Calibri"/>
                <w:b w:val="0"/>
                <w:i w:val="0"/>
                <w:color w:val="1E8B4C"/>
                <w:sz w:val="18"/>
              </w:rPr>
              <w:t>H</w:t>
            </w:r>
          </w:p>
        </w:tc>
        <w:tc>
          <w:tcPr>
            <w:tcW w:type="dxa" w:w="1337"/>
            <w:shd w:val="clear" w:color="auto" w:fill="FFFFFF"/>
          </w:tcPr>
          <w:p>
            <w:pPr>
              <w:jc w:val="center"/>
            </w:pPr>
            <w:r>
              <w:rPr>
                <w:rFonts w:ascii="Calibri" w:hAnsi="Calibri"/>
                <w:b w:val="0"/>
                <w:i w:val="0"/>
                <w:color w:val="1E8B4C"/>
                <w:sz w:val="18"/>
              </w:rPr>
              <w:t>H</w:t>
            </w:r>
          </w:p>
        </w:tc>
        <w:tc>
          <w:tcPr>
            <w:tcW w:type="dxa" w:w="1337"/>
            <w:shd w:val="clear" w:color="auto" w:fill="FFFFFF"/>
          </w:tcPr>
          <w:p>
            <w:pPr>
              <w:jc w:val="center"/>
            </w:pPr>
            <w:r>
              <w:rPr>
                <w:rFonts w:ascii="Calibri" w:hAnsi="Calibri"/>
                <w:b w:val="0"/>
                <w:i w:val="0"/>
                <w:color w:val="C0392B"/>
                <w:sz w:val="18"/>
              </w:rPr>
              <w:t>L</w:t>
            </w:r>
          </w:p>
        </w:tc>
        <w:tc>
          <w:tcPr>
            <w:tcW w:type="dxa" w:w="1337"/>
            <w:shd w:val="clear" w:color="auto" w:fill="FFFFFF"/>
          </w:tcPr>
          <w:p>
            <w:pPr>
              <w:jc w:val="center"/>
            </w:pPr>
            <w:r>
              <w:rPr>
                <w:rFonts w:ascii="Calibri" w:hAnsi="Calibri"/>
                <w:b w:val="0"/>
                <w:i w:val="0"/>
                <w:color w:val="1E8B4C"/>
                <w:sz w:val="18"/>
              </w:rPr>
              <w:t>H</w:t>
            </w:r>
          </w:p>
        </w:tc>
        <w:tc>
          <w:tcPr>
            <w:tcW w:type="dxa" w:w="1337"/>
            <w:shd w:val="clear" w:color="auto" w:fill="FFFFFF"/>
          </w:tcPr>
          <w:p>
            <w:pPr>
              <w:jc w:val="center"/>
            </w:pPr>
            <w:r>
              <w:rPr>
                <w:rFonts w:ascii="Calibri" w:hAnsi="Calibri"/>
                <w:b w:val="0"/>
                <w:i w:val="0"/>
                <w:color w:val="1E8B4C"/>
                <w:sz w:val="18"/>
              </w:rPr>
              <w:t>H</w:t>
            </w:r>
          </w:p>
        </w:tc>
        <w:tc>
          <w:tcPr>
            <w:tcW w:type="dxa" w:w="1337"/>
            <w:shd w:val="clear" w:color="auto" w:fill="FFFFFF"/>
          </w:tcPr>
          <w:p>
            <w:pPr>
              <w:jc w:val="center"/>
            </w:pPr>
            <w:r>
              <w:rPr>
                <w:rFonts w:ascii="Calibri" w:hAnsi="Calibri"/>
                <w:b w:val="0"/>
                <w:i w:val="0"/>
                <w:color w:val="E67E22"/>
                <w:sz w:val="18"/>
              </w:rPr>
              <w:t>M</w:t>
            </w:r>
          </w:p>
        </w:tc>
      </w:tr>
      <w:tr>
        <w:tc>
          <w:tcPr>
            <w:tcW w:type="dxa" w:w="1337"/>
            <w:shd w:val="clear" w:color="auto" w:fill="F4F6F7"/>
          </w:tcPr>
          <w:p>
            <w:pPr>
              <w:jc w:val="left"/>
            </w:pPr>
            <w:r>
              <w:rPr>
                <w:rFonts w:ascii="Calibri" w:hAnsi="Calibri"/>
                <w:b w:val="0"/>
                <w:i w:val="0"/>
                <w:color w:val="0D2B4E"/>
                <w:sz w:val="17"/>
              </w:rPr>
              <w:t>Planet Labs</w:t>
            </w:r>
          </w:p>
        </w:tc>
        <w:tc>
          <w:tcPr>
            <w:tcW w:type="dxa" w:w="1337"/>
            <w:shd w:val="clear" w:color="auto" w:fill="F4F6F7"/>
          </w:tcPr>
          <w:p>
            <w:pPr>
              <w:jc w:val="center"/>
            </w:pPr>
            <w:r>
              <w:rPr>
                <w:rFonts w:ascii="Calibri" w:hAnsi="Calibri"/>
                <w:b w:val="0"/>
                <w:i w:val="0"/>
                <w:color w:val="1E8B4C"/>
                <w:sz w:val="18"/>
              </w:rPr>
              <w:t>H</w:t>
            </w:r>
          </w:p>
        </w:tc>
        <w:tc>
          <w:tcPr>
            <w:tcW w:type="dxa" w:w="1337"/>
            <w:shd w:val="clear" w:color="auto" w:fill="F4F6F7"/>
          </w:tcPr>
          <w:p>
            <w:pPr>
              <w:jc w:val="center"/>
            </w:pPr>
            <w:r>
              <w:rPr>
                <w:rFonts w:ascii="Calibri" w:hAnsi="Calibri"/>
                <w:b w:val="0"/>
                <w:i w:val="0"/>
                <w:color w:val="E67E22"/>
                <w:sz w:val="18"/>
              </w:rPr>
              <w:t>M</w:t>
            </w:r>
          </w:p>
        </w:tc>
        <w:tc>
          <w:tcPr>
            <w:tcW w:type="dxa" w:w="1337"/>
            <w:shd w:val="clear" w:color="auto" w:fill="F4F6F7"/>
          </w:tcPr>
          <w:p>
            <w:pPr>
              <w:jc w:val="center"/>
            </w:pPr>
            <w:r>
              <w:rPr>
                <w:rFonts w:ascii="Calibri" w:hAnsi="Calibri"/>
                <w:b w:val="0"/>
                <w:i w:val="0"/>
                <w:color w:val="1E8B4C"/>
                <w:sz w:val="18"/>
              </w:rPr>
              <w:t>H</w:t>
            </w:r>
          </w:p>
        </w:tc>
        <w:tc>
          <w:tcPr>
            <w:tcW w:type="dxa" w:w="1337"/>
            <w:shd w:val="clear" w:color="auto" w:fill="F4F6F7"/>
          </w:tcPr>
          <w:p>
            <w:pPr>
              <w:jc w:val="center"/>
            </w:pPr>
            <w:r>
              <w:rPr>
                <w:rFonts w:ascii="Calibri" w:hAnsi="Calibri"/>
                <w:b w:val="0"/>
                <w:i w:val="0"/>
                <w:color w:val="C0392B"/>
                <w:sz w:val="18"/>
              </w:rPr>
              <w:t>L</w:t>
            </w:r>
          </w:p>
        </w:tc>
        <w:tc>
          <w:tcPr>
            <w:tcW w:type="dxa" w:w="1337"/>
            <w:shd w:val="clear" w:color="auto" w:fill="F4F6F7"/>
          </w:tcPr>
          <w:p>
            <w:pPr>
              <w:jc w:val="center"/>
            </w:pPr>
            <w:r>
              <w:rPr>
                <w:rFonts w:ascii="Calibri" w:hAnsi="Calibri"/>
                <w:b w:val="0"/>
                <w:i w:val="0"/>
                <w:color w:val="E67E22"/>
                <w:sz w:val="18"/>
              </w:rPr>
              <w:t>M</w:t>
            </w:r>
          </w:p>
        </w:tc>
        <w:tc>
          <w:tcPr>
            <w:tcW w:type="dxa" w:w="1337"/>
            <w:shd w:val="clear" w:color="auto" w:fill="F4F6F7"/>
          </w:tcPr>
          <w:p>
            <w:pPr>
              <w:jc w:val="center"/>
            </w:pPr>
            <w:r>
              <w:rPr>
                <w:rFonts w:ascii="Calibri" w:hAnsi="Calibri"/>
                <w:b w:val="0"/>
                <w:i w:val="0"/>
                <w:color w:val="E67E22"/>
                <w:sz w:val="18"/>
              </w:rPr>
              <w:t>M</w:t>
            </w:r>
          </w:p>
        </w:tc>
      </w:tr>
      <w:tr>
        <w:tc>
          <w:tcPr>
            <w:tcW w:type="dxa" w:w="1337"/>
            <w:shd w:val="clear" w:color="auto" w:fill="FFFFFF"/>
          </w:tcPr>
          <w:p>
            <w:pPr>
              <w:jc w:val="left"/>
            </w:pPr>
            <w:r>
              <w:rPr>
                <w:rFonts w:ascii="Calibri" w:hAnsi="Calibri"/>
                <w:b w:val="0"/>
                <w:i w:val="0"/>
                <w:color w:val="0D2B4E"/>
                <w:sz w:val="17"/>
              </w:rPr>
              <w:t>ICEYE</w:t>
            </w:r>
          </w:p>
        </w:tc>
        <w:tc>
          <w:tcPr>
            <w:tcW w:type="dxa" w:w="1337"/>
            <w:shd w:val="clear" w:color="auto" w:fill="FFFFFF"/>
          </w:tcPr>
          <w:p>
            <w:pPr>
              <w:jc w:val="center"/>
            </w:pPr>
            <w:r>
              <w:rPr>
                <w:rFonts w:ascii="Calibri" w:hAnsi="Calibri"/>
                <w:b w:val="0"/>
                <w:i w:val="0"/>
                <w:color w:val="1E8B4C"/>
                <w:sz w:val="18"/>
              </w:rPr>
              <w:t>H</w:t>
            </w:r>
          </w:p>
        </w:tc>
        <w:tc>
          <w:tcPr>
            <w:tcW w:type="dxa" w:w="1337"/>
            <w:shd w:val="clear" w:color="auto" w:fill="FFFFFF"/>
          </w:tcPr>
          <w:p>
            <w:pPr>
              <w:jc w:val="center"/>
            </w:pPr>
            <w:r>
              <w:rPr>
                <w:rFonts w:ascii="Calibri" w:hAnsi="Calibri"/>
                <w:b w:val="0"/>
                <w:i w:val="0"/>
                <w:color w:val="E67E22"/>
                <w:sz w:val="18"/>
              </w:rPr>
              <w:t>M</w:t>
            </w:r>
          </w:p>
        </w:tc>
        <w:tc>
          <w:tcPr>
            <w:tcW w:type="dxa" w:w="1337"/>
            <w:shd w:val="clear" w:color="auto" w:fill="FFFFFF"/>
          </w:tcPr>
          <w:p>
            <w:pPr>
              <w:jc w:val="center"/>
            </w:pPr>
            <w:r>
              <w:rPr>
                <w:rFonts w:ascii="Calibri" w:hAnsi="Calibri"/>
                <w:b w:val="0"/>
                <w:i w:val="0"/>
                <w:color w:val="E67E22"/>
                <w:sz w:val="18"/>
              </w:rPr>
              <w:t>M</w:t>
            </w:r>
          </w:p>
        </w:tc>
        <w:tc>
          <w:tcPr>
            <w:tcW w:type="dxa" w:w="1337"/>
            <w:shd w:val="clear" w:color="auto" w:fill="FFFFFF"/>
          </w:tcPr>
          <w:p>
            <w:pPr>
              <w:jc w:val="center"/>
            </w:pPr>
            <w:r>
              <w:rPr>
                <w:rFonts w:ascii="Calibri" w:hAnsi="Calibri"/>
                <w:b w:val="0"/>
                <w:i w:val="0"/>
                <w:color w:val="C0392B"/>
                <w:sz w:val="18"/>
              </w:rPr>
              <w:t>L</w:t>
            </w:r>
          </w:p>
        </w:tc>
        <w:tc>
          <w:tcPr>
            <w:tcW w:type="dxa" w:w="1337"/>
            <w:shd w:val="clear" w:color="auto" w:fill="FFFFFF"/>
          </w:tcPr>
          <w:p>
            <w:pPr>
              <w:jc w:val="center"/>
            </w:pPr>
            <w:r>
              <w:rPr>
                <w:rFonts w:ascii="Calibri" w:hAnsi="Calibri"/>
                <w:b w:val="0"/>
                <w:i w:val="0"/>
                <w:color w:val="1E8B4C"/>
                <w:sz w:val="18"/>
              </w:rPr>
              <w:t>H</w:t>
            </w:r>
          </w:p>
        </w:tc>
        <w:tc>
          <w:tcPr>
            <w:tcW w:type="dxa" w:w="1337"/>
            <w:shd w:val="clear" w:color="auto" w:fill="FFFFFF"/>
          </w:tcPr>
          <w:p>
            <w:pPr>
              <w:jc w:val="center"/>
            </w:pPr>
            <w:r>
              <w:rPr>
                <w:rFonts w:ascii="Calibri" w:hAnsi="Calibri"/>
                <w:b w:val="0"/>
                <w:i w:val="0"/>
                <w:color w:val="E67E22"/>
                <w:sz w:val="18"/>
              </w:rPr>
              <w:t>M</w:t>
            </w:r>
          </w:p>
        </w:tc>
      </w:tr>
      <w:tr>
        <w:tc>
          <w:tcPr>
            <w:tcW w:type="dxa" w:w="1337"/>
            <w:shd w:val="clear" w:color="auto" w:fill="F4F6F7"/>
          </w:tcPr>
          <w:p>
            <w:pPr>
              <w:jc w:val="left"/>
            </w:pPr>
            <w:r>
              <w:rPr>
                <w:rFonts w:ascii="Calibri" w:hAnsi="Calibri"/>
                <w:b w:val="0"/>
                <w:i w:val="0"/>
                <w:color w:val="0D2B4E"/>
                <w:sz w:val="17"/>
              </w:rPr>
              <w:t>LiveEO</w:t>
            </w:r>
          </w:p>
        </w:tc>
        <w:tc>
          <w:tcPr>
            <w:tcW w:type="dxa" w:w="1337"/>
            <w:shd w:val="clear" w:color="auto" w:fill="F4F6F7"/>
          </w:tcPr>
          <w:p>
            <w:pPr>
              <w:jc w:val="center"/>
            </w:pPr>
            <w:r>
              <w:rPr>
                <w:rFonts w:ascii="Calibri" w:hAnsi="Calibri"/>
                <w:b w:val="0"/>
                <w:i w:val="0"/>
                <w:color w:val="1E8B4C"/>
                <w:sz w:val="18"/>
              </w:rPr>
              <w:t>H</w:t>
            </w:r>
          </w:p>
        </w:tc>
        <w:tc>
          <w:tcPr>
            <w:tcW w:type="dxa" w:w="1337"/>
            <w:shd w:val="clear" w:color="auto" w:fill="F4F6F7"/>
          </w:tcPr>
          <w:p>
            <w:pPr>
              <w:jc w:val="center"/>
            </w:pPr>
            <w:r>
              <w:rPr>
                <w:rFonts w:ascii="Calibri" w:hAnsi="Calibri"/>
                <w:b w:val="0"/>
                <w:i w:val="0"/>
                <w:color w:val="1E8B4C"/>
                <w:sz w:val="18"/>
              </w:rPr>
              <w:t>H</w:t>
            </w:r>
          </w:p>
        </w:tc>
        <w:tc>
          <w:tcPr>
            <w:tcW w:type="dxa" w:w="1337"/>
            <w:shd w:val="clear" w:color="auto" w:fill="F4F6F7"/>
          </w:tcPr>
          <w:p>
            <w:pPr>
              <w:jc w:val="center"/>
            </w:pPr>
            <w:r>
              <w:rPr>
                <w:rFonts w:ascii="Calibri" w:hAnsi="Calibri"/>
                <w:b w:val="0"/>
                <w:i w:val="0"/>
                <w:color w:val="C0392B"/>
                <w:sz w:val="18"/>
              </w:rPr>
              <w:t>L</w:t>
            </w:r>
          </w:p>
        </w:tc>
        <w:tc>
          <w:tcPr>
            <w:tcW w:type="dxa" w:w="1337"/>
            <w:shd w:val="clear" w:color="auto" w:fill="F4F6F7"/>
          </w:tcPr>
          <w:p>
            <w:pPr>
              <w:jc w:val="center"/>
            </w:pPr>
            <w:r>
              <w:rPr>
                <w:rFonts w:ascii="Calibri" w:hAnsi="Calibri"/>
                <w:b w:val="0"/>
                <w:i w:val="0"/>
                <w:color w:val="C0392B"/>
                <w:sz w:val="18"/>
              </w:rPr>
              <w:t>L</w:t>
            </w:r>
          </w:p>
        </w:tc>
        <w:tc>
          <w:tcPr>
            <w:tcW w:type="dxa" w:w="1337"/>
            <w:shd w:val="clear" w:color="auto" w:fill="F4F6F7"/>
          </w:tcPr>
          <w:p>
            <w:pPr>
              <w:jc w:val="center"/>
            </w:pPr>
            <w:r>
              <w:rPr>
                <w:rFonts w:ascii="Calibri" w:hAnsi="Calibri"/>
                <w:b w:val="0"/>
                <w:i w:val="0"/>
                <w:color w:val="E67E22"/>
                <w:sz w:val="18"/>
              </w:rPr>
              <w:t>M</w:t>
            </w:r>
          </w:p>
        </w:tc>
        <w:tc>
          <w:tcPr>
            <w:tcW w:type="dxa" w:w="1337"/>
            <w:shd w:val="clear" w:color="auto" w:fill="F4F6F7"/>
          </w:tcPr>
          <w:p>
            <w:pPr>
              <w:jc w:val="center"/>
            </w:pPr>
            <w:r>
              <w:rPr>
                <w:rFonts w:ascii="Calibri" w:hAnsi="Calibri"/>
                <w:b w:val="0"/>
                <w:i w:val="0"/>
                <w:color w:val="C0392B"/>
                <w:sz w:val="18"/>
              </w:rPr>
              <w:t>L</w:t>
            </w:r>
          </w:p>
        </w:tc>
      </w:tr>
      <w:tr>
        <w:tc>
          <w:tcPr>
            <w:tcW w:type="dxa" w:w="1337"/>
            <w:shd w:val="clear" w:color="auto" w:fill="FFFFFF"/>
          </w:tcPr>
          <w:p>
            <w:pPr>
              <w:jc w:val="left"/>
            </w:pPr>
            <w:r>
              <w:rPr>
                <w:rFonts w:ascii="Calibri" w:hAnsi="Calibri"/>
                <w:b w:val="0"/>
                <w:i w:val="0"/>
                <w:color w:val="0D2B4E"/>
                <w:sz w:val="17"/>
              </w:rPr>
              <w:t>AiDash</w:t>
            </w:r>
          </w:p>
        </w:tc>
        <w:tc>
          <w:tcPr>
            <w:tcW w:type="dxa" w:w="1337"/>
            <w:shd w:val="clear" w:color="auto" w:fill="FFFFFF"/>
          </w:tcPr>
          <w:p>
            <w:pPr>
              <w:jc w:val="center"/>
            </w:pPr>
            <w:r>
              <w:rPr>
                <w:rFonts w:ascii="Calibri" w:hAnsi="Calibri"/>
                <w:b w:val="0"/>
                <w:i w:val="0"/>
                <w:color w:val="1E8B4C"/>
                <w:sz w:val="18"/>
              </w:rPr>
              <w:t>H</w:t>
            </w:r>
          </w:p>
        </w:tc>
        <w:tc>
          <w:tcPr>
            <w:tcW w:type="dxa" w:w="1337"/>
            <w:shd w:val="clear" w:color="auto" w:fill="FFFFFF"/>
          </w:tcPr>
          <w:p>
            <w:pPr>
              <w:jc w:val="center"/>
            </w:pPr>
            <w:r>
              <w:rPr>
                <w:rFonts w:ascii="Calibri" w:hAnsi="Calibri"/>
                <w:b w:val="0"/>
                <w:i w:val="0"/>
                <w:color w:val="1E8B4C"/>
                <w:sz w:val="18"/>
              </w:rPr>
              <w:t>H</w:t>
            </w:r>
          </w:p>
        </w:tc>
        <w:tc>
          <w:tcPr>
            <w:tcW w:type="dxa" w:w="1337"/>
            <w:shd w:val="clear" w:color="auto" w:fill="FFFFFF"/>
          </w:tcPr>
          <w:p>
            <w:pPr>
              <w:jc w:val="center"/>
            </w:pPr>
            <w:r>
              <w:rPr>
                <w:rFonts w:ascii="Calibri" w:hAnsi="Calibri"/>
                <w:b w:val="0"/>
                <w:i w:val="0"/>
                <w:color w:val="C0392B"/>
                <w:sz w:val="18"/>
              </w:rPr>
              <w:t>L</w:t>
            </w:r>
          </w:p>
        </w:tc>
        <w:tc>
          <w:tcPr>
            <w:tcW w:type="dxa" w:w="1337"/>
            <w:shd w:val="clear" w:color="auto" w:fill="FFFFFF"/>
          </w:tcPr>
          <w:p>
            <w:pPr>
              <w:jc w:val="center"/>
            </w:pPr>
            <w:r>
              <w:rPr>
                <w:rFonts w:ascii="Calibri" w:hAnsi="Calibri"/>
                <w:b w:val="0"/>
                <w:i w:val="0"/>
                <w:color w:val="C0392B"/>
                <w:sz w:val="18"/>
              </w:rPr>
              <w:t>L</w:t>
            </w:r>
          </w:p>
        </w:tc>
        <w:tc>
          <w:tcPr>
            <w:tcW w:type="dxa" w:w="1337"/>
            <w:shd w:val="clear" w:color="auto" w:fill="FFFFFF"/>
          </w:tcPr>
          <w:p>
            <w:pPr>
              <w:jc w:val="center"/>
            </w:pPr>
            <w:r>
              <w:rPr>
                <w:rFonts w:ascii="Calibri" w:hAnsi="Calibri"/>
                <w:b w:val="0"/>
                <w:i w:val="0"/>
                <w:color w:val="E67E22"/>
                <w:sz w:val="18"/>
              </w:rPr>
              <w:t>M</w:t>
            </w:r>
          </w:p>
        </w:tc>
        <w:tc>
          <w:tcPr>
            <w:tcW w:type="dxa" w:w="1337"/>
            <w:shd w:val="clear" w:color="auto" w:fill="FFFFFF"/>
          </w:tcPr>
          <w:p>
            <w:pPr>
              <w:jc w:val="center"/>
            </w:pPr>
            <w:r>
              <w:rPr>
                <w:rFonts w:ascii="Calibri" w:hAnsi="Calibri"/>
                <w:b w:val="0"/>
                <w:i w:val="0"/>
                <w:color w:val="C0392B"/>
                <w:sz w:val="18"/>
              </w:rPr>
              <w:t>L</w:t>
            </w:r>
          </w:p>
        </w:tc>
      </w:tr>
      <w:tr>
        <w:tc>
          <w:tcPr>
            <w:tcW w:type="dxa" w:w="1337"/>
            <w:shd w:val="clear" w:color="auto" w:fill="F4F6F7"/>
          </w:tcPr>
          <w:p>
            <w:pPr>
              <w:jc w:val="left"/>
            </w:pPr>
            <w:r>
              <w:rPr>
                <w:rFonts w:ascii="Calibri" w:hAnsi="Calibri"/>
                <w:b w:val="0"/>
                <w:i w:val="0"/>
                <w:color w:val="0D2B4E"/>
                <w:sz w:val="17"/>
              </w:rPr>
              <w:t>MSCI GeoSpatial AI</w:t>
            </w:r>
          </w:p>
        </w:tc>
        <w:tc>
          <w:tcPr>
            <w:tcW w:type="dxa" w:w="1337"/>
            <w:shd w:val="clear" w:color="auto" w:fill="F4F6F7"/>
          </w:tcPr>
          <w:p>
            <w:pPr>
              <w:jc w:val="center"/>
            </w:pPr>
            <w:r>
              <w:rPr>
                <w:rFonts w:ascii="Calibri" w:hAnsi="Calibri"/>
                <w:b w:val="0"/>
                <w:i w:val="0"/>
                <w:color w:val="C0392B"/>
                <w:sz w:val="18"/>
              </w:rPr>
              <w:t>L</w:t>
            </w:r>
          </w:p>
        </w:tc>
        <w:tc>
          <w:tcPr>
            <w:tcW w:type="dxa" w:w="1337"/>
            <w:shd w:val="clear" w:color="auto" w:fill="F4F6F7"/>
          </w:tcPr>
          <w:p>
            <w:pPr>
              <w:jc w:val="center"/>
            </w:pPr>
            <w:r>
              <w:rPr>
                <w:rFonts w:ascii="Calibri" w:hAnsi="Calibri"/>
                <w:b w:val="0"/>
                <w:i w:val="0"/>
                <w:color w:val="E67E22"/>
                <w:sz w:val="18"/>
              </w:rPr>
              <w:t>M</w:t>
            </w:r>
          </w:p>
        </w:tc>
        <w:tc>
          <w:tcPr>
            <w:tcW w:type="dxa" w:w="1337"/>
            <w:shd w:val="clear" w:color="auto" w:fill="F4F6F7"/>
          </w:tcPr>
          <w:p>
            <w:pPr>
              <w:jc w:val="center"/>
            </w:pPr>
            <w:r>
              <w:rPr>
                <w:rFonts w:ascii="Calibri" w:hAnsi="Calibri"/>
                <w:b w:val="0"/>
                <w:i w:val="0"/>
                <w:color w:val="1E8B4C"/>
                <w:sz w:val="18"/>
              </w:rPr>
              <w:t>H</w:t>
            </w:r>
          </w:p>
        </w:tc>
        <w:tc>
          <w:tcPr>
            <w:tcW w:type="dxa" w:w="1337"/>
            <w:shd w:val="clear" w:color="auto" w:fill="F4F6F7"/>
          </w:tcPr>
          <w:p>
            <w:pPr>
              <w:jc w:val="center"/>
            </w:pPr>
            <w:r>
              <w:rPr>
                <w:rFonts w:ascii="Calibri" w:hAnsi="Calibri"/>
                <w:b w:val="0"/>
                <w:i w:val="0"/>
                <w:color w:val="1E8B4C"/>
                <w:sz w:val="18"/>
              </w:rPr>
              <w:t>H</w:t>
            </w:r>
          </w:p>
        </w:tc>
        <w:tc>
          <w:tcPr>
            <w:tcW w:type="dxa" w:w="1337"/>
            <w:shd w:val="clear" w:color="auto" w:fill="F4F6F7"/>
          </w:tcPr>
          <w:p>
            <w:pPr>
              <w:jc w:val="center"/>
            </w:pPr>
            <w:r>
              <w:rPr>
                <w:rFonts w:ascii="Calibri" w:hAnsi="Calibri"/>
                <w:b w:val="0"/>
                <w:i w:val="0"/>
                <w:color w:val="C0392B"/>
                <w:sz w:val="18"/>
              </w:rPr>
              <w:t>L</w:t>
            </w:r>
          </w:p>
        </w:tc>
        <w:tc>
          <w:tcPr>
            <w:tcW w:type="dxa" w:w="1337"/>
            <w:shd w:val="clear" w:color="auto" w:fill="F4F6F7"/>
          </w:tcPr>
          <w:p>
            <w:pPr>
              <w:jc w:val="center"/>
            </w:pPr>
            <w:r>
              <w:rPr>
                <w:rFonts w:ascii="Calibri" w:hAnsi="Calibri"/>
                <w:b w:val="0"/>
                <w:i w:val="0"/>
                <w:color w:val="C0392B"/>
                <w:sz w:val="18"/>
              </w:rPr>
              <w:t>L</w:t>
            </w:r>
          </w:p>
        </w:tc>
      </w:tr>
      <w:tr>
        <w:tc>
          <w:tcPr>
            <w:tcW w:type="dxa" w:w="1337"/>
            <w:shd w:val="clear" w:color="auto" w:fill="FFFFFF"/>
          </w:tcPr>
          <w:p>
            <w:pPr>
              <w:jc w:val="left"/>
            </w:pPr>
            <w:r>
              <w:rPr>
                <w:rFonts w:ascii="Calibri" w:hAnsi="Calibri"/>
                <w:b w:val="0"/>
                <w:i w:val="0"/>
                <w:color w:val="0D2B4E"/>
                <w:sz w:val="17"/>
              </w:rPr>
              <w:t>S&amp;P Trucost (Physical)</w:t>
            </w:r>
          </w:p>
        </w:tc>
        <w:tc>
          <w:tcPr>
            <w:tcW w:type="dxa" w:w="1337"/>
            <w:shd w:val="clear" w:color="auto" w:fill="FFFFFF"/>
          </w:tcPr>
          <w:p>
            <w:pPr>
              <w:jc w:val="center"/>
            </w:pPr>
            <w:r>
              <w:rPr>
                <w:rFonts w:ascii="Calibri" w:hAnsi="Calibri"/>
                <w:b w:val="0"/>
                <w:i w:val="0"/>
                <w:color w:val="C0392B"/>
                <w:sz w:val="18"/>
              </w:rPr>
              <w:t>L</w:t>
            </w:r>
          </w:p>
        </w:tc>
        <w:tc>
          <w:tcPr>
            <w:tcW w:type="dxa" w:w="1337"/>
            <w:shd w:val="clear" w:color="auto" w:fill="FFFFFF"/>
          </w:tcPr>
          <w:p>
            <w:pPr>
              <w:jc w:val="center"/>
            </w:pPr>
            <w:r>
              <w:rPr>
                <w:rFonts w:ascii="Calibri" w:hAnsi="Calibri"/>
                <w:b w:val="0"/>
                <w:i w:val="0"/>
                <w:color w:val="E67E22"/>
                <w:sz w:val="18"/>
              </w:rPr>
              <w:t>M</w:t>
            </w:r>
          </w:p>
        </w:tc>
        <w:tc>
          <w:tcPr>
            <w:tcW w:type="dxa" w:w="1337"/>
            <w:shd w:val="clear" w:color="auto" w:fill="FFFFFF"/>
          </w:tcPr>
          <w:p>
            <w:pPr>
              <w:jc w:val="center"/>
            </w:pPr>
            <w:r>
              <w:rPr>
                <w:rFonts w:ascii="Calibri" w:hAnsi="Calibri"/>
                <w:b w:val="0"/>
                <w:i w:val="0"/>
                <w:color w:val="1E8B4C"/>
                <w:sz w:val="18"/>
              </w:rPr>
              <w:t>H</w:t>
            </w:r>
          </w:p>
        </w:tc>
        <w:tc>
          <w:tcPr>
            <w:tcW w:type="dxa" w:w="1337"/>
            <w:shd w:val="clear" w:color="auto" w:fill="FFFFFF"/>
          </w:tcPr>
          <w:p>
            <w:pPr>
              <w:jc w:val="center"/>
            </w:pPr>
            <w:r>
              <w:rPr>
                <w:rFonts w:ascii="Calibri" w:hAnsi="Calibri"/>
                <w:b w:val="0"/>
                <w:i w:val="0"/>
                <w:color w:val="1E8B4C"/>
                <w:sz w:val="18"/>
              </w:rPr>
              <w:t>H</w:t>
            </w:r>
          </w:p>
        </w:tc>
        <w:tc>
          <w:tcPr>
            <w:tcW w:type="dxa" w:w="1337"/>
            <w:shd w:val="clear" w:color="auto" w:fill="FFFFFF"/>
          </w:tcPr>
          <w:p>
            <w:pPr>
              <w:jc w:val="center"/>
            </w:pPr>
            <w:r>
              <w:rPr>
                <w:rFonts w:ascii="Calibri" w:hAnsi="Calibri"/>
                <w:b w:val="0"/>
                <w:i w:val="0"/>
                <w:color w:val="C0392B"/>
                <w:sz w:val="18"/>
              </w:rPr>
              <w:t>L</w:t>
            </w:r>
          </w:p>
        </w:tc>
        <w:tc>
          <w:tcPr>
            <w:tcW w:type="dxa" w:w="1337"/>
            <w:shd w:val="clear" w:color="auto" w:fill="FFFFFF"/>
          </w:tcPr>
          <w:p>
            <w:pPr>
              <w:jc w:val="center"/>
            </w:pPr>
            <w:r>
              <w:rPr>
                <w:rFonts w:ascii="Calibri" w:hAnsi="Calibri"/>
                <w:b w:val="0"/>
                <w:i w:val="0"/>
                <w:color w:val="C0392B"/>
                <w:sz w:val="18"/>
              </w:rPr>
              <w:t>L</w:t>
            </w:r>
          </w:p>
        </w:tc>
      </w:tr>
      <w:tr>
        <w:tc>
          <w:tcPr>
            <w:tcW w:type="dxa" w:w="1337"/>
            <w:shd w:val="clear" w:color="auto" w:fill="F4F6F7"/>
          </w:tcPr>
          <w:p>
            <w:pPr>
              <w:jc w:val="left"/>
            </w:pPr>
            <w:r>
              <w:rPr>
                <w:rFonts w:ascii="Calibri" w:hAnsi="Calibri"/>
                <w:b w:val="0"/>
                <w:i w:val="0"/>
                <w:color w:val="0D2B4E"/>
                <w:sz w:val="17"/>
              </w:rPr>
              <w:t>Clarity AI</w:t>
            </w:r>
          </w:p>
        </w:tc>
        <w:tc>
          <w:tcPr>
            <w:tcW w:type="dxa" w:w="1337"/>
            <w:shd w:val="clear" w:color="auto" w:fill="F4F6F7"/>
          </w:tcPr>
          <w:p>
            <w:pPr>
              <w:jc w:val="center"/>
            </w:pPr>
            <w:r>
              <w:rPr>
                <w:rFonts w:ascii="Calibri" w:hAnsi="Calibri"/>
                <w:b w:val="0"/>
                <w:i w:val="0"/>
                <w:color w:val="C0392B"/>
                <w:sz w:val="18"/>
              </w:rPr>
              <w:t>L</w:t>
            </w:r>
          </w:p>
        </w:tc>
        <w:tc>
          <w:tcPr>
            <w:tcW w:type="dxa" w:w="1337"/>
            <w:shd w:val="clear" w:color="auto" w:fill="F4F6F7"/>
          </w:tcPr>
          <w:p>
            <w:pPr>
              <w:jc w:val="center"/>
            </w:pPr>
            <w:r>
              <w:rPr>
                <w:rFonts w:ascii="Calibri" w:hAnsi="Calibri"/>
                <w:b w:val="0"/>
                <w:i w:val="0"/>
                <w:color w:val="1E8B4C"/>
                <w:sz w:val="18"/>
              </w:rPr>
              <w:t>H</w:t>
            </w:r>
          </w:p>
        </w:tc>
        <w:tc>
          <w:tcPr>
            <w:tcW w:type="dxa" w:w="1337"/>
            <w:shd w:val="clear" w:color="auto" w:fill="F4F6F7"/>
          </w:tcPr>
          <w:p>
            <w:pPr>
              <w:jc w:val="center"/>
            </w:pPr>
            <w:r>
              <w:rPr>
                <w:rFonts w:ascii="Calibri" w:hAnsi="Calibri"/>
                <w:b w:val="0"/>
                <w:i w:val="0"/>
                <w:color w:val="E67E22"/>
                <w:sz w:val="18"/>
              </w:rPr>
              <w:t>M</w:t>
            </w:r>
          </w:p>
        </w:tc>
        <w:tc>
          <w:tcPr>
            <w:tcW w:type="dxa" w:w="1337"/>
            <w:shd w:val="clear" w:color="auto" w:fill="F4F6F7"/>
          </w:tcPr>
          <w:p>
            <w:pPr>
              <w:jc w:val="center"/>
            </w:pPr>
            <w:r>
              <w:rPr>
                <w:rFonts w:ascii="Calibri" w:hAnsi="Calibri"/>
                <w:b w:val="0"/>
                <w:i w:val="0"/>
                <w:color w:val="1E8B4C"/>
                <w:sz w:val="18"/>
              </w:rPr>
              <w:t>H</w:t>
            </w:r>
          </w:p>
        </w:tc>
        <w:tc>
          <w:tcPr>
            <w:tcW w:type="dxa" w:w="1337"/>
            <w:shd w:val="clear" w:color="auto" w:fill="F4F6F7"/>
          </w:tcPr>
          <w:p>
            <w:pPr>
              <w:jc w:val="center"/>
            </w:pPr>
            <w:r>
              <w:rPr>
                <w:rFonts w:ascii="Calibri" w:hAnsi="Calibri"/>
                <w:b w:val="0"/>
                <w:i w:val="0"/>
                <w:color w:val="C0392B"/>
                <w:sz w:val="18"/>
              </w:rPr>
              <w:t>L</w:t>
            </w:r>
          </w:p>
        </w:tc>
        <w:tc>
          <w:tcPr>
            <w:tcW w:type="dxa" w:w="1337"/>
            <w:shd w:val="clear" w:color="auto" w:fill="F4F6F7"/>
          </w:tcPr>
          <w:p>
            <w:pPr>
              <w:jc w:val="center"/>
            </w:pPr>
            <w:r>
              <w:rPr>
                <w:rFonts w:ascii="Calibri" w:hAnsi="Calibri"/>
                <w:b w:val="0"/>
                <w:i w:val="0"/>
                <w:color w:val="C0392B"/>
                <w:sz w:val="18"/>
              </w:rPr>
              <w:t>L</w:t>
            </w:r>
          </w:p>
        </w:tc>
      </w:tr>
      <w:tr>
        <w:tc>
          <w:tcPr>
            <w:tcW w:type="dxa" w:w="1337"/>
            <w:shd w:val="clear" w:color="auto" w:fill="FFFFFF"/>
          </w:tcPr>
          <w:p>
            <w:pPr>
              <w:jc w:val="left"/>
            </w:pPr>
            <w:r>
              <w:rPr>
                <w:rFonts w:ascii="Calibri" w:hAnsi="Calibri"/>
                <w:b w:val="0"/>
                <w:i w:val="0"/>
                <w:color w:val="0D2B4E"/>
                <w:sz w:val="17"/>
              </w:rPr>
              <w:t>RS Metrics</w:t>
            </w:r>
          </w:p>
        </w:tc>
        <w:tc>
          <w:tcPr>
            <w:tcW w:type="dxa" w:w="1337"/>
            <w:shd w:val="clear" w:color="auto" w:fill="FFFFFF"/>
          </w:tcPr>
          <w:p>
            <w:pPr>
              <w:jc w:val="center"/>
            </w:pPr>
            <w:r>
              <w:rPr>
                <w:rFonts w:ascii="Calibri" w:hAnsi="Calibri"/>
                <w:b w:val="0"/>
                <w:i w:val="0"/>
                <w:color w:val="1E8B4C"/>
                <w:sz w:val="18"/>
              </w:rPr>
              <w:t>H</w:t>
            </w:r>
          </w:p>
        </w:tc>
        <w:tc>
          <w:tcPr>
            <w:tcW w:type="dxa" w:w="1337"/>
            <w:shd w:val="clear" w:color="auto" w:fill="FFFFFF"/>
          </w:tcPr>
          <w:p>
            <w:pPr>
              <w:jc w:val="center"/>
            </w:pPr>
            <w:r>
              <w:rPr>
                <w:rFonts w:ascii="Calibri" w:hAnsi="Calibri"/>
                <w:b w:val="0"/>
                <w:i w:val="0"/>
                <w:color w:val="E67E22"/>
                <w:sz w:val="18"/>
              </w:rPr>
              <w:t>M</w:t>
            </w:r>
          </w:p>
        </w:tc>
        <w:tc>
          <w:tcPr>
            <w:tcW w:type="dxa" w:w="1337"/>
            <w:shd w:val="clear" w:color="auto" w:fill="FFFFFF"/>
          </w:tcPr>
          <w:p>
            <w:pPr>
              <w:jc w:val="center"/>
            </w:pPr>
            <w:r>
              <w:rPr>
                <w:rFonts w:ascii="Calibri" w:hAnsi="Calibri"/>
                <w:b w:val="0"/>
                <w:i w:val="0"/>
                <w:color w:val="C0392B"/>
                <w:sz w:val="18"/>
              </w:rPr>
              <w:t>L</w:t>
            </w:r>
          </w:p>
        </w:tc>
        <w:tc>
          <w:tcPr>
            <w:tcW w:type="dxa" w:w="1337"/>
            <w:shd w:val="clear" w:color="auto" w:fill="FFFFFF"/>
          </w:tcPr>
          <w:p>
            <w:pPr>
              <w:jc w:val="center"/>
            </w:pPr>
            <w:r>
              <w:rPr>
                <w:rFonts w:ascii="Calibri" w:hAnsi="Calibri"/>
                <w:b w:val="0"/>
                <w:i w:val="0"/>
                <w:color w:val="C0392B"/>
                <w:sz w:val="18"/>
              </w:rPr>
              <w:t>L</w:t>
            </w:r>
          </w:p>
        </w:tc>
        <w:tc>
          <w:tcPr>
            <w:tcW w:type="dxa" w:w="1337"/>
            <w:shd w:val="clear" w:color="auto" w:fill="FFFFFF"/>
          </w:tcPr>
          <w:p>
            <w:pPr>
              <w:jc w:val="center"/>
            </w:pPr>
            <w:r>
              <w:rPr>
                <w:rFonts w:ascii="Calibri" w:hAnsi="Calibri"/>
                <w:b w:val="0"/>
                <w:i w:val="0"/>
                <w:color w:val="E67E22"/>
                <w:sz w:val="18"/>
              </w:rPr>
              <w:t>M</w:t>
            </w:r>
          </w:p>
        </w:tc>
        <w:tc>
          <w:tcPr>
            <w:tcW w:type="dxa" w:w="1337"/>
            <w:shd w:val="clear" w:color="auto" w:fill="FFFFFF"/>
          </w:tcPr>
          <w:p>
            <w:pPr>
              <w:jc w:val="center"/>
            </w:pPr>
            <w:r>
              <w:rPr>
                <w:rFonts w:ascii="Calibri" w:hAnsi="Calibri"/>
                <w:b w:val="0"/>
                <w:i w:val="0"/>
                <w:color w:val="E67E22"/>
                <w:sz w:val="18"/>
              </w:rPr>
              <w:t>M</w:t>
            </w:r>
          </w:p>
        </w:tc>
      </w:tr>
      <w:tr>
        <w:tc>
          <w:tcPr>
            <w:tcW w:type="dxa" w:w="1337"/>
            <w:shd w:val="clear" w:color="auto" w:fill="F4F6F7"/>
          </w:tcPr>
          <w:p>
            <w:pPr>
              <w:jc w:val="left"/>
            </w:pPr>
            <w:r>
              <w:rPr>
                <w:rFonts w:ascii="Calibri" w:hAnsi="Calibri"/>
                <w:b w:val="0"/>
                <w:i w:val="0"/>
                <w:color w:val="0D2B4E"/>
                <w:sz w:val="17"/>
              </w:rPr>
              <w:t>Satelytics</w:t>
            </w:r>
          </w:p>
        </w:tc>
        <w:tc>
          <w:tcPr>
            <w:tcW w:type="dxa" w:w="1337"/>
            <w:shd w:val="clear" w:color="auto" w:fill="F4F6F7"/>
          </w:tcPr>
          <w:p>
            <w:pPr>
              <w:jc w:val="center"/>
            </w:pPr>
            <w:r>
              <w:rPr>
                <w:rFonts w:ascii="Calibri" w:hAnsi="Calibri"/>
                <w:b w:val="0"/>
                <w:i w:val="0"/>
                <w:color w:val="1E8B4C"/>
                <w:sz w:val="18"/>
              </w:rPr>
              <w:t>H</w:t>
            </w:r>
          </w:p>
        </w:tc>
        <w:tc>
          <w:tcPr>
            <w:tcW w:type="dxa" w:w="1337"/>
            <w:shd w:val="clear" w:color="auto" w:fill="F4F6F7"/>
          </w:tcPr>
          <w:p>
            <w:pPr>
              <w:jc w:val="center"/>
            </w:pPr>
            <w:r>
              <w:rPr>
                <w:rFonts w:ascii="Calibri" w:hAnsi="Calibri"/>
                <w:b w:val="0"/>
                <w:i w:val="0"/>
                <w:color w:val="1E8B4C"/>
                <w:sz w:val="18"/>
              </w:rPr>
              <w:t>H</w:t>
            </w:r>
          </w:p>
        </w:tc>
        <w:tc>
          <w:tcPr>
            <w:tcW w:type="dxa" w:w="1337"/>
            <w:shd w:val="clear" w:color="auto" w:fill="F4F6F7"/>
          </w:tcPr>
          <w:p>
            <w:pPr>
              <w:jc w:val="center"/>
            </w:pPr>
            <w:r>
              <w:rPr>
                <w:rFonts w:ascii="Calibri" w:hAnsi="Calibri"/>
                <w:b w:val="0"/>
                <w:i w:val="0"/>
                <w:color w:val="E67E22"/>
                <w:sz w:val="18"/>
              </w:rPr>
              <w:t>M</w:t>
            </w:r>
          </w:p>
        </w:tc>
        <w:tc>
          <w:tcPr>
            <w:tcW w:type="dxa" w:w="1337"/>
            <w:shd w:val="clear" w:color="auto" w:fill="F4F6F7"/>
          </w:tcPr>
          <w:p>
            <w:pPr>
              <w:jc w:val="center"/>
            </w:pPr>
            <w:r>
              <w:rPr>
                <w:rFonts w:ascii="Calibri" w:hAnsi="Calibri"/>
                <w:b w:val="0"/>
                <w:i w:val="0"/>
                <w:color w:val="C0392B"/>
                <w:sz w:val="18"/>
              </w:rPr>
              <w:t>L</w:t>
            </w:r>
          </w:p>
        </w:tc>
        <w:tc>
          <w:tcPr>
            <w:tcW w:type="dxa" w:w="1337"/>
            <w:shd w:val="clear" w:color="auto" w:fill="F4F6F7"/>
          </w:tcPr>
          <w:p>
            <w:pPr>
              <w:jc w:val="center"/>
            </w:pPr>
            <w:r>
              <w:rPr>
                <w:rFonts w:ascii="Calibri" w:hAnsi="Calibri"/>
                <w:b w:val="0"/>
                <w:i w:val="0"/>
                <w:color w:val="E67E22"/>
                <w:sz w:val="18"/>
              </w:rPr>
              <w:t>M</w:t>
            </w:r>
          </w:p>
        </w:tc>
        <w:tc>
          <w:tcPr>
            <w:tcW w:type="dxa" w:w="1337"/>
            <w:shd w:val="clear" w:color="auto" w:fill="F4F6F7"/>
          </w:tcPr>
          <w:p>
            <w:pPr>
              <w:jc w:val="center"/>
            </w:pPr>
            <w:r>
              <w:rPr>
                <w:rFonts w:ascii="Calibri" w:hAnsi="Calibri"/>
                <w:b w:val="0"/>
                <w:i w:val="0"/>
                <w:color w:val="C0392B"/>
                <w:sz w:val="18"/>
              </w:rPr>
              <w:t>L</w:t>
            </w:r>
          </w:p>
        </w:tc>
      </w:tr>
      <w:tr>
        <w:tc>
          <w:tcPr>
            <w:tcW w:type="dxa" w:w="1337"/>
            <w:shd w:val="clear" w:color="auto" w:fill="FFFFFF"/>
          </w:tcPr>
          <w:p>
            <w:pPr>
              <w:jc w:val="left"/>
            </w:pPr>
            <w:r>
              <w:rPr>
                <w:rFonts w:ascii="Calibri" w:hAnsi="Calibri"/>
                <w:b w:val="0"/>
                <w:i w:val="0"/>
                <w:color w:val="0D2B4E"/>
                <w:sz w:val="17"/>
              </w:rPr>
              <w:t>Cervest</w:t>
            </w:r>
          </w:p>
        </w:tc>
        <w:tc>
          <w:tcPr>
            <w:tcW w:type="dxa" w:w="1337"/>
            <w:shd w:val="clear" w:color="auto" w:fill="FFFFFF"/>
          </w:tcPr>
          <w:p>
            <w:pPr>
              <w:jc w:val="center"/>
            </w:pPr>
            <w:r>
              <w:rPr>
                <w:rFonts w:ascii="Calibri" w:hAnsi="Calibri"/>
                <w:b w:val="0"/>
                <w:i w:val="0"/>
                <w:color w:val="C0392B"/>
                <w:sz w:val="18"/>
              </w:rPr>
              <w:t>L</w:t>
            </w:r>
          </w:p>
        </w:tc>
        <w:tc>
          <w:tcPr>
            <w:tcW w:type="dxa" w:w="1337"/>
            <w:shd w:val="clear" w:color="auto" w:fill="FFFFFF"/>
          </w:tcPr>
          <w:p>
            <w:pPr>
              <w:jc w:val="center"/>
            </w:pPr>
            <w:r>
              <w:rPr>
                <w:rFonts w:ascii="Calibri" w:hAnsi="Calibri"/>
                <w:b w:val="0"/>
                <w:i w:val="0"/>
                <w:color w:val="E67E22"/>
                <w:sz w:val="18"/>
              </w:rPr>
              <w:t>M</w:t>
            </w:r>
          </w:p>
        </w:tc>
        <w:tc>
          <w:tcPr>
            <w:tcW w:type="dxa" w:w="1337"/>
            <w:shd w:val="clear" w:color="auto" w:fill="FFFFFF"/>
          </w:tcPr>
          <w:p>
            <w:pPr>
              <w:jc w:val="center"/>
            </w:pPr>
            <w:r>
              <w:rPr>
                <w:rFonts w:ascii="Calibri" w:hAnsi="Calibri"/>
                <w:b w:val="0"/>
                <w:i w:val="0"/>
                <w:color w:val="E67E22"/>
                <w:sz w:val="18"/>
              </w:rPr>
              <w:t>M</w:t>
            </w:r>
          </w:p>
        </w:tc>
        <w:tc>
          <w:tcPr>
            <w:tcW w:type="dxa" w:w="1337"/>
            <w:shd w:val="clear" w:color="auto" w:fill="FFFFFF"/>
          </w:tcPr>
          <w:p>
            <w:pPr>
              <w:jc w:val="center"/>
            </w:pPr>
            <w:r>
              <w:rPr>
                <w:rFonts w:ascii="Calibri" w:hAnsi="Calibri"/>
                <w:b w:val="0"/>
                <w:i w:val="0"/>
                <w:color w:val="E67E22"/>
                <w:sz w:val="18"/>
              </w:rPr>
              <w:t>M</w:t>
            </w:r>
          </w:p>
        </w:tc>
        <w:tc>
          <w:tcPr>
            <w:tcW w:type="dxa" w:w="1337"/>
            <w:shd w:val="clear" w:color="auto" w:fill="FFFFFF"/>
          </w:tcPr>
          <w:p>
            <w:pPr>
              <w:jc w:val="center"/>
            </w:pPr>
            <w:r>
              <w:rPr>
                <w:rFonts w:ascii="Calibri" w:hAnsi="Calibri"/>
                <w:b w:val="0"/>
                <w:i w:val="0"/>
                <w:color w:val="C0392B"/>
                <w:sz w:val="18"/>
              </w:rPr>
              <w:t>L</w:t>
            </w:r>
          </w:p>
        </w:tc>
        <w:tc>
          <w:tcPr>
            <w:tcW w:type="dxa" w:w="1337"/>
            <w:shd w:val="clear" w:color="auto" w:fill="FFFFFF"/>
          </w:tcPr>
          <w:p>
            <w:pPr>
              <w:jc w:val="center"/>
            </w:pPr>
            <w:r>
              <w:rPr>
                <w:rFonts w:ascii="Calibri" w:hAnsi="Calibri"/>
                <w:b w:val="0"/>
                <w:i w:val="0"/>
                <w:color w:val="C0392B"/>
                <w:sz w:val="18"/>
              </w:rPr>
              <w:t>L</w:t>
            </w:r>
          </w:p>
        </w:tc>
      </w:tr>
      <w:tr>
        <w:tc>
          <w:tcPr>
            <w:tcW w:type="dxa" w:w="1337"/>
            <w:shd w:val="clear" w:color="auto" w:fill="F4F6F7"/>
          </w:tcPr>
          <w:p>
            <w:pPr>
              <w:jc w:val="left"/>
            </w:pPr>
            <w:r>
              <w:rPr>
                <w:rFonts w:ascii="Calibri" w:hAnsi="Calibri"/>
                <w:b w:val="0"/>
                <w:i w:val="0"/>
                <w:color w:val="0D2B4E"/>
                <w:sz w:val="17"/>
              </w:rPr>
              <w:t>Orbital Sidekick</w:t>
            </w:r>
          </w:p>
        </w:tc>
        <w:tc>
          <w:tcPr>
            <w:tcW w:type="dxa" w:w="1337"/>
            <w:shd w:val="clear" w:color="auto" w:fill="F4F6F7"/>
          </w:tcPr>
          <w:p>
            <w:pPr>
              <w:jc w:val="center"/>
            </w:pPr>
            <w:r>
              <w:rPr>
                <w:rFonts w:ascii="Calibri" w:hAnsi="Calibri"/>
                <w:b w:val="0"/>
                <w:i w:val="0"/>
                <w:color w:val="1E8B4C"/>
                <w:sz w:val="18"/>
              </w:rPr>
              <w:t>H</w:t>
            </w:r>
          </w:p>
        </w:tc>
        <w:tc>
          <w:tcPr>
            <w:tcW w:type="dxa" w:w="1337"/>
            <w:shd w:val="clear" w:color="auto" w:fill="F4F6F7"/>
          </w:tcPr>
          <w:p>
            <w:pPr>
              <w:jc w:val="center"/>
            </w:pPr>
            <w:r>
              <w:rPr>
                <w:rFonts w:ascii="Calibri" w:hAnsi="Calibri"/>
                <w:b w:val="0"/>
                <w:i w:val="0"/>
                <w:color w:val="1E8B4C"/>
                <w:sz w:val="18"/>
              </w:rPr>
              <w:t>H</w:t>
            </w:r>
          </w:p>
        </w:tc>
        <w:tc>
          <w:tcPr>
            <w:tcW w:type="dxa" w:w="1337"/>
            <w:shd w:val="clear" w:color="auto" w:fill="F4F6F7"/>
          </w:tcPr>
          <w:p>
            <w:pPr>
              <w:jc w:val="center"/>
            </w:pPr>
            <w:r>
              <w:rPr>
                <w:rFonts w:ascii="Calibri" w:hAnsi="Calibri"/>
                <w:b w:val="0"/>
                <w:i w:val="0"/>
                <w:color w:val="C0392B"/>
                <w:sz w:val="18"/>
              </w:rPr>
              <w:t>L</w:t>
            </w:r>
          </w:p>
        </w:tc>
        <w:tc>
          <w:tcPr>
            <w:tcW w:type="dxa" w:w="1337"/>
            <w:shd w:val="clear" w:color="auto" w:fill="F4F6F7"/>
          </w:tcPr>
          <w:p>
            <w:pPr>
              <w:jc w:val="center"/>
            </w:pPr>
            <w:r>
              <w:rPr>
                <w:rFonts w:ascii="Calibri" w:hAnsi="Calibri"/>
                <w:b w:val="0"/>
                <w:i w:val="0"/>
                <w:color w:val="E67E22"/>
                <w:sz w:val="18"/>
              </w:rPr>
              <w:t>M</w:t>
            </w:r>
          </w:p>
        </w:tc>
        <w:tc>
          <w:tcPr>
            <w:tcW w:type="dxa" w:w="1337"/>
            <w:shd w:val="clear" w:color="auto" w:fill="F4F6F7"/>
          </w:tcPr>
          <w:p>
            <w:pPr>
              <w:jc w:val="center"/>
            </w:pPr>
            <w:r>
              <w:rPr>
                <w:rFonts w:ascii="Calibri" w:hAnsi="Calibri"/>
                <w:b w:val="0"/>
                <w:i w:val="0"/>
                <w:color w:val="E67E22"/>
                <w:sz w:val="18"/>
              </w:rPr>
              <w:t>M</w:t>
            </w:r>
          </w:p>
        </w:tc>
        <w:tc>
          <w:tcPr>
            <w:tcW w:type="dxa" w:w="1337"/>
            <w:shd w:val="clear" w:color="auto" w:fill="F4F6F7"/>
          </w:tcPr>
          <w:p>
            <w:pPr>
              <w:jc w:val="center"/>
            </w:pPr>
            <w:r>
              <w:rPr>
                <w:rFonts w:ascii="Calibri" w:hAnsi="Calibri"/>
                <w:b w:val="0"/>
                <w:i w:val="0"/>
                <w:color w:val="E67E22"/>
                <w:sz w:val="18"/>
              </w:rPr>
              <w:t>M</w:t>
            </w:r>
          </w:p>
        </w:tc>
      </w:tr>
      <w:tr>
        <w:tc>
          <w:tcPr>
            <w:tcW w:type="dxa" w:w="1337"/>
            <w:shd w:val="clear" w:color="auto" w:fill="2E86C1"/>
          </w:tcPr>
          <w:p>
            <w:pPr>
              <w:jc w:val="left"/>
            </w:pPr>
            <w:r>
              <w:rPr>
                <w:rFonts w:ascii="Calibri" w:hAnsi="Calibri"/>
                <w:b/>
                <w:i w:val="0"/>
                <w:color w:val="FFFFFF"/>
                <w:sz w:val="17"/>
              </w:rPr>
              <w:t>TARGET STARTUP</w:t>
            </w:r>
          </w:p>
        </w:tc>
        <w:tc>
          <w:tcPr>
            <w:tcW w:type="dxa" w:w="1337"/>
            <w:shd w:val="clear" w:color="auto" w:fill="2E86C1"/>
          </w:tcPr>
          <w:p>
            <w:pPr>
              <w:jc w:val="center"/>
            </w:pPr>
            <w:r>
              <w:rPr>
                <w:rFonts w:ascii="Calibri" w:hAnsi="Calibri"/>
                <w:b/>
                <w:i w:val="0"/>
                <w:color w:val="FFFFFF"/>
                <w:sz w:val="18"/>
              </w:rPr>
              <w:t>H</w:t>
            </w:r>
          </w:p>
        </w:tc>
        <w:tc>
          <w:tcPr>
            <w:tcW w:type="dxa" w:w="1337"/>
            <w:shd w:val="clear" w:color="auto" w:fill="2E86C1"/>
          </w:tcPr>
          <w:p>
            <w:pPr>
              <w:jc w:val="center"/>
            </w:pPr>
            <w:r>
              <w:rPr>
                <w:rFonts w:ascii="Calibri" w:hAnsi="Calibri"/>
                <w:b/>
                <w:i w:val="0"/>
                <w:color w:val="FFFFFF"/>
                <w:sz w:val="18"/>
              </w:rPr>
              <w:t>H</w:t>
            </w:r>
          </w:p>
        </w:tc>
        <w:tc>
          <w:tcPr>
            <w:tcW w:type="dxa" w:w="1337"/>
            <w:shd w:val="clear" w:color="auto" w:fill="2E86C1"/>
          </w:tcPr>
          <w:p>
            <w:pPr>
              <w:jc w:val="center"/>
            </w:pPr>
            <w:r>
              <w:rPr>
                <w:rFonts w:ascii="Calibri" w:hAnsi="Calibri"/>
                <w:b/>
                <w:i w:val="0"/>
                <w:color w:val="FFFFFF"/>
                <w:sz w:val="18"/>
              </w:rPr>
              <w:t>H</w:t>
            </w:r>
          </w:p>
        </w:tc>
        <w:tc>
          <w:tcPr>
            <w:tcW w:type="dxa" w:w="1337"/>
            <w:shd w:val="clear" w:color="auto" w:fill="2E86C1"/>
          </w:tcPr>
          <w:p>
            <w:pPr>
              <w:jc w:val="center"/>
            </w:pPr>
            <w:r>
              <w:rPr>
                <w:rFonts w:ascii="Calibri" w:hAnsi="Calibri"/>
                <w:b/>
                <w:i w:val="0"/>
                <w:color w:val="FFFFFF"/>
                <w:sz w:val="18"/>
              </w:rPr>
              <w:t>H</w:t>
            </w:r>
          </w:p>
        </w:tc>
        <w:tc>
          <w:tcPr>
            <w:tcW w:type="dxa" w:w="1337"/>
            <w:shd w:val="clear" w:color="auto" w:fill="2E86C1"/>
          </w:tcPr>
          <w:p>
            <w:pPr>
              <w:jc w:val="center"/>
            </w:pPr>
            <w:r>
              <w:rPr>
                <w:rFonts w:ascii="Calibri" w:hAnsi="Calibri"/>
                <w:b/>
                <w:i w:val="0"/>
                <w:color w:val="FFFFFF"/>
                <w:sz w:val="18"/>
              </w:rPr>
              <w:t>H</w:t>
            </w:r>
          </w:p>
        </w:tc>
        <w:tc>
          <w:tcPr>
            <w:tcW w:type="dxa" w:w="1337"/>
            <w:shd w:val="clear" w:color="auto" w:fill="2E86C1"/>
          </w:tcPr>
          <w:p>
            <w:pPr>
              <w:jc w:val="center"/>
            </w:pPr>
            <w:r>
              <w:rPr>
                <w:rFonts w:ascii="Calibri" w:hAnsi="Calibri"/>
                <w:b/>
                <w:i w:val="0"/>
                <w:color w:val="FFFFFF"/>
                <w:sz w:val="18"/>
              </w:rPr>
              <w:t>H</w:t>
            </w:r>
          </w:p>
        </w:tc>
      </w:tr>
    </w:tbl>
    <w:p>
      <w:pPr>
        <w:spacing w:before="0" w:after="0"/>
      </w:pPr>
      <w:r>
        <w:rPr>
          <w:sz w:val="20"/>
        </w:rPr>
      </w:r>
    </w:p>
    <w:p>
      <w:pPr>
        <w:spacing w:before="280" w:after="80"/>
      </w:pPr>
      <w:r>
        <w:rPr>
          <w:rFonts w:ascii="Calibri" w:hAnsi="Calibri"/>
          <w:b/>
          <w:i/>
          <w:color w:val="2E86C1"/>
          <w:sz w:val="21"/>
        </w:rPr>
        <w:t>Matrix Legend</w:t>
      </w:r>
    </w:p>
    <w:p>
      <w:pPr>
        <w:pStyle w:val="ListBullet"/>
        <w:spacing w:before="20" w:after="40"/>
        <w:ind w:left="360"/>
      </w:pPr>
      <w:r>
        <w:rPr>
          <w:rFonts w:ascii="Calibri" w:hAnsi="Calibri"/>
          <w:b w:val="0"/>
          <w:i w:val="0"/>
          <w:color w:val="17202A"/>
          <w:sz w:val="20"/>
        </w:rPr>
        <w:t>H (High): Core capability, commercially deployed product, strong customer evidence</w:t>
      </w:r>
    </w:p>
    <w:p>
      <w:pPr>
        <w:pStyle w:val="ListBullet"/>
        <w:spacing w:before="20" w:after="40"/>
        <w:ind w:left="360"/>
      </w:pPr>
      <w:r>
        <w:rPr>
          <w:rFonts w:ascii="Calibri" w:hAnsi="Calibri"/>
          <w:b w:val="0"/>
          <w:i w:val="0"/>
          <w:color w:val="17202A"/>
          <w:sz w:val="20"/>
        </w:rPr>
        <w:t>M (Medium): Partial capability, early-stage product, or indirect coverage</w:t>
      </w:r>
    </w:p>
    <w:p>
      <w:pPr>
        <w:pStyle w:val="ListBullet"/>
        <w:spacing w:before="20" w:after="40"/>
        <w:ind w:left="360"/>
      </w:pPr>
      <w:r>
        <w:rPr>
          <w:rFonts w:ascii="Calibri" w:hAnsi="Calibri"/>
          <w:b w:val="0"/>
          <w:i w:val="0"/>
          <w:color w:val="17202A"/>
          <w:sz w:val="20"/>
        </w:rPr>
        <w:t>L (Low): Absent, modelled only, or not part of core product</w:t>
      </w:r>
    </w:p>
    <w:p>
      <w:pPr>
        <w:pStyle w:val="ListBullet"/>
        <w:spacing w:before="20" w:after="40"/>
        <w:ind w:left="360"/>
      </w:pPr>
      <w:r>
        <w:rPr>
          <w:rFonts w:ascii="Calibri" w:hAnsi="Calibri"/>
          <w:b/>
          <w:i w:val="0"/>
          <w:color w:val="0D2B4E"/>
          <w:sz w:val="20"/>
        </w:rPr>
        <w:t xml:space="preserve">Target Startup: </w:t>
      </w:r>
      <w:r>
        <w:rPr>
          <w:rFonts w:ascii="Calibri" w:hAnsi="Calibri"/>
          <w:b w:val="0"/>
          <w:i w:val="0"/>
          <w:color w:val="17202A"/>
          <w:sz w:val="20"/>
        </w:rPr>
        <w:t>TARGET STARTUP: Aspirational positioning — combines all six dimensions in one platform</w:t>
      </w:r>
    </w:p>
    <w:p>
      <w:pPr>
        <w:spacing w:before="0" w:after="0"/>
      </w:pPr>
      <w:r>
        <w:rPr>
          <w:sz w:val="16"/>
        </w:rPr>
      </w:r>
    </w:p>
    <w:p>
      <w:r>
        <w:br w:type="page"/>
      </w:r>
    </w:p>
    <w:p>
      <w:pPr>
        <w:spacing w:before="280" w:after="80"/>
        <w:pBdr>
          <w:bottom w:val="single" w:sz="6" w:space="1" w:color="2E86C1"/>
        </w:pBdr>
      </w:pPr>
      <w:r>
        <w:rPr>
          <w:rFonts w:ascii="Calibri" w:hAnsi="Calibri"/>
          <w:b/>
          <w:color w:val="0D2B4E"/>
          <w:sz w:val="30"/>
        </w:rPr>
        <w:t>WHITE SPACE &amp; STRATEGIC OPPORTUNITY ANALYSIS</w:t>
      </w:r>
    </w:p>
    <w:p>
      <w:pPr>
        <w:spacing w:before="40" w:after="160"/>
      </w:pPr>
      <w:r>
        <w:rPr>
          <w:rFonts w:ascii="Calibri" w:hAnsi="Calibri"/>
          <w:b w:val="0"/>
          <w:i/>
          <w:color w:val="ABB2B9"/>
          <w:sz w:val="20"/>
        </w:rPr>
        <w:t>Based on the competitive landscape, the following gaps represent addressable opportunities for a new entrant building at the intersection of geospatial AI, physical productive assets, and ESG/financial analytics.</w:t>
      </w:r>
    </w:p>
    <w:p>
      <w:pPr>
        <w:spacing w:before="280" w:after="80"/>
      </w:pPr>
      <w:r>
        <w:rPr>
          <w:rFonts w:ascii="Calibri" w:hAnsi="Calibri"/>
          <w:b/>
          <w:color w:val="1A5C8E"/>
          <w:sz w:val="24"/>
        </w:rPr>
        <w:t>1. No cross-sector asset discovery platform</w:t>
      </w:r>
    </w:p>
    <w:p>
      <w:pPr>
        <w:spacing w:before="40" w:after="80"/>
        <w:ind w:left="0"/>
      </w:pPr>
      <w:r>
        <w:rPr>
          <w:rFonts w:ascii="Calibri" w:hAnsi="Calibri"/>
          <w:b w:val="0"/>
          <w:i w:val="0"/>
          <w:color w:val="17202A"/>
          <w:sz w:val="20"/>
        </w:rPr>
        <w:t>PROBLEM: Every satellite AI company focuses on a specific sector (energy, utilities, agriculture, infrastructure). No company currently offers automated discovery and classification of all types of productive physical assets (factories, mines, farms, facilities, power plants) from satellite imagery at global scale with a unified data model.</w:t>
      </w:r>
    </w:p>
    <w:p>
      <w:pPr>
        <w:spacing w:before="40" w:after="160"/>
      </w:pPr>
      <w:r>
        <w:rPr>
          <w:rFonts w:ascii="Calibri" w:hAnsi="Calibri"/>
          <w:b/>
          <w:i w:val="0"/>
          <w:color w:val="1E8B4C"/>
          <w:sz w:val="20"/>
        </w:rPr>
        <w:t xml:space="preserve">OPPORTUNITY: </w:t>
      </w:r>
      <w:r>
        <w:rPr>
          <w:rFonts w:ascii="Calibri" w:hAnsi="Calibri"/>
          <w:b w:val="0"/>
          <w:i w:val="0"/>
          <w:color w:val="17202A"/>
          <w:sz w:val="20"/>
        </w:rPr>
        <w:t>An asset intelligence layer that identifies unknown/undisclosed assets and links them to ownership structures (via BvD/D&amp;B type UBO data) represents a category-creating opportunity — especially for supply-chain due diligence, sanctions compliance, and CSRD reporting.</w:t>
      </w:r>
    </w:p>
    <w:p>
      <w:pPr>
        <w:spacing w:before="280" w:after="80"/>
      </w:pPr>
      <w:r>
        <w:rPr>
          <w:rFonts w:ascii="Calibri" w:hAnsi="Calibri"/>
          <w:b/>
          <w:color w:val="1A5C8E"/>
          <w:sz w:val="24"/>
        </w:rPr>
        <w:t>2. ESG data is disconnected from physical reality</w:t>
      </w:r>
    </w:p>
    <w:p>
      <w:pPr>
        <w:spacing w:before="40" w:after="80"/>
        <w:ind w:left="0"/>
      </w:pPr>
      <w:r>
        <w:rPr>
          <w:rFonts w:ascii="Calibri" w:hAnsi="Calibri"/>
          <w:b w:val="0"/>
          <w:i w:val="0"/>
          <w:color w:val="17202A"/>
          <w:sz w:val="20"/>
        </w:rPr>
        <w:t>PROBLEM: MSCI, Sustainalytics, and Clarity AI all rate companies based on self-reported data, regulatory filings, and modelled estimates. Kayrros is the only company that successfully bridges satellite monitoring → ESG-relevant metrics, but only for energy sector emissions.</w:t>
      </w:r>
    </w:p>
    <w:p>
      <w:pPr>
        <w:spacing w:before="40" w:after="160"/>
      </w:pPr>
      <w:r>
        <w:rPr>
          <w:rFonts w:ascii="Calibri" w:hAnsi="Calibri"/>
          <w:b/>
          <w:i w:val="0"/>
          <w:color w:val="1E8B4C"/>
          <w:sz w:val="20"/>
        </w:rPr>
        <w:t xml:space="preserve">OPPORTUNITY: </w:t>
      </w:r>
      <w:r>
        <w:rPr>
          <w:rFonts w:ascii="Calibri" w:hAnsi="Calibri"/>
          <w:b w:val="0"/>
          <w:i w:val="0"/>
          <w:color w:val="17202A"/>
          <w:sz w:val="20"/>
        </w:rPr>
        <w:t>A platform that provides independently verified, satellite-derived ESG indicators (emissions, land use, water consumption, operational activity) for physical assets across all productive sectors — and maps them to financial instruments — addresses a USD multi-billion demand gap driven by CSRD, SFDR, and SEC climate rules.</w:t>
      </w:r>
    </w:p>
    <w:p>
      <w:pPr>
        <w:spacing w:before="280" w:after="80"/>
      </w:pPr>
      <w:r>
        <w:rPr>
          <w:rFonts w:ascii="Calibri" w:hAnsi="Calibri"/>
          <w:b/>
          <w:color w:val="1A5C8E"/>
          <w:sz w:val="24"/>
        </w:rPr>
        <w:t>3. Physical risk is modelled, not monitored</w:t>
      </w:r>
    </w:p>
    <w:p>
      <w:pPr>
        <w:spacing w:before="40" w:after="80"/>
        <w:ind w:left="0"/>
      </w:pPr>
      <w:r>
        <w:rPr>
          <w:rFonts w:ascii="Calibri" w:hAnsi="Calibri"/>
          <w:b w:val="0"/>
          <w:i w:val="0"/>
          <w:color w:val="17202A"/>
          <w:sz w:val="20"/>
        </w:rPr>
        <w:t>PROBLEM: S&amp;P Trucost and MSCI GeoSpatial AI score 2.9M and 70K assets respectively, but both use climate scenario models, not actual real-time satellite data. This means a factory in a flood zone shows the same risk score whether it flooded last month or not.</w:t>
      </w:r>
    </w:p>
    <w:p>
      <w:pPr>
        <w:spacing w:before="40" w:after="160"/>
      </w:pPr>
      <w:r>
        <w:rPr>
          <w:rFonts w:ascii="Calibri" w:hAnsi="Calibri"/>
          <w:b/>
          <w:i w:val="0"/>
          <w:color w:val="1E8B4C"/>
          <w:sz w:val="20"/>
        </w:rPr>
        <w:t xml:space="preserve">OPPORTUNITY: </w:t>
      </w:r>
      <w:r>
        <w:rPr>
          <w:rFonts w:ascii="Calibri" w:hAnsi="Calibri"/>
          <w:b w:val="0"/>
          <w:i w:val="0"/>
          <w:color w:val="17202A"/>
          <w:sz w:val="20"/>
        </w:rPr>
        <w:t>Real-time satellite monitoring combined with physical risk models enables "condition-adjusted" risk scoring — a step-change in accuracy for insurance underwriting, credit risk, and infrastructure maintenance.</w:t>
      </w:r>
    </w:p>
    <w:p>
      <w:pPr>
        <w:spacing w:before="280" w:after="80"/>
      </w:pPr>
      <w:r>
        <w:rPr>
          <w:rFonts w:ascii="Calibri" w:hAnsi="Calibri"/>
          <w:b/>
          <w:color w:val="1A5C8E"/>
          <w:sz w:val="24"/>
        </w:rPr>
        <w:t>4. Financial intelligence gap for private/unlisted productive assets</w:t>
      </w:r>
    </w:p>
    <w:p>
      <w:pPr>
        <w:spacing w:before="40" w:after="80"/>
        <w:ind w:left="0"/>
      </w:pPr>
      <w:r>
        <w:rPr>
          <w:rFonts w:ascii="Calibri" w:hAnsi="Calibri"/>
          <w:b w:val="0"/>
          <w:i w:val="0"/>
          <w:color w:val="17202A"/>
          <w:sz w:val="20"/>
        </w:rPr>
        <w:t>PROBLEM: Public equity markets are well covered. Private companies, unlisted infrastructure, farmland, and industrial facilities owned by private entities are largely invisible to financial data providers. Yet they represent the majority of global productive assets.</w:t>
      </w:r>
    </w:p>
    <w:p>
      <w:pPr>
        <w:spacing w:before="40" w:after="160"/>
      </w:pPr>
      <w:r>
        <w:rPr>
          <w:rFonts w:ascii="Calibri" w:hAnsi="Calibri"/>
          <w:b/>
          <w:i w:val="0"/>
          <w:color w:val="1E8B4C"/>
          <w:sz w:val="20"/>
        </w:rPr>
        <w:t xml:space="preserve">OPPORTUNITY: </w:t>
      </w:r>
      <w:r>
        <w:rPr>
          <w:rFonts w:ascii="Calibri" w:hAnsi="Calibri"/>
          <w:b w:val="0"/>
          <w:i w:val="0"/>
          <w:color w:val="17202A"/>
          <w:sz w:val="20"/>
        </w:rPr>
        <w:t>Satellite-derived activity intelligence (production signals, utilisation rates, workforce proxies) for private assets creates differentiated alternative data for private equity, project finance, and ESG due diligence.</w:t>
      </w:r>
    </w:p>
    <w:p>
      <w:pPr>
        <w:spacing w:before="280" w:after="80"/>
      </w:pPr>
      <w:r>
        <w:rPr>
          <w:rFonts w:ascii="Calibri" w:hAnsi="Calibri"/>
          <w:b/>
          <w:color w:val="1A5C8E"/>
          <w:sz w:val="24"/>
        </w:rPr>
        <w:t>5. Supply-chain and sanctions enforcement gap</w:t>
      </w:r>
    </w:p>
    <w:p>
      <w:pPr>
        <w:spacing w:before="40" w:after="80"/>
        <w:ind w:left="0"/>
      </w:pPr>
      <w:r>
        <w:rPr>
          <w:rFonts w:ascii="Calibri" w:hAnsi="Calibri"/>
          <w:b w:val="0"/>
          <w:i w:val="0"/>
          <w:color w:val="17202A"/>
          <w:sz w:val="20"/>
        </w:rPr>
        <w:t>PROBLEM: Russia/Ukraine conflict, EUDR (EU Deforestation Regulation), Uyghur Forced Labor Prevention Act, and new EU supply-chain due diligence law (CSDDD) create immediate demand for physical verification of where goods are produced. Self-reported supply-chain data cannot be trusted.</w:t>
      </w:r>
    </w:p>
    <w:p>
      <w:pPr>
        <w:spacing w:before="40" w:after="160"/>
      </w:pPr>
      <w:r>
        <w:rPr>
          <w:rFonts w:ascii="Calibri" w:hAnsi="Calibri"/>
          <w:b/>
          <w:i w:val="0"/>
          <w:color w:val="1E8B4C"/>
          <w:sz w:val="20"/>
        </w:rPr>
        <w:t xml:space="preserve">OPPORTUNITY: </w:t>
      </w:r>
      <w:r>
        <w:rPr>
          <w:rFonts w:ascii="Calibri" w:hAnsi="Calibri"/>
          <w:b w:val="0"/>
          <w:i w:val="0"/>
          <w:color w:val="17202A"/>
          <w:sz w:val="20"/>
        </w:rPr>
        <w:t>Satellite monitoring of specific industrial facilities linked to supply-chain graphs (who supplies whom) is a high-urgency compliance product with government-level and corporate-level demand. No pure-play product exists today.</w:t>
      </w:r>
    </w:p>
    <w:p>
      <w:r>
        <w:br w:type="page"/>
      </w:r>
    </w:p>
    <w:p>
      <w:pPr>
        <w:spacing w:before="280" w:after="80"/>
        <w:pBdr>
          <w:bottom w:val="single" w:sz="6" w:space="1" w:color="2E86C1"/>
        </w:pBdr>
      </w:pPr>
      <w:r>
        <w:rPr>
          <w:rFonts w:ascii="Calibri" w:hAnsi="Calibri"/>
          <w:b/>
          <w:color w:val="0D2B4E"/>
          <w:sz w:val="30"/>
        </w:rPr>
        <w:t>MARKET SIZING REFERENCE POINTS</w:t>
      </w:r>
    </w:p>
    <w:p>
      <w:pPr>
        <w:spacing w:before="40" w:after="160"/>
      </w:pPr>
      <w:r>
        <w:rPr>
          <w:rFonts w:ascii="Calibri" w:hAnsi="Calibri"/>
          <w:b w:val="0"/>
          <w:i/>
          <w:color w:val="ABB2B9"/>
          <w:sz w:val="20"/>
        </w:rPr>
        <w:t>Key market size data points to anchor the competitive analysis and investment thesis.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0D2B4E"/>
          </w:tcPr>
          <w:p>
            <w:pPr>
              <w:jc w:val="center"/>
            </w:pPr>
            <w:r>
              <w:rPr>
                <w:rFonts w:ascii="Calibri" w:hAnsi="Calibri"/>
                <w:b/>
                <w:i w:val="0"/>
                <w:color w:val="FFFFFF"/>
                <w:sz w:val="18"/>
              </w:rPr>
              <w:t>Company / Market</w:t>
            </w:r>
          </w:p>
        </w:tc>
        <w:tc>
          <w:tcPr>
            <w:tcW w:type="dxa" w:w="2340"/>
            <w:shd w:val="clear" w:color="auto" w:fill="0D2B4E"/>
          </w:tcPr>
          <w:p>
            <w:pPr>
              <w:jc w:val="center"/>
            </w:pPr>
            <w:r>
              <w:rPr>
                <w:rFonts w:ascii="Calibri" w:hAnsi="Calibri"/>
                <w:b/>
                <w:i w:val="0"/>
                <w:color w:val="FFFFFF"/>
                <w:sz w:val="18"/>
              </w:rPr>
              <w:t>Current Scale</w:t>
            </w:r>
          </w:p>
        </w:tc>
        <w:tc>
          <w:tcPr>
            <w:tcW w:type="dxa" w:w="2340"/>
            <w:shd w:val="clear" w:color="auto" w:fill="0D2B4E"/>
          </w:tcPr>
          <w:p>
            <w:pPr>
              <w:jc w:val="center"/>
            </w:pPr>
            <w:r>
              <w:rPr>
                <w:rFonts w:ascii="Calibri" w:hAnsi="Calibri"/>
                <w:b/>
                <w:i w:val="0"/>
                <w:color w:val="FFFFFF"/>
                <w:sz w:val="18"/>
              </w:rPr>
              <w:t>Trajectory</w:t>
            </w:r>
          </w:p>
        </w:tc>
        <w:tc>
          <w:tcPr>
            <w:tcW w:type="dxa" w:w="2340"/>
            <w:shd w:val="clear" w:color="auto" w:fill="0D2B4E"/>
          </w:tcPr>
          <w:p>
            <w:pPr>
              <w:jc w:val="center"/>
            </w:pPr>
            <w:r>
              <w:rPr>
                <w:rFonts w:ascii="Calibri" w:hAnsi="Calibri"/>
                <w:b/>
                <w:i w:val="0"/>
                <w:color w:val="FFFFFF"/>
                <w:sz w:val="18"/>
              </w:rPr>
              <w:t>Source</w:t>
            </w:r>
          </w:p>
        </w:tc>
      </w:tr>
      <w:tr>
        <w:tc>
          <w:tcPr>
            <w:tcW w:type="dxa" w:w="2340"/>
            <w:shd w:val="clear" w:color="auto" w:fill="F4F6F7"/>
          </w:tcPr>
          <w:p>
            <w:r>
              <w:rPr>
                <w:rFonts w:ascii="Calibri" w:hAnsi="Calibri"/>
                <w:b/>
                <w:i w:val="0"/>
                <w:color w:val="0D2B4E"/>
                <w:sz w:val="17"/>
              </w:rPr>
              <w:t>Geospatial AI Market (2024)</w:t>
            </w:r>
          </w:p>
        </w:tc>
        <w:tc>
          <w:tcPr>
            <w:tcW w:type="dxa" w:w="2340"/>
            <w:shd w:val="clear" w:color="auto" w:fill="F4F6F7"/>
          </w:tcPr>
          <w:p>
            <w:r>
              <w:rPr>
                <w:rFonts w:ascii="Calibri" w:hAnsi="Calibri"/>
                <w:b w:val="0"/>
                <w:i w:val="0"/>
                <w:color w:val="17202A"/>
                <w:sz w:val="17"/>
              </w:rPr>
              <w:t>USD 38B</w:t>
            </w:r>
          </w:p>
        </w:tc>
        <w:tc>
          <w:tcPr>
            <w:tcW w:type="dxa" w:w="2340"/>
            <w:shd w:val="clear" w:color="auto" w:fill="F4F6F7"/>
          </w:tcPr>
          <w:p>
            <w:r>
              <w:rPr>
                <w:rFonts w:ascii="Calibri" w:hAnsi="Calibri"/>
                <w:b w:val="0"/>
                <w:i w:val="0"/>
                <w:color w:val="17202A"/>
                <w:sz w:val="17"/>
              </w:rPr>
              <w:t>USD 64.6B by 2030 (CAGR ~9%)</w:t>
            </w:r>
          </w:p>
        </w:tc>
        <w:tc>
          <w:tcPr>
            <w:tcW w:type="dxa" w:w="2340"/>
            <w:shd w:val="clear" w:color="auto" w:fill="F4F6F7"/>
          </w:tcPr>
          <w:p>
            <w:r>
              <w:rPr>
                <w:rFonts w:ascii="Calibri" w:hAnsi="Calibri"/>
                <w:b w:val="0"/>
                <w:i w:val="0"/>
                <w:color w:val="17202A"/>
                <w:sz w:val="17"/>
              </w:rPr>
              <w:t>Precedence Research</w:t>
            </w:r>
          </w:p>
        </w:tc>
      </w:tr>
      <w:tr>
        <w:tc>
          <w:tcPr>
            <w:tcW w:type="dxa" w:w="2340"/>
            <w:shd w:val="clear" w:color="auto" w:fill="FFFFFF"/>
          </w:tcPr>
          <w:p>
            <w:r>
              <w:rPr>
                <w:rFonts w:ascii="Calibri" w:hAnsi="Calibri"/>
                <w:b/>
                <w:i w:val="0"/>
                <w:color w:val="0D2B4E"/>
                <w:sz w:val="17"/>
              </w:rPr>
              <w:t>Satellite-based EO Market (2024)</w:t>
            </w:r>
          </w:p>
        </w:tc>
        <w:tc>
          <w:tcPr>
            <w:tcW w:type="dxa" w:w="2340"/>
            <w:shd w:val="clear" w:color="auto" w:fill="FFFFFF"/>
          </w:tcPr>
          <w:p>
            <w:r>
              <w:rPr>
                <w:rFonts w:ascii="Calibri" w:hAnsi="Calibri"/>
                <w:b w:val="0"/>
                <w:i w:val="0"/>
                <w:color w:val="17202A"/>
                <w:sz w:val="17"/>
              </w:rPr>
              <w:t>USD 3.7B</w:t>
            </w:r>
          </w:p>
        </w:tc>
        <w:tc>
          <w:tcPr>
            <w:tcW w:type="dxa" w:w="2340"/>
            <w:shd w:val="clear" w:color="auto" w:fill="FFFFFF"/>
          </w:tcPr>
          <w:p>
            <w:r>
              <w:rPr>
                <w:rFonts w:ascii="Calibri" w:hAnsi="Calibri"/>
                <w:b w:val="0"/>
                <w:i w:val="0"/>
                <w:color w:val="17202A"/>
                <w:sz w:val="17"/>
              </w:rPr>
              <w:t>USD 5.1B by 2030</w:t>
            </w:r>
          </w:p>
        </w:tc>
        <w:tc>
          <w:tcPr>
            <w:tcW w:type="dxa" w:w="2340"/>
            <w:shd w:val="clear" w:color="auto" w:fill="FFFFFF"/>
          </w:tcPr>
          <w:p>
            <w:r>
              <w:rPr>
                <w:rFonts w:ascii="Calibri" w:hAnsi="Calibri"/>
                <w:b w:val="0"/>
                <w:i w:val="0"/>
                <w:color w:val="17202A"/>
                <w:sz w:val="17"/>
              </w:rPr>
              <w:t>Mordor Intelligence</w:t>
            </w:r>
          </w:p>
        </w:tc>
      </w:tr>
      <w:tr>
        <w:tc>
          <w:tcPr>
            <w:tcW w:type="dxa" w:w="2340"/>
            <w:shd w:val="clear" w:color="auto" w:fill="F4F6F7"/>
          </w:tcPr>
          <w:p>
            <w:r>
              <w:rPr>
                <w:rFonts w:ascii="Calibri" w:hAnsi="Calibri"/>
                <w:b/>
                <w:i w:val="0"/>
                <w:color w:val="0D2B4E"/>
                <w:sz w:val="17"/>
              </w:rPr>
              <w:t>ESG Rating Services Market</w:t>
            </w:r>
          </w:p>
        </w:tc>
        <w:tc>
          <w:tcPr>
            <w:tcW w:type="dxa" w:w="2340"/>
            <w:shd w:val="clear" w:color="auto" w:fill="F4F6F7"/>
          </w:tcPr>
          <w:p>
            <w:r>
              <w:rPr>
                <w:rFonts w:ascii="Calibri" w:hAnsi="Calibri"/>
                <w:b w:val="0"/>
                <w:i w:val="0"/>
                <w:color w:val="17202A"/>
                <w:sz w:val="17"/>
              </w:rPr>
              <w:t>~$1.5B</w:t>
            </w:r>
          </w:p>
        </w:tc>
        <w:tc>
          <w:tcPr>
            <w:tcW w:type="dxa" w:w="2340"/>
            <w:shd w:val="clear" w:color="auto" w:fill="F4F6F7"/>
          </w:tcPr>
          <w:p>
            <w:r>
              <w:rPr>
                <w:rFonts w:ascii="Calibri" w:hAnsi="Calibri"/>
                <w:b w:val="0"/>
                <w:i w:val="0"/>
                <w:color w:val="17202A"/>
                <w:sz w:val="17"/>
              </w:rPr>
              <w:t>Moderately concentrated; top 5 = ~65% of revenue</w:t>
            </w:r>
          </w:p>
        </w:tc>
        <w:tc>
          <w:tcPr>
            <w:tcW w:type="dxa" w:w="2340"/>
            <w:shd w:val="clear" w:color="auto" w:fill="F4F6F7"/>
          </w:tcPr>
          <w:p>
            <w:r>
              <w:rPr>
                <w:rFonts w:ascii="Calibri" w:hAnsi="Calibri"/>
                <w:b w:val="0"/>
                <w:i w:val="0"/>
                <w:color w:val="17202A"/>
                <w:sz w:val="17"/>
              </w:rPr>
              <w:t>Mordor Intelligence</w:t>
            </w:r>
          </w:p>
        </w:tc>
      </w:tr>
      <w:tr>
        <w:tc>
          <w:tcPr>
            <w:tcW w:type="dxa" w:w="2340"/>
            <w:shd w:val="clear" w:color="auto" w:fill="FFFFFF"/>
          </w:tcPr>
          <w:p>
            <w:r>
              <w:rPr>
                <w:rFonts w:ascii="Calibri" w:hAnsi="Calibri"/>
                <w:b/>
                <w:i w:val="0"/>
                <w:color w:val="0D2B4E"/>
                <w:sz w:val="17"/>
              </w:rPr>
              <w:t>S&amp;P Global Market Intelligence</w:t>
            </w:r>
          </w:p>
        </w:tc>
        <w:tc>
          <w:tcPr>
            <w:tcW w:type="dxa" w:w="2340"/>
            <w:shd w:val="clear" w:color="auto" w:fill="FFFFFF"/>
          </w:tcPr>
          <w:p>
            <w:r>
              <w:rPr>
                <w:rFonts w:ascii="Calibri" w:hAnsi="Calibri"/>
                <w:b w:val="0"/>
                <w:i w:val="0"/>
                <w:color w:val="17202A"/>
                <w:sz w:val="17"/>
              </w:rPr>
              <w:t>USD 4.65B (2024)</w:t>
            </w:r>
          </w:p>
        </w:tc>
        <w:tc>
          <w:tcPr>
            <w:tcW w:type="dxa" w:w="2340"/>
            <w:shd w:val="clear" w:color="auto" w:fill="FFFFFF"/>
          </w:tcPr>
          <w:p>
            <w:r>
              <w:rPr>
                <w:rFonts w:ascii="Calibri" w:hAnsi="Calibri"/>
                <w:b w:val="0"/>
                <w:i w:val="0"/>
                <w:color w:val="17202A"/>
                <w:sz w:val="17"/>
              </w:rPr>
              <w:t>USD 4.92B (2025, +6%)</w:t>
            </w:r>
          </w:p>
        </w:tc>
        <w:tc>
          <w:tcPr>
            <w:tcW w:type="dxa" w:w="2340"/>
            <w:shd w:val="clear" w:color="auto" w:fill="FFFFFF"/>
          </w:tcPr>
          <w:p>
            <w:r>
              <w:rPr>
                <w:rFonts w:ascii="Calibri" w:hAnsi="Calibri"/>
                <w:b w:val="0"/>
                <w:i w:val="0"/>
                <w:color w:val="17202A"/>
                <w:sz w:val="17"/>
              </w:rPr>
              <w:t>S&amp;P Global Annual Report</w:t>
            </w:r>
          </w:p>
        </w:tc>
      </w:tr>
      <w:tr>
        <w:tc>
          <w:tcPr>
            <w:tcW w:type="dxa" w:w="2340"/>
            <w:shd w:val="clear" w:color="auto" w:fill="F4F6F7"/>
          </w:tcPr>
          <w:p>
            <w:r>
              <w:rPr>
                <w:rFonts w:ascii="Calibri" w:hAnsi="Calibri"/>
                <w:b/>
                <w:i w:val="0"/>
                <w:color w:val="0D2B4E"/>
                <w:sz w:val="17"/>
              </w:rPr>
              <w:t>MSCI Total Revenue</w:t>
            </w:r>
          </w:p>
        </w:tc>
        <w:tc>
          <w:tcPr>
            <w:tcW w:type="dxa" w:w="2340"/>
            <w:shd w:val="clear" w:color="auto" w:fill="F4F6F7"/>
          </w:tcPr>
          <w:p>
            <w:r>
              <w:rPr>
                <w:rFonts w:ascii="Calibri" w:hAnsi="Calibri"/>
                <w:b w:val="0"/>
                <w:i w:val="0"/>
                <w:color w:val="17202A"/>
                <w:sz w:val="17"/>
              </w:rPr>
              <w:t>~USD 2.5B (2024)</w:t>
            </w:r>
          </w:p>
        </w:tc>
        <w:tc>
          <w:tcPr>
            <w:tcW w:type="dxa" w:w="2340"/>
            <w:shd w:val="clear" w:color="auto" w:fill="F4F6F7"/>
          </w:tcPr>
          <w:p>
            <w:r>
              <w:rPr>
                <w:rFonts w:ascii="Calibri" w:hAnsi="Calibri"/>
                <w:b w:val="0"/>
                <w:i w:val="0"/>
                <w:color w:val="17202A"/>
                <w:sz w:val="17"/>
              </w:rPr>
              <w:t>ESG analytics +40% YoY 2024</w:t>
            </w:r>
          </w:p>
        </w:tc>
        <w:tc>
          <w:tcPr>
            <w:tcW w:type="dxa" w:w="2340"/>
            <w:shd w:val="clear" w:color="auto" w:fill="F4F6F7"/>
          </w:tcPr>
          <w:p>
            <w:r>
              <w:rPr>
                <w:rFonts w:ascii="Calibri" w:hAnsi="Calibri"/>
                <w:b w:val="0"/>
                <w:i w:val="0"/>
                <w:color w:val="17202A"/>
                <w:sz w:val="17"/>
              </w:rPr>
              <w:t>MSCI Annual Report</w:t>
            </w:r>
          </w:p>
        </w:tc>
      </w:tr>
      <w:tr>
        <w:tc>
          <w:tcPr>
            <w:tcW w:type="dxa" w:w="2340"/>
            <w:shd w:val="clear" w:color="auto" w:fill="FFFFFF"/>
          </w:tcPr>
          <w:p>
            <w:r>
              <w:rPr>
                <w:rFonts w:ascii="Calibri" w:hAnsi="Calibri"/>
                <w:b/>
                <w:i w:val="0"/>
                <w:color w:val="0D2B4E"/>
                <w:sz w:val="17"/>
              </w:rPr>
              <w:t>CoStar Group</w:t>
            </w:r>
          </w:p>
        </w:tc>
        <w:tc>
          <w:tcPr>
            <w:tcW w:type="dxa" w:w="2340"/>
            <w:shd w:val="clear" w:color="auto" w:fill="FFFFFF"/>
          </w:tcPr>
          <w:p>
            <w:r>
              <w:rPr>
                <w:rFonts w:ascii="Calibri" w:hAnsi="Calibri"/>
                <w:b w:val="0"/>
                <w:i w:val="0"/>
                <w:color w:val="17202A"/>
                <w:sz w:val="17"/>
              </w:rPr>
              <w:t>USD 2.74B (2024)</w:t>
            </w:r>
          </w:p>
        </w:tc>
        <w:tc>
          <w:tcPr>
            <w:tcW w:type="dxa" w:w="2340"/>
            <w:shd w:val="clear" w:color="auto" w:fill="FFFFFF"/>
          </w:tcPr>
          <w:p>
            <w:r>
              <w:rPr>
                <w:rFonts w:ascii="Calibri" w:hAnsi="Calibri"/>
                <w:b w:val="0"/>
                <w:i w:val="0"/>
                <w:color w:val="17202A"/>
                <w:sz w:val="17"/>
              </w:rPr>
              <w:t>USD 3.2B (2025, +19%)</w:t>
            </w:r>
          </w:p>
        </w:tc>
        <w:tc>
          <w:tcPr>
            <w:tcW w:type="dxa" w:w="2340"/>
            <w:shd w:val="clear" w:color="auto" w:fill="FFFFFF"/>
          </w:tcPr>
          <w:p>
            <w:r>
              <w:rPr>
                <w:rFonts w:ascii="Calibri" w:hAnsi="Calibri"/>
                <w:b w:val="0"/>
                <w:i w:val="0"/>
                <w:color w:val="17202A"/>
                <w:sz w:val="17"/>
              </w:rPr>
              <w:t>CoStar Group IR</w:t>
            </w:r>
          </w:p>
        </w:tc>
      </w:tr>
      <w:tr>
        <w:tc>
          <w:tcPr>
            <w:tcW w:type="dxa" w:w="2340"/>
            <w:shd w:val="clear" w:color="auto" w:fill="F4F6F7"/>
          </w:tcPr>
          <w:p>
            <w:r>
              <w:rPr>
                <w:rFonts w:ascii="Calibri" w:hAnsi="Calibri"/>
                <w:b/>
                <w:i w:val="0"/>
                <w:color w:val="0D2B4E"/>
                <w:sz w:val="17"/>
              </w:rPr>
              <w:t>Dun &amp; Bradstreet</w:t>
            </w:r>
          </w:p>
        </w:tc>
        <w:tc>
          <w:tcPr>
            <w:tcW w:type="dxa" w:w="2340"/>
            <w:shd w:val="clear" w:color="auto" w:fill="F4F6F7"/>
          </w:tcPr>
          <w:p>
            <w:r>
              <w:rPr>
                <w:rFonts w:ascii="Calibri" w:hAnsi="Calibri"/>
                <w:b w:val="0"/>
                <w:i w:val="0"/>
                <w:color w:val="17202A"/>
                <w:sz w:val="17"/>
              </w:rPr>
              <w:t>USD 2.38B (2024)</w:t>
            </w:r>
          </w:p>
        </w:tc>
        <w:tc>
          <w:tcPr>
            <w:tcW w:type="dxa" w:w="2340"/>
            <w:shd w:val="clear" w:color="auto" w:fill="F4F6F7"/>
          </w:tcPr>
          <w:p>
            <w:r>
              <w:rPr>
                <w:rFonts w:ascii="Calibri" w:hAnsi="Calibri"/>
                <w:b w:val="0"/>
                <w:i w:val="0"/>
                <w:color w:val="17202A"/>
                <w:sz w:val="17"/>
              </w:rPr>
              <w:t>Being acquired by Clearlake for $7.7B</w:t>
            </w:r>
          </w:p>
        </w:tc>
        <w:tc>
          <w:tcPr>
            <w:tcW w:type="dxa" w:w="2340"/>
            <w:shd w:val="clear" w:color="auto" w:fill="F4F6F7"/>
          </w:tcPr>
          <w:p>
            <w:r>
              <w:rPr>
                <w:rFonts w:ascii="Calibri" w:hAnsi="Calibri"/>
                <w:b w:val="0"/>
                <w:i w:val="0"/>
                <w:color w:val="17202A"/>
                <w:sz w:val="17"/>
              </w:rPr>
              <w:t>D&amp;B IR</w:t>
            </w:r>
          </w:p>
        </w:tc>
      </w:tr>
      <w:tr>
        <w:tc>
          <w:tcPr>
            <w:tcW w:type="dxa" w:w="2340"/>
            <w:shd w:val="clear" w:color="auto" w:fill="FFFFFF"/>
          </w:tcPr>
          <w:p>
            <w:r>
              <w:rPr>
                <w:rFonts w:ascii="Calibri" w:hAnsi="Calibri"/>
                <w:b/>
                <w:i w:val="0"/>
                <w:color w:val="0D2B4E"/>
                <w:sz w:val="17"/>
              </w:rPr>
              <w:t>Planet Labs Revenue</w:t>
            </w:r>
          </w:p>
        </w:tc>
        <w:tc>
          <w:tcPr>
            <w:tcW w:type="dxa" w:w="2340"/>
            <w:shd w:val="clear" w:color="auto" w:fill="FFFFFF"/>
          </w:tcPr>
          <w:p>
            <w:r>
              <w:rPr>
                <w:rFonts w:ascii="Calibri" w:hAnsi="Calibri"/>
                <w:b w:val="0"/>
                <w:i w:val="0"/>
                <w:color w:val="17202A"/>
                <w:sz w:val="17"/>
              </w:rPr>
              <w:t>USD 244M (FY2024)</w:t>
            </w:r>
          </w:p>
        </w:tc>
        <w:tc>
          <w:tcPr>
            <w:tcW w:type="dxa" w:w="2340"/>
            <w:shd w:val="clear" w:color="auto" w:fill="FFFFFF"/>
          </w:tcPr>
          <w:p>
            <w:r>
              <w:rPr>
                <w:rFonts w:ascii="Calibri" w:hAnsi="Calibri"/>
                <w:b w:val="0"/>
                <w:i w:val="0"/>
                <w:color w:val="17202A"/>
                <w:sz w:val="17"/>
              </w:rPr>
              <w:t>USD 281–289M guidance (FY2026)</w:t>
            </w:r>
          </w:p>
        </w:tc>
        <w:tc>
          <w:tcPr>
            <w:tcW w:type="dxa" w:w="2340"/>
            <w:shd w:val="clear" w:color="auto" w:fill="FFFFFF"/>
          </w:tcPr>
          <w:p>
            <w:r>
              <w:rPr>
                <w:rFonts w:ascii="Calibri" w:hAnsi="Calibri"/>
                <w:b w:val="0"/>
                <w:i w:val="0"/>
                <w:color w:val="17202A"/>
                <w:sz w:val="17"/>
              </w:rPr>
              <w:t>Planet Labs IR</w:t>
            </w:r>
          </w:p>
        </w:tc>
      </w:tr>
      <w:tr>
        <w:tc>
          <w:tcPr>
            <w:tcW w:type="dxa" w:w="2340"/>
            <w:shd w:val="clear" w:color="auto" w:fill="F4F6F7"/>
          </w:tcPr>
          <w:p>
            <w:r>
              <w:rPr>
                <w:rFonts w:ascii="Calibri" w:hAnsi="Calibri"/>
                <w:b/>
                <w:i w:val="0"/>
                <w:color w:val="0D2B4E"/>
                <w:sz w:val="17"/>
              </w:rPr>
              <w:t>Morningstar (incl. Sustainalytics)</w:t>
            </w:r>
          </w:p>
        </w:tc>
        <w:tc>
          <w:tcPr>
            <w:tcW w:type="dxa" w:w="2340"/>
            <w:shd w:val="clear" w:color="auto" w:fill="F4F6F7"/>
          </w:tcPr>
          <w:p>
            <w:r>
              <w:rPr>
                <w:rFonts w:ascii="Calibri" w:hAnsi="Calibri"/>
                <w:b w:val="0"/>
                <w:i w:val="0"/>
                <w:color w:val="17202A"/>
                <w:sz w:val="17"/>
              </w:rPr>
              <w:t>~USD 2.0–2.2B (2024)</w:t>
            </w:r>
          </w:p>
        </w:tc>
        <w:tc>
          <w:tcPr>
            <w:tcW w:type="dxa" w:w="2340"/>
            <w:shd w:val="clear" w:color="auto" w:fill="F4F6F7"/>
          </w:tcPr>
          <w:p>
            <w:r>
              <w:rPr>
                <w:rFonts w:ascii="Calibri" w:hAnsi="Calibri"/>
                <w:b w:val="0"/>
                <w:i w:val="0"/>
                <w:color w:val="17202A"/>
                <w:sz w:val="17"/>
              </w:rPr>
              <w:t>Sustainalytics -6.5% YoY Q1 2025</w:t>
            </w:r>
          </w:p>
        </w:tc>
        <w:tc>
          <w:tcPr>
            <w:tcW w:type="dxa" w:w="2340"/>
            <w:shd w:val="clear" w:color="auto" w:fill="F4F6F7"/>
          </w:tcPr>
          <w:p>
            <w:r>
              <w:rPr>
                <w:rFonts w:ascii="Calibri" w:hAnsi="Calibri"/>
                <w:b w:val="0"/>
                <w:i w:val="0"/>
                <w:color w:val="17202A"/>
                <w:sz w:val="17"/>
              </w:rPr>
              <w:t>Morningstar IR</w:t>
            </w:r>
          </w:p>
        </w:tc>
      </w:tr>
      <w:tr>
        <w:tc>
          <w:tcPr>
            <w:tcW w:type="dxa" w:w="2340"/>
            <w:shd w:val="clear" w:color="auto" w:fill="FFFFFF"/>
          </w:tcPr>
          <w:p>
            <w:r>
              <w:rPr>
                <w:rFonts w:ascii="Calibri" w:hAnsi="Calibri"/>
                <w:b/>
                <w:i w:val="0"/>
                <w:color w:val="0D2B4E"/>
                <w:sz w:val="17"/>
              </w:rPr>
              <w:t>Palantir Revenue</w:t>
            </w:r>
          </w:p>
        </w:tc>
        <w:tc>
          <w:tcPr>
            <w:tcW w:type="dxa" w:w="2340"/>
            <w:shd w:val="clear" w:color="auto" w:fill="FFFFFF"/>
          </w:tcPr>
          <w:p>
            <w:r>
              <w:rPr>
                <w:rFonts w:ascii="Calibri" w:hAnsi="Calibri"/>
                <w:b w:val="0"/>
                <w:i w:val="0"/>
                <w:color w:val="17202A"/>
                <w:sz w:val="17"/>
              </w:rPr>
              <w:t>USD 2.87B (FY2024)</w:t>
            </w:r>
          </w:p>
        </w:tc>
        <w:tc>
          <w:tcPr>
            <w:tcW w:type="dxa" w:w="2340"/>
            <w:shd w:val="clear" w:color="auto" w:fill="FFFFFF"/>
          </w:tcPr>
          <w:p>
            <w:r>
              <w:rPr>
                <w:rFonts w:ascii="Calibri" w:hAnsi="Calibri"/>
                <w:b w:val="0"/>
                <w:i w:val="0"/>
                <w:color w:val="17202A"/>
                <w:sz w:val="17"/>
              </w:rPr>
              <w:t>USD 4.4B guidance (FY2025, +53%)</w:t>
            </w:r>
          </w:p>
        </w:tc>
        <w:tc>
          <w:tcPr>
            <w:tcW w:type="dxa" w:w="2340"/>
            <w:shd w:val="clear" w:color="auto" w:fill="FFFFFF"/>
          </w:tcPr>
          <w:p>
            <w:r>
              <w:rPr>
                <w:rFonts w:ascii="Calibri" w:hAnsi="Calibri"/>
                <w:b w:val="0"/>
                <w:i w:val="0"/>
                <w:color w:val="17202A"/>
                <w:sz w:val="17"/>
              </w:rPr>
              <w:t>Palantir IR</w:t>
            </w:r>
          </w:p>
        </w:tc>
      </w:tr>
    </w:tbl>
    <w:p>
      <w:pPr>
        <w:spacing w:before="0" w:after="0"/>
      </w:pPr>
      <w:r>
        <w:rPr>
          <w:sz w:val="20"/>
        </w:rPr>
      </w:r>
    </w:p>
    <w:p>
      <w:r>
        <w:br w:type="page"/>
      </w:r>
    </w:p>
    <w:p>
      <w:pPr>
        <w:spacing w:before="280" w:after="80"/>
        <w:pBdr>
          <w:bottom w:val="single" w:sz="6" w:space="1" w:color="2E86C1"/>
        </w:pBdr>
      </w:pPr>
      <w:r>
        <w:rPr>
          <w:rFonts w:ascii="Calibri" w:hAnsi="Calibri"/>
          <w:b/>
          <w:color w:val="0D2B4E"/>
          <w:sz w:val="30"/>
        </w:rPr>
        <w:t>SLIDE DECK SCRIPT — COMPETITIVE ANALYSIS PRESENTATION</w:t>
      </w:r>
    </w:p>
    <w:p>
      <w:pPr>
        <w:spacing w:before="40" w:after="160"/>
      </w:pPr>
      <w:r>
        <w:rPr>
          <w:rFonts w:ascii="Calibri" w:hAnsi="Calibri"/>
          <w:b w:val="0"/>
          <w:i/>
          <w:color w:val="ABB2B9"/>
          <w:sz w:val="20"/>
        </w:rPr>
        <w:t>The following is a recommended slide-by-slide structure and speaker notes for presenting this competitive analysis to investors, advisors, or team members. Estimated deck length: 14 slides. Estimated presentation time: 20-25 minutes.</w:t>
      </w:r>
    </w:p>
    <w:p>
      <w:pPr>
        <w:spacing w:before="280" w:after="80"/>
      </w:pPr>
      <w:r>
        <w:rPr>
          <w:rFonts w:ascii="Calibri" w:hAnsi="Calibri"/>
          <w:b/>
          <w:color w:val="1A5C8E"/>
          <w:sz w:val="24"/>
        </w:rPr>
        <w:t>Slide 1: Title Slide</w:t>
      </w:r>
    </w:p>
    <w:p>
      <w:pPr>
        <w:spacing w:before="40" w:after="80"/>
      </w:pPr>
      <w:r>
        <w:rPr>
          <w:rFonts w:ascii="Calibri" w:hAnsi="Calibri"/>
          <w:b/>
          <w:i w:val="0"/>
          <w:color w:val="2E86C1"/>
          <w:sz w:val="19"/>
        </w:rPr>
        <w:t xml:space="preserve">VISUAL: </w:t>
      </w:r>
      <w:r>
        <w:rPr>
          <w:rFonts w:ascii="Calibri" w:hAnsi="Calibri"/>
          <w:b w:val="0"/>
          <w:i/>
          <w:color w:val="ABB2B9"/>
          <w:sz w:val="19"/>
        </w:rPr>
        <w:t>Company logo, tagline, presenter name, date. Background: satellite image of industrial landscape.</w:t>
      </w:r>
    </w:p>
    <w:p>
      <w:pPr>
        <w:spacing w:before="280" w:after="80"/>
      </w:pPr>
      <w:r>
        <w:rPr>
          <w:rFonts w:ascii="Calibri" w:hAnsi="Calibri"/>
          <w:b/>
          <w:i/>
          <w:color w:val="2E86C1"/>
          <w:sz w:val="21"/>
        </w:rPr>
        <w:t>Slide Content</w:t>
      </w:r>
    </w:p>
    <w:p>
      <w:pPr>
        <w:pStyle w:val="ListBullet"/>
        <w:spacing w:before="20" w:after="40"/>
        <w:ind w:left="360"/>
      </w:pPr>
      <w:r>
        <w:rPr>
          <w:rFonts w:ascii="Calibri" w:hAnsi="Calibri"/>
          <w:b w:val="0"/>
          <w:i w:val="0"/>
          <w:color w:val="17202A"/>
          <w:sz w:val="20"/>
        </w:rPr>
        <w:t>Title: "The Physical World Has a Data Problem — We're Solving It"</w:t>
      </w:r>
    </w:p>
    <w:p>
      <w:pPr>
        <w:pStyle w:val="ListBullet"/>
        <w:spacing w:before="20" w:after="40"/>
        <w:ind w:left="360"/>
      </w:pPr>
      <w:r>
        <w:rPr>
          <w:rFonts w:ascii="Calibri" w:hAnsi="Calibri"/>
          <w:b w:val="0"/>
          <w:i w:val="0"/>
          <w:color w:val="17202A"/>
          <w:sz w:val="20"/>
        </w:rPr>
        <w:t>Subtitle: Competitive Landscape &amp; Market Opportunity</w:t>
      </w:r>
    </w:p>
    <w:p>
      <w:pPr>
        <w:spacing w:before="280" w:after="80"/>
      </w:pPr>
      <w:r>
        <w:rPr>
          <w:rFonts w:ascii="Calibri" w:hAnsi="Calibri"/>
          <w:b/>
          <w:i/>
          <w:color w:val="2E86C1"/>
          <w:sz w:val="21"/>
        </w:rPr>
        <w:t>Speaker Notes</w:t>
      </w:r>
    </w:p>
    <w:p>
      <w:pPr>
        <w:spacing w:before="40" w:after="200"/>
        <w:ind w:left="360"/>
      </w:pPr>
      <w:r>
        <w:rPr>
          <w:rFonts w:ascii="Calibri" w:hAnsi="Calibri"/>
          <w:b w:val="0"/>
          <w:i/>
          <w:color w:val="17202A"/>
          <w:sz w:val="19"/>
        </w:rPr>
        <w:t>Open with the provocation: trillions of dollars of financial decisions are made about physical assets — factories, mines, farms, power plants — using data that is self-reported, static, and unverifiable. Our platform changes that.</w:t>
      </w:r>
    </w:p>
    <w:p>
      <w:pPr>
        <w:spacing w:before="0" w:after="0"/>
      </w:pPr>
      <w:r>
        <w:rPr>
          <w:sz w:val="12"/>
        </w:rPr>
      </w:r>
    </w:p>
    <w:p>
      <w:pPr>
        <w:spacing w:before="280" w:after="80"/>
      </w:pPr>
      <w:r>
        <w:rPr>
          <w:rFonts w:ascii="Calibri" w:hAnsi="Calibri"/>
          <w:b/>
          <w:color w:val="1A5C8E"/>
          <w:sz w:val="24"/>
        </w:rPr>
        <w:t>Slide 2: The Core Problem</w:t>
      </w:r>
    </w:p>
    <w:p>
      <w:pPr>
        <w:spacing w:before="40" w:after="80"/>
      </w:pPr>
      <w:r>
        <w:rPr>
          <w:rFonts w:ascii="Calibri" w:hAnsi="Calibri"/>
          <w:b/>
          <w:i w:val="0"/>
          <w:color w:val="2E86C1"/>
          <w:sz w:val="19"/>
        </w:rPr>
        <w:t xml:space="preserve">VISUAL: </w:t>
      </w:r>
      <w:r>
        <w:rPr>
          <w:rFonts w:ascii="Calibri" w:hAnsi="Calibri"/>
          <w:b w:val="0"/>
          <w:i/>
          <w:color w:val="ABB2B9"/>
          <w:sz w:val="19"/>
        </w:rPr>
        <w:t>3-panel diagram: (1) Physical asset exists → (2) No real-time data → (3) Financial/ESG decisions made blindly.</w:t>
      </w:r>
    </w:p>
    <w:p>
      <w:pPr>
        <w:spacing w:before="280" w:after="80"/>
      </w:pPr>
      <w:r>
        <w:rPr>
          <w:rFonts w:ascii="Calibri" w:hAnsi="Calibri"/>
          <w:b/>
          <w:i/>
          <w:color w:val="2E86C1"/>
          <w:sz w:val="21"/>
        </w:rPr>
        <w:t>Slide Content</w:t>
      </w:r>
    </w:p>
    <w:p>
      <w:pPr>
        <w:pStyle w:val="ListBullet"/>
        <w:spacing w:before="20" w:after="40"/>
        <w:ind w:left="360"/>
      </w:pPr>
      <w:r>
        <w:rPr>
          <w:rFonts w:ascii="Calibri" w:hAnsi="Calibri"/>
          <w:b w:val="0"/>
          <w:i w:val="0"/>
          <w:color w:val="17202A"/>
          <w:sz w:val="20"/>
        </w:rPr>
        <w:t>2.9 million assets mapped by S&amp;P Trucost — but using modelled, not monitored data</w:t>
      </w:r>
    </w:p>
    <w:p>
      <w:pPr>
        <w:pStyle w:val="ListBullet"/>
        <w:spacing w:before="20" w:after="40"/>
        <w:ind w:left="360"/>
      </w:pPr>
      <w:r>
        <w:rPr>
          <w:rFonts w:ascii="Calibri" w:hAnsi="Calibri"/>
          <w:b w:val="0"/>
          <w:i w:val="0"/>
          <w:color w:val="17202A"/>
          <w:sz w:val="20"/>
        </w:rPr>
        <w:t>ESG ratings based 80%+ on self-reported company disclosures</w:t>
      </w:r>
    </w:p>
    <w:p>
      <w:pPr>
        <w:pStyle w:val="ListBullet"/>
        <w:spacing w:before="20" w:after="40"/>
        <w:ind w:left="360"/>
      </w:pPr>
      <w:r>
        <w:rPr>
          <w:rFonts w:ascii="Calibri" w:hAnsi="Calibri"/>
          <w:b w:val="0"/>
          <w:i w:val="0"/>
          <w:color w:val="17202A"/>
          <w:sz w:val="20"/>
        </w:rPr>
        <w:t>Unknown/undisclosed assets invisible to any financial data provider</w:t>
      </w:r>
    </w:p>
    <w:p>
      <w:pPr>
        <w:pStyle w:val="ListBullet"/>
        <w:spacing w:before="20" w:after="40"/>
        <w:ind w:left="360"/>
      </w:pPr>
      <w:r>
        <w:rPr>
          <w:rFonts w:ascii="Calibri" w:hAnsi="Calibri"/>
          <w:b w:val="0"/>
          <w:i w:val="0"/>
          <w:color w:val="17202A"/>
          <w:sz w:val="20"/>
        </w:rPr>
        <w:t>Supply chain due diligence laws (CSRD, CSDDD, EUDR, UFLPA) demand physical proof</w:t>
      </w:r>
    </w:p>
    <w:p>
      <w:pPr>
        <w:spacing w:before="280" w:after="80"/>
      </w:pPr>
      <w:r>
        <w:rPr>
          <w:rFonts w:ascii="Calibri" w:hAnsi="Calibri"/>
          <w:b/>
          <w:i/>
          <w:color w:val="2E86C1"/>
          <w:sz w:val="21"/>
        </w:rPr>
        <w:t>Speaker Notes</w:t>
      </w:r>
    </w:p>
    <w:p>
      <w:pPr>
        <w:spacing w:before="40" w:after="200"/>
        <w:ind w:left="360"/>
      </w:pPr>
      <w:r>
        <w:rPr>
          <w:rFonts w:ascii="Calibri" w:hAnsi="Calibri"/>
          <w:b w:val="0"/>
          <w:i/>
          <w:color w:val="17202A"/>
          <w:sz w:val="19"/>
        </w:rPr>
        <w:t>Frame the problem clearly: existing platforms know companies exist, but they do not watch assets. S&amp;P Trucost has the largest physical risk dataset — 2.9M assets — but their data is modelled from climate scenarios, not observed by satellite. MSCI's GeoSpatial Asset Intelligence covers 70,000 companies — better, but still inferred location data. Nobody is watching. We will.</w:t>
      </w:r>
    </w:p>
    <w:p>
      <w:pPr>
        <w:spacing w:before="0" w:after="0"/>
      </w:pPr>
      <w:r>
        <w:rPr>
          <w:sz w:val="12"/>
        </w:rPr>
      </w:r>
    </w:p>
    <w:p>
      <w:pPr>
        <w:spacing w:before="280" w:after="80"/>
      </w:pPr>
      <w:r>
        <w:rPr>
          <w:rFonts w:ascii="Calibri" w:hAnsi="Calibri"/>
          <w:b/>
          <w:color w:val="1A5C8E"/>
          <w:sz w:val="24"/>
        </w:rPr>
        <w:t>Slide 3: Market Size &amp; Tailwinds</w:t>
      </w:r>
    </w:p>
    <w:p>
      <w:pPr>
        <w:spacing w:before="40" w:after="80"/>
      </w:pPr>
      <w:r>
        <w:rPr>
          <w:rFonts w:ascii="Calibri" w:hAnsi="Calibri"/>
          <w:b/>
          <w:i w:val="0"/>
          <w:color w:val="2E86C1"/>
          <w:sz w:val="19"/>
        </w:rPr>
        <w:t xml:space="preserve">VISUAL: </w:t>
      </w:r>
      <w:r>
        <w:rPr>
          <w:rFonts w:ascii="Calibri" w:hAnsi="Calibri"/>
          <w:b w:val="0"/>
          <w:i/>
          <w:color w:val="ABB2B9"/>
          <w:sz w:val="19"/>
        </w:rPr>
        <w:t>Two bar charts: (1) Geospatial AI market growth $38B→$65B. (2) ESG data market growth. Plus 3 regulatory icons.</w:t>
      </w:r>
    </w:p>
    <w:p>
      <w:pPr>
        <w:spacing w:before="280" w:after="80"/>
      </w:pPr>
      <w:r>
        <w:rPr>
          <w:rFonts w:ascii="Calibri" w:hAnsi="Calibri"/>
          <w:b/>
          <w:i/>
          <w:color w:val="2E86C1"/>
          <w:sz w:val="21"/>
        </w:rPr>
        <w:t>Slide Content</w:t>
      </w:r>
    </w:p>
    <w:p>
      <w:pPr>
        <w:pStyle w:val="ListBullet"/>
        <w:spacing w:before="20" w:after="40"/>
        <w:ind w:left="360"/>
      </w:pPr>
      <w:r>
        <w:rPr>
          <w:rFonts w:ascii="Calibri" w:hAnsi="Calibri"/>
          <w:b w:val="0"/>
          <w:i w:val="0"/>
          <w:color w:val="17202A"/>
          <w:sz w:val="20"/>
        </w:rPr>
        <w:t>Geospatial AI: USD 38B (2024) → USD 64.6B (2030), CAGR 9%</w:t>
      </w:r>
    </w:p>
    <w:p>
      <w:pPr>
        <w:pStyle w:val="ListBullet"/>
        <w:spacing w:before="20" w:after="40"/>
        <w:ind w:left="360"/>
      </w:pPr>
      <w:r>
        <w:rPr>
          <w:rFonts w:ascii="Calibri" w:hAnsi="Calibri"/>
          <w:b w:val="0"/>
          <w:i w:val="0"/>
          <w:color w:val="17202A"/>
          <w:sz w:val="20"/>
        </w:rPr>
        <w:t>Satellite EO: USD 3.7B (2024) → USD 5.1B (2030)</w:t>
      </w:r>
    </w:p>
    <w:p>
      <w:pPr>
        <w:pStyle w:val="ListBullet"/>
        <w:spacing w:before="20" w:after="40"/>
        <w:ind w:left="360"/>
      </w:pPr>
      <w:r>
        <w:rPr>
          <w:rFonts w:ascii="Calibri" w:hAnsi="Calibri"/>
          <w:b w:val="0"/>
          <w:i w:val="0"/>
          <w:color w:val="17202A"/>
          <w:sz w:val="20"/>
        </w:rPr>
        <w:t>ESG data market: ~$1.5B, top 5 players control 65%</w:t>
      </w:r>
    </w:p>
    <w:p>
      <w:pPr>
        <w:pStyle w:val="ListBullet"/>
        <w:spacing w:before="20" w:after="40"/>
        <w:ind w:left="360"/>
      </w:pPr>
      <w:r>
        <w:rPr>
          <w:rFonts w:ascii="Calibri" w:hAnsi="Calibri"/>
          <w:b w:val="0"/>
          <w:i w:val="0"/>
          <w:color w:val="17202A"/>
          <w:sz w:val="20"/>
        </w:rPr>
        <w:t>Regulatory demand: CSRD (50,000 EU companies), SFDR, EUDR, UFLPA, CSDDD</w:t>
      </w:r>
    </w:p>
    <w:p>
      <w:pPr>
        <w:spacing w:before="280" w:after="80"/>
      </w:pPr>
      <w:r>
        <w:rPr>
          <w:rFonts w:ascii="Calibri" w:hAnsi="Calibri"/>
          <w:b/>
          <w:i/>
          <w:color w:val="2E86C1"/>
          <w:sz w:val="21"/>
        </w:rPr>
        <w:t>Speaker Notes</w:t>
      </w:r>
    </w:p>
    <w:p>
      <w:pPr>
        <w:spacing w:before="40" w:after="200"/>
        <w:ind w:left="360"/>
      </w:pPr>
      <w:r>
        <w:rPr>
          <w:rFonts w:ascii="Calibri" w:hAnsi="Calibri"/>
          <w:b w:val="0"/>
          <w:i/>
          <w:color w:val="17202A"/>
          <w:sz w:val="19"/>
        </w:rPr>
        <w:t>This is a multi-billion-dollar market with strong regulatory tailwinds. Every EU company above 250 employees will report under CSRD by 2026. The demand is not speculative — it is legally mandated. No incumbent fully addresses the physical asset monitoring layer.</w:t>
      </w:r>
    </w:p>
    <w:p>
      <w:pPr>
        <w:spacing w:before="0" w:after="0"/>
      </w:pPr>
      <w:r>
        <w:rPr>
          <w:sz w:val="12"/>
        </w:rPr>
      </w:r>
    </w:p>
    <w:p>
      <w:pPr>
        <w:spacing w:before="280" w:after="80"/>
      </w:pPr>
      <w:r>
        <w:rPr>
          <w:rFonts w:ascii="Calibri" w:hAnsi="Calibri"/>
          <w:b/>
          <w:color w:val="1A5C8E"/>
          <w:sz w:val="24"/>
        </w:rPr>
        <w:t>Slide 4: Competitive Landscape Overview</w:t>
      </w:r>
    </w:p>
    <w:p>
      <w:pPr>
        <w:spacing w:before="40" w:after="80"/>
      </w:pPr>
      <w:r>
        <w:rPr>
          <w:rFonts w:ascii="Calibri" w:hAnsi="Calibri"/>
          <w:b/>
          <w:i w:val="0"/>
          <w:color w:val="2E86C1"/>
          <w:sz w:val="19"/>
        </w:rPr>
        <w:t xml:space="preserve">VISUAL: </w:t>
      </w:r>
      <w:r>
        <w:rPr>
          <w:rFonts w:ascii="Calibri" w:hAnsi="Calibri"/>
          <w:b w:val="0"/>
          <w:i/>
          <w:color w:val="ABB2B9"/>
          <w:sz w:val="19"/>
        </w:rPr>
        <w:t>2x2 matrix: X-axis = Physical Asset Intelligence (low→high), Y-axis = ESG/Financial Integration (low→high). Plot key players in quadrants.</w:t>
      </w:r>
    </w:p>
    <w:p>
      <w:pPr>
        <w:spacing w:before="280" w:after="80"/>
      </w:pPr>
      <w:r>
        <w:rPr>
          <w:rFonts w:ascii="Calibri" w:hAnsi="Calibri"/>
          <w:b/>
          <w:i/>
          <w:color w:val="2E86C1"/>
          <w:sz w:val="21"/>
        </w:rPr>
        <w:t>Slide Content</w:t>
      </w:r>
    </w:p>
    <w:p>
      <w:pPr>
        <w:pStyle w:val="ListBullet"/>
        <w:spacing w:before="20" w:after="40"/>
        <w:ind w:left="360"/>
      </w:pPr>
      <w:r>
        <w:rPr>
          <w:rFonts w:ascii="Calibri" w:hAnsi="Calibri"/>
          <w:b w:val="0"/>
          <w:i w:val="0"/>
          <w:color w:val="17202A"/>
          <w:sz w:val="20"/>
        </w:rPr>
        <w:t>TOP RIGHT (target quadrant): Currently EMPTY — this is our position</w:t>
      </w:r>
    </w:p>
    <w:p>
      <w:pPr>
        <w:pStyle w:val="ListBullet"/>
        <w:spacing w:before="20" w:after="40"/>
        <w:ind w:left="360"/>
      </w:pPr>
      <w:r>
        <w:rPr>
          <w:rFonts w:ascii="Calibri" w:hAnsi="Calibri"/>
          <w:b w:val="0"/>
          <w:i w:val="0"/>
          <w:color w:val="17202A"/>
          <w:sz w:val="20"/>
        </w:rPr>
        <w:t>TOP LEFT: MSCI, Clarity AI, S&amp;P Trucost — ESG but not physical monitoring</w:t>
      </w:r>
    </w:p>
    <w:p>
      <w:pPr>
        <w:pStyle w:val="ListBullet"/>
        <w:spacing w:before="20" w:after="40"/>
        <w:ind w:left="360"/>
      </w:pPr>
      <w:r>
        <w:rPr>
          <w:rFonts w:ascii="Calibri" w:hAnsi="Calibri"/>
          <w:b w:val="0"/>
          <w:i w:val="0"/>
          <w:color w:val="17202A"/>
          <w:sz w:val="20"/>
        </w:rPr>
        <w:t>BOTTOM RIGHT: Kayrros, AiDash, LiveEO — physical monitoring but narrow sector, weak ESG/finance link</w:t>
      </w:r>
    </w:p>
    <w:p>
      <w:pPr>
        <w:pStyle w:val="ListBullet"/>
        <w:spacing w:before="20" w:after="40"/>
        <w:ind w:left="360"/>
      </w:pPr>
      <w:r>
        <w:rPr>
          <w:rFonts w:ascii="Calibri" w:hAnsi="Calibri"/>
          <w:b w:val="0"/>
          <w:i w:val="0"/>
          <w:color w:val="17202A"/>
          <w:sz w:val="20"/>
        </w:rPr>
        <w:t>BOTTOM LEFT: SpaceKnow, RS Metrics — niche, limited integration</w:t>
      </w:r>
    </w:p>
    <w:p>
      <w:pPr>
        <w:spacing w:before="280" w:after="80"/>
      </w:pPr>
      <w:r>
        <w:rPr>
          <w:rFonts w:ascii="Calibri" w:hAnsi="Calibri"/>
          <w:b/>
          <w:i/>
          <w:color w:val="2E86C1"/>
          <w:sz w:val="21"/>
        </w:rPr>
        <w:t>Speaker Notes</w:t>
      </w:r>
    </w:p>
    <w:p>
      <w:pPr>
        <w:spacing w:before="40" w:after="200"/>
        <w:ind w:left="360"/>
      </w:pPr>
      <w:r>
        <w:rPr>
          <w:rFonts w:ascii="Calibri" w:hAnsi="Calibri"/>
          <w:b w:val="0"/>
          <w:i/>
          <w:color w:val="17202A"/>
          <w:sz w:val="19"/>
        </w:rPr>
        <w:t>This is the key insight slide. The top-right quadrant — high physical asset intelligence AND high ESG/financial integration — is empty. Kayrros came closest for the energy sector and was acquired for $X (undisclosed) by Energy Aspects in March 2026 after $78M in funding and $20M revenue. That exit validates the thesis. We are building the cross-sector version.</w:t>
      </w:r>
    </w:p>
    <w:p>
      <w:pPr>
        <w:spacing w:before="0" w:after="0"/>
      </w:pPr>
      <w:r>
        <w:rPr>
          <w:sz w:val="12"/>
        </w:rPr>
      </w:r>
    </w:p>
    <w:p>
      <w:pPr>
        <w:spacing w:before="280" w:after="80"/>
      </w:pPr>
      <w:r>
        <w:rPr>
          <w:rFonts w:ascii="Calibri" w:hAnsi="Calibri"/>
          <w:b/>
          <w:color w:val="1A5C8E"/>
          <w:sz w:val="24"/>
        </w:rPr>
        <w:t>Slide 5: Category 1: Satellite AI — Key Players</w:t>
      </w:r>
    </w:p>
    <w:p>
      <w:pPr>
        <w:spacing w:before="40" w:after="80"/>
      </w:pPr>
      <w:r>
        <w:rPr>
          <w:rFonts w:ascii="Calibri" w:hAnsi="Calibri"/>
          <w:b/>
          <w:i w:val="0"/>
          <w:color w:val="2E86C1"/>
          <w:sz w:val="19"/>
        </w:rPr>
        <w:t xml:space="preserve">VISUAL: </w:t>
      </w:r>
      <w:r>
        <w:rPr>
          <w:rFonts w:ascii="Calibri" w:hAnsi="Calibri"/>
          <w:b w:val="0"/>
          <w:i/>
          <w:color w:val="ABB2B9"/>
          <w:sz w:val="19"/>
        </w:rPr>
        <w:t>Logo grid of 6 companies with one-line descriptor and funding/revenue figure. Color-code by relevance to our space.</w:t>
      </w:r>
    </w:p>
    <w:p>
      <w:pPr>
        <w:spacing w:before="280" w:after="80"/>
      </w:pPr>
      <w:r>
        <w:rPr>
          <w:rFonts w:ascii="Calibri" w:hAnsi="Calibri"/>
          <w:b/>
          <w:i/>
          <w:color w:val="2E86C1"/>
          <w:sz w:val="21"/>
        </w:rPr>
        <w:t>Slide Content</w:t>
      </w:r>
    </w:p>
    <w:p>
      <w:pPr>
        <w:pStyle w:val="ListBullet"/>
        <w:spacing w:before="20" w:after="40"/>
        <w:ind w:left="360"/>
      </w:pPr>
      <w:r>
        <w:rPr>
          <w:rFonts w:ascii="Calibri" w:hAnsi="Calibri"/>
          <w:b w:val="0"/>
          <w:i w:val="0"/>
          <w:color w:val="17202A"/>
          <w:sz w:val="20"/>
        </w:rPr>
        <w:t>Orbital Insight: $132M raised, $44M revenue, acquired Privateer 2024 — pioneer, uncertain future</w:t>
      </w:r>
    </w:p>
    <w:p>
      <w:pPr>
        <w:pStyle w:val="ListBullet"/>
        <w:spacing w:before="20" w:after="40"/>
        <w:ind w:left="360"/>
      </w:pPr>
      <w:r>
        <w:rPr>
          <w:rFonts w:ascii="Calibri" w:hAnsi="Calibri"/>
          <w:b w:val="0"/>
          <w:i w:val="0"/>
          <w:color w:val="17202A"/>
          <w:sz w:val="20"/>
        </w:rPr>
        <w:t>Kayrros: $78M raised, $20M revenue, acquired 2026 — CLOSEST ANALOGUE</w:t>
      </w:r>
    </w:p>
    <w:p>
      <w:pPr>
        <w:pStyle w:val="ListBullet"/>
        <w:spacing w:before="20" w:after="40"/>
        <w:ind w:left="360"/>
      </w:pPr>
      <w:r>
        <w:rPr>
          <w:rFonts w:ascii="Calibri" w:hAnsi="Calibri"/>
          <w:b w:val="0"/>
          <w:i w:val="0"/>
          <w:color w:val="17202A"/>
          <w:sz w:val="20"/>
        </w:rPr>
        <w:t>Planet Labs: $244M revenue (FY2024) — data infrastructure, no analytics</w:t>
      </w:r>
    </w:p>
    <w:p>
      <w:pPr>
        <w:pStyle w:val="ListBullet"/>
        <w:spacing w:before="20" w:after="40"/>
        <w:ind w:left="360"/>
      </w:pPr>
      <w:r>
        <w:rPr>
          <w:rFonts w:ascii="Calibri" w:hAnsi="Calibri"/>
          <w:b w:val="0"/>
          <w:i w:val="0"/>
          <w:color w:val="17202A"/>
          <w:sz w:val="20"/>
        </w:rPr>
        <w:t>ICEYE: USD 2.8B valuation (2025), $430M+ raised — SAR, insurance/defence focus</w:t>
      </w:r>
    </w:p>
    <w:p>
      <w:pPr>
        <w:pStyle w:val="ListBullet"/>
        <w:spacing w:before="20" w:after="40"/>
        <w:ind w:left="360"/>
      </w:pPr>
      <w:r>
        <w:rPr>
          <w:rFonts w:ascii="Calibri" w:hAnsi="Calibri"/>
          <w:b w:val="0"/>
          <w:i w:val="0"/>
          <w:color w:val="17202A"/>
          <w:sz w:val="20"/>
        </w:rPr>
        <w:t>LiveEO: €72M+ raised, 3x revenue growth — utilities/infrastructure, Europe</w:t>
      </w:r>
    </w:p>
    <w:p>
      <w:pPr>
        <w:pStyle w:val="ListBullet"/>
        <w:spacing w:before="20" w:after="40"/>
        <w:ind w:left="360"/>
      </w:pPr>
      <w:r>
        <w:rPr>
          <w:rFonts w:ascii="Calibri" w:hAnsi="Calibri"/>
          <w:b w:val="0"/>
          <w:i w:val="0"/>
          <w:color w:val="17202A"/>
          <w:sz w:val="20"/>
        </w:rPr>
        <w:t>AiDash: $91.5M raised (Series C 2024) — utilities vegetation management</w:t>
      </w:r>
    </w:p>
    <w:p>
      <w:pPr>
        <w:spacing w:before="280" w:after="80"/>
      </w:pPr>
      <w:r>
        <w:rPr>
          <w:rFonts w:ascii="Calibri" w:hAnsi="Calibri"/>
          <w:b/>
          <w:i/>
          <w:color w:val="2E86C1"/>
          <w:sz w:val="21"/>
        </w:rPr>
        <w:t>Speaker Notes</w:t>
      </w:r>
    </w:p>
    <w:p>
      <w:pPr>
        <w:spacing w:before="40" w:after="200"/>
        <w:ind w:left="360"/>
      </w:pPr>
      <w:r>
        <w:rPr>
          <w:rFonts w:ascii="Calibri" w:hAnsi="Calibri"/>
          <w:b w:val="0"/>
          <w:i/>
          <w:color w:val="17202A"/>
          <w:sz w:val="19"/>
        </w:rPr>
        <w:t>The satellite AI space is consolidating. Three major acquisitions in 2024: Orbital Insight (by Privateer), Descartes Labs (by EarthDaily), Geosite (by Descartes Labs). Rezatec sold majority stake Dec 2024. This consolidation validates the value of these assets and reduces competition — acquirers are integrating specific verticals, not building the cross-sector platform.</w:t>
      </w:r>
    </w:p>
    <w:p>
      <w:pPr>
        <w:spacing w:before="0" w:after="0"/>
      </w:pPr>
      <w:r>
        <w:rPr>
          <w:sz w:val="12"/>
        </w:rPr>
      </w:r>
    </w:p>
    <w:p>
      <w:pPr>
        <w:spacing w:before="280" w:after="80"/>
      </w:pPr>
      <w:r>
        <w:rPr>
          <w:rFonts w:ascii="Calibri" w:hAnsi="Calibri"/>
          <w:b/>
          <w:color w:val="1A5C8E"/>
          <w:sz w:val="24"/>
        </w:rPr>
        <w:t>Slide 6: Category 2: Data Aggregators — Limitations</w:t>
      </w:r>
    </w:p>
    <w:p>
      <w:pPr>
        <w:spacing w:before="40" w:after="80"/>
      </w:pPr>
      <w:r>
        <w:rPr>
          <w:rFonts w:ascii="Calibri" w:hAnsi="Calibri"/>
          <w:b/>
          <w:i w:val="0"/>
          <w:color w:val="2E86C1"/>
          <w:sz w:val="19"/>
        </w:rPr>
        <w:t xml:space="preserve">VISUAL: </w:t>
      </w:r>
      <w:r>
        <w:rPr>
          <w:rFonts w:ascii="Calibri" w:hAnsi="Calibri"/>
          <w:b w:val="0"/>
          <w:i/>
          <w:color w:val="ABB2B9"/>
          <w:sz w:val="19"/>
        </w:rPr>
        <w:t>Table: Company | Asset Coverage | Real-time? | Satellite data? | Cross-sector?</w:t>
      </w:r>
    </w:p>
    <w:p>
      <w:pPr>
        <w:spacing w:before="280" w:after="80"/>
      </w:pPr>
      <w:r>
        <w:rPr>
          <w:rFonts w:ascii="Calibri" w:hAnsi="Calibri"/>
          <w:b/>
          <w:i/>
          <w:color w:val="2E86C1"/>
          <w:sz w:val="21"/>
        </w:rPr>
        <w:t>Slide Content</w:t>
      </w:r>
    </w:p>
    <w:p>
      <w:pPr>
        <w:pStyle w:val="ListBullet"/>
        <w:spacing w:before="20" w:after="40"/>
        <w:ind w:left="360"/>
      </w:pPr>
      <w:r>
        <w:rPr>
          <w:rFonts w:ascii="Calibri" w:hAnsi="Calibri"/>
          <w:b w:val="0"/>
          <w:i w:val="0"/>
          <w:color w:val="17202A"/>
          <w:sz w:val="20"/>
        </w:rPr>
        <w:t>S&amp;P Global Market Intelligence ($4.92B revenue 2025): Trucost maps 2.9M assets — modelled, not monitored</w:t>
      </w:r>
    </w:p>
    <w:p>
      <w:pPr>
        <w:pStyle w:val="ListBullet"/>
        <w:spacing w:before="20" w:after="40"/>
        <w:ind w:left="360"/>
      </w:pPr>
      <w:r>
        <w:rPr>
          <w:rFonts w:ascii="Calibri" w:hAnsi="Calibri"/>
          <w:b w:val="0"/>
          <w:i w:val="0"/>
          <w:color w:val="17202A"/>
          <w:sz w:val="20"/>
        </w:rPr>
        <w:t>MSCI ($2.5B revenue): GeoSpatial AI for 70K companies — inferred location, no satellite</w:t>
      </w:r>
    </w:p>
    <w:p>
      <w:pPr>
        <w:pStyle w:val="ListBullet"/>
        <w:spacing w:before="20" w:after="40"/>
        <w:ind w:left="360"/>
      </w:pPr>
      <w:r>
        <w:rPr>
          <w:rFonts w:ascii="Calibri" w:hAnsi="Calibri"/>
          <w:b w:val="0"/>
          <w:i w:val="0"/>
          <w:color w:val="17202A"/>
          <w:sz w:val="20"/>
        </w:rPr>
        <w:t>Dun &amp; Bradstreet ($2.38B revenue 2024): 500M company records — zero asset monitoring</w:t>
      </w:r>
    </w:p>
    <w:p>
      <w:pPr>
        <w:pStyle w:val="ListBullet"/>
        <w:spacing w:before="20" w:after="40"/>
        <w:ind w:left="360"/>
      </w:pPr>
      <w:r>
        <w:rPr>
          <w:rFonts w:ascii="Calibri" w:hAnsi="Calibri"/>
          <w:b w:val="0"/>
          <w:i w:val="0"/>
          <w:color w:val="17202A"/>
          <w:sz w:val="20"/>
        </w:rPr>
        <w:t>Bureau van Dijk (Moody's): Best UBO/ownership data — no physical intelligence</w:t>
      </w:r>
    </w:p>
    <w:p>
      <w:pPr>
        <w:spacing w:before="280" w:after="80"/>
      </w:pPr>
      <w:r>
        <w:rPr>
          <w:rFonts w:ascii="Calibri" w:hAnsi="Calibri"/>
          <w:b/>
          <w:i/>
          <w:color w:val="2E86C1"/>
          <w:sz w:val="21"/>
        </w:rPr>
        <w:t>Speaker Notes</w:t>
      </w:r>
    </w:p>
    <w:p>
      <w:pPr>
        <w:spacing w:before="40" w:after="200"/>
        <w:ind w:left="360"/>
      </w:pPr>
      <w:r>
        <w:rPr>
          <w:rFonts w:ascii="Calibri" w:hAnsi="Calibri"/>
          <w:b w:val="0"/>
          <w:i/>
          <w:color w:val="17202A"/>
          <w:sz w:val="19"/>
        </w:rPr>
        <w:t>The data giants have distribution and customer relationships but are fundamentally limited: they track companies, not assets. They model risk, they do not monitor it. Their clients — the same banks and asset managers paying $100K+/year for data subscriptions — are already asking for this. The need to upgrade from company-level to asset-level, from modelled to monitored, is the commercial window.</w:t>
      </w:r>
    </w:p>
    <w:p>
      <w:pPr>
        <w:spacing w:before="0" w:after="0"/>
      </w:pPr>
      <w:r>
        <w:rPr>
          <w:sz w:val="12"/>
        </w:rPr>
      </w:r>
    </w:p>
    <w:p>
      <w:pPr>
        <w:spacing w:before="280" w:after="80"/>
      </w:pPr>
      <w:r>
        <w:rPr>
          <w:rFonts w:ascii="Calibri" w:hAnsi="Calibri"/>
          <w:b/>
          <w:color w:val="1A5C8E"/>
          <w:sz w:val="24"/>
        </w:rPr>
        <w:t>Slide 7: Category 3: ESG Platforms — The Data Gap</w:t>
      </w:r>
    </w:p>
    <w:p>
      <w:pPr>
        <w:spacing w:before="40" w:after="80"/>
      </w:pPr>
      <w:r>
        <w:rPr>
          <w:rFonts w:ascii="Calibri" w:hAnsi="Calibri"/>
          <w:b/>
          <w:i w:val="0"/>
          <w:color w:val="2E86C1"/>
          <w:sz w:val="19"/>
        </w:rPr>
        <w:t xml:space="preserve">VISUAL: </w:t>
      </w:r>
      <w:r>
        <w:rPr>
          <w:rFonts w:ascii="Calibri" w:hAnsi="Calibri"/>
          <w:b w:val="0"/>
          <w:i/>
          <w:color w:val="ABB2B9"/>
          <w:sz w:val="19"/>
        </w:rPr>
        <w:t>Funnel diagram showing: Raw satellite data → (GAP) → ESG Metric → Financial Decision. Show where Clarity AI, MSCI ESG, Sustainalytics live.</w:t>
      </w:r>
    </w:p>
    <w:p>
      <w:pPr>
        <w:spacing w:before="280" w:after="80"/>
      </w:pPr>
      <w:r>
        <w:rPr>
          <w:rFonts w:ascii="Calibri" w:hAnsi="Calibri"/>
          <w:b/>
          <w:i/>
          <w:color w:val="2E86C1"/>
          <w:sz w:val="21"/>
        </w:rPr>
        <w:t>Slide Content</w:t>
      </w:r>
    </w:p>
    <w:p>
      <w:pPr>
        <w:pStyle w:val="ListBullet"/>
        <w:spacing w:before="20" w:after="40"/>
        <w:ind w:left="360"/>
      </w:pPr>
      <w:r>
        <w:rPr>
          <w:rFonts w:ascii="Calibri" w:hAnsi="Calibri"/>
          <w:b w:val="0"/>
          <w:i w:val="0"/>
          <w:color w:val="17202A"/>
          <w:sz w:val="20"/>
        </w:rPr>
        <w:t>Clarity AI: $100M+ raised, BlackRock-backed, Forrester leader Q3 2024 — AI-native, but no satellite</w:t>
      </w:r>
    </w:p>
    <w:p>
      <w:pPr>
        <w:pStyle w:val="ListBullet"/>
        <w:spacing w:before="20" w:after="40"/>
        <w:ind w:left="360"/>
      </w:pPr>
      <w:r>
        <w:rPr>
          <w:rFonts w:ascii="Calibri" w:hAnsi="Calibri"/>
          <w:b w:val="0"/>
          <w:i w:val="0"/>
          <w:color w:val="17202A"/>
          <w:sz w:val="20"/>
        </w:rPr>
        <w:t>Sustainalytics (Morningstar): Revenue -6.5% YoY Q1 2025 — declining, legacy approach</w:t>
      </w:r>
    </w:p>
    <w:p>
      <w:pPr>
        <w:pStyle w:val="ListBullet"/>
        <w:spacing w:before="20" w:after="40"/>
        <w:ind w:left="360"/>
      </w:pPr>
      <w:r>
        <w:rPr>
          <w:rFonts w:ascii="Calibri" w:hAnsi="Calibri"/>
          <w:b w:val="0"/>
          <w:i w:val="0"/>
          <w:color w:val="17202A"/>
          <w:sz w:val="20"/>
        </w:rPr>
        <w:t>MSCI ESG: +40% YoY 2024 — winning by embedding geospatial, but not satellite-verified</w:t>
      </w:r>
    </w:p>
    <w:p>
      <w:pPr>
        <w:pStyle w:val="ListBullet"/>
        <w:spacing w:before="20" w:after="40"/>
        <w:ind w:left="360"/>
      </w:pPr>
      <w:r>
        <w:rPr>
          <w:rFonts w:ascii="Calibri" w:hAnsi="Calibri"/>
          <w:b w:val="0"/>
          <w:i w:val="0"/>
          <w:color w:val="17202A"/>
          <w:sz w:val="20"/>
        </w:rPr>
        <w:t>S&amp;P Trucost: Physical risk for 99% of global market cap — but modelled only</w:t>
      </w:r>
    </w:p>
    <w:p>
      <w:pPr>
        <w:pStyle w:val="ListBullet"/>
        <w:spacing w:before="20" w:after="40"/>
        <w:ind w:left="360"/>
      </w:pPr>
      <w:r>
        <w:rPr>
          <w:rFonts w:ascii="Calibri" w:hAnsi="Calibri"/>
          <w:b w:val="0"/>
          <w:i w:val="0"/>
          <w:color w:val="17202A"/>
          <w:sz w:val="20"/>
        </w:rPr>
        <w:t>KEY GAP: No ESG platform uses real-time satellite monitoring of actual assets</w:t>
      </w:r>
    </w:p>
    <w:p>
      <w:pPr>
        <w:spacing w:before="280" w:after="80"/>
      </w:pPr>
      <w:r>
        <w:rPr>
          <w:rFonts w:ascii="Calibri" w:hAnsi="Calibri"/>
          <w:b/>
          <w:i/>
          <w:color w:val="2E86C1"/>
          <w:sz w:val="21"/>
        </w:rPr>
        <w:t>Speaker Notes</w:t>
      </w:r>
    </w:p>
    <w:p>
      <w:pPr>
        <w:spacing w:before="40" w:after="200"/>
        <w:ind w:left="360"/>
      </w:pPr>
      <w:r>
        <w:rPr>
          <w:rFonts w:ascii="Calibri" w:hAnsi="Calibri"/>
          <w:b w:val="0"/>
          <w:i/>
          <w:color w:val="17202A"/>
          <w:sz w:val="19"/>
        </w:rPr>
        <w:t>ESG data is a market in transition. Sustainalytics is declining. MSCI is winning by adding geospatial elements. Clarity AI is the sharpest AI-native challenger. But ALL of them have the same fundamental weakness: they rely on what companies say, not what satellites see. Regulators and auditors are increasingly challenging this. The EU CSRD auditing requirements will create demand for third-party physical verification — our product.</w:t>
      </w:r>
    </w:p>
    <w:p>
      <w:pPr>
        <w:spacing w:before="0" w:after="0"/>
      </w:pPr>
      <w:r>
        <w:rPr>
          <w:sz w:val="12"/>
        </w:rPr>
      </w:r>
    </w:p>
    <w:p>
      <w:pPr>
        <w:spacing w:before="280" w:after="80"/>
      </w:pPr>
      <w:r>
        <w:rPr>
          <w:rFonts w:ascii="Calibri" w:hAnsi="Calibri"/>
          <w:b/>
          <w:color w:val="1A5C8E"/>
          <w:sz w:val="24"/>
        </w:rPr>
        <w:t>Slide 8: Consolidation Wave — 2024 Acquisitions Signal Validation</w:t>
      </w:r>
    </w:p>
    <w:p>
      <w:pPr>
        <w:spacing w:before="40" w:after="80"/>
      </w:pPr>
      <w:r>
        <w:rPr>
          <w:rFonts w:ascii="Calibri" w:hAnsi="Calibri"/>
          <w:b/>
          <w:i w:val="0"/>
          <w:color w:val="2E86C1"/>
          <w:sz w:val="19"/>
        </w:rPr>
        <w:t xml:space="preserve">VISUAL: </w:t>
      </w:r>
      <w:r>
        <w:rPr>
          <w:rFonts w:ascii="Calibri" w:hAnsi="Calibri"/>
          <w:b w:val="0"/>
          <w:i/>
          <w:color w:val="ABB2B9"/>
          <w:sz w:val="19"/>
        </w:rPr>
        <w:t>Timeline of 2024-2026 acquisitions in the space with deal context.</w:t>
      </w:r>
    </w:p>
    <w:p>
      <w:pPr>
        <w:spacing w:before="280" w:after="80"/>
      </w:pPr>
      <w:r>
        <w:rPr>
          <w:rFonts w:ascii="Calibri" w:hAnsi="Calibri"/>
          <w:b/>
          <w:i/>
          <w:color w:val="2E86C1"/>
          <w:sz w:val="21"/>
        </w:rPr>
        <w:t>Slide Content</w:t>
      </w:r>
    </w:p>
    <w:p>
      <w:pPr>
        <w:pStyle w:val="ListBullet"/>
        <w:spacing w:before="20" w:after="40"/>
        <w:ind w:left="360"/>
      </w:pPr>
      <w:r>
        <w:rPr>
          <w:rFonts w:ascii="Calibri" w:hAnsi="Calibri"/>
          <w:b w:val="0"/>
          <w:i w:val="0"/>
          <w:color w:val="17202A"/>
          <w:sz w:val="20"/>
        </w:rPr>
        <w:t>Apr 2024: Descartes Labs acquires Geosite (insurance geospatial)</w:t>
      </w:r>
    </w:p>
    <w:p>
      <w:pPr>
        <w:pStyle w:val="ListBullet"/>
        <w:spacing w:before="20" w:after="40"/>
        <w:ind w:left="360"/>
      </w:pPr>
      <w:r>
        <w:rPr>
          <w:rFonts w:ascii="Calibri" w:hAnsi="Calibri"/>
          <w:b w:val="0"/>
          <w:i w:val="0"/>
          <w:color w:val="17202A"/>
          <w:sz w:val="20"/>
        </w:rPr>
        <w:t>May 2024: Privateer acquires Orbital Insight ($132M raised, $44M ARR)</w:t>
      </w:r>
    </w:p>
    <w:p>
      <w:pPr>
        <w:pStyle w:val="ListBullet"/>
        <w:spacing w:before="20" w:after="40"/>
        <w:ind w:left="360"/>
      </w:pPr>
      <w:r>
        <w:rPr>
          <w:rFonts w:ascii="Calibri" w:hAnsi="Calibri"/>
          <w:b w:val="0"/>
          <w:i w:val="0"/>
          <w:color w:val="17202A"/>
          <w:sz w:val="20"/>
        </w:rPr>
        <w:t>Oct 2024: EarthDaily acquires Descartes Labs ($58M raised)</w:t>
      </w:r>
    </w:p>
    <w:p>
      <w:pPr>
        <w:pStyle w:val="ListBullet"/>
        <w:spacing w:before="20" w:after="40"/>
        <w:ind w:left="360"/>
      </w:pPr>
      <w:r>
        <w:rPr>
          <w:rFonts w:ascii="Calibri" w:hAnsi="Calibri"/>
          <w:b w:val="0"/>
          <w:i w:val="0"/>
          <w:color w:val="17202A"/>
          <w:sz w:val="20"/>
        </w:rPr>
        <w:t>Dec 2024: Unknown acquirer takes majority stake in Rezatec ($21M raised)</w:t>
      </w:r>
    </w:p>
    <w:p>
      <w:pPr>
        <w:pStyle w:val="ListBullet"/>
        <w:spacing w:before="20" w:after="40"/>
        <w:ind w:left="360"/>
      </w:pPr>
      <w:r>
        <w:rPr>
          <w:rFonts w:ascii="Calibri" w:hAnsi="Calibri"/>
          <w:b w:val="0"/>
          <w:i w:val="0"/>
          <w:color w:val="17202A"/>
          <w:sz w:val="20"/>
        </w:rPr>
        <w:t>Mar 2026: Energy Aspects acquires Kayrros ($78M raised, $20M ARR)</w:t>
      </w:r>
    </w:p>
    <w:p>
      <w:pPr>
        <w:pStyle w:val="ListBullet"/>
        <w:spacing w:before="20" w:after="40"/>
        <w:ind w:left="360"/>
      </w:pPr>
      <w:r>
        <w:rPr>
          <w:rFonts w:ascii="Calibri" w:hAnsi="Calibri"/>
          <w:b w:val="0"/>
          <w:i w:val="0"/>
          <w:color w:val="17202A"/>
          <w:sz w:val="20"/>
        </w:rPr>
        <w:t>INSIGHT: 5 major consolidations in 18 months — space is maturing rapidly</w:t>
      </w:r>
    </w:p>
    <w:p>
      <w:pPr>
        <w:spacing w:before="280" w:after="80"/>
      </w:pPr>
      <w:r>
        <w:rPr>
          <w:rFonts w:ascii="Calibri" w:hAnsi="Calibri"/>
          <w:b/>
          <w:i/>
          <w:color w:val="2E86C1"/>
          <w:sz w:val="21"/>
        </w:rPr>
        <w:t>Speaker Notes</w:t>
      </w:r>
    </w:p>
    <w:p>
      <w:pPr>
        <w:spacing w:before="40" w:after="200"/>
        <w:ind w:left="360"/>
      </w:pPr>
      <w:r>
        <w:rPr>
          <w:rFonts w:ascii="Calibri" w:hAnsi="Calibri"/>
          <w:b w:val="0"/>
          <w:i/>
          <w:color w:val="17202A"/>
          <w:sz w:val="19"/>
        </w:rPr>
        <w:t>This consolidation wave tells us two things: (1) the technology works — established companies are paying real money to acquire it. (2) The acquirers are vertical-specific — Privateer wants space sustainability, Energy Aspects wants energy intelligence. No one is building the horizontal platform. That is our opportunity and our differentiation.</w:t>
      </w:r>
    </w:p>
    <w:p>
      <w:pPr>
        <w:spacing w:before="0" w:after="0"/>
      </w:pPr>
      <w:r>
        <w:rPr>
          <w:sz w:val="12"/>
        </w:rPr>
      </w:r>
    </w:p>
    <w:p>
      <w:pPr>
        <w:spacing w:before="280" w:after="80"/>
      </w:pPr>
      <w:r>
        <w:rPr>
          <w:rFonts w:ascii="Calibri" w:hAnsi="Calibri"/>
          <w:b/>
          <w:color w:val="1A5C8E"/>
          <w:sz w:val="24"/>
        </w:rPr>
        <w:t>Slide 9: Our Differentiated Position — The 6-Dimension Stack</w:t>
      </w:r>
    </w:p>
    <w:p>
      <w:pPr>
        <w:spacing w:before="40" w:after="80"/>
      </w:pPr>
      <w:r>
        <w:rPr>
          <w:rFonts w:ascii="Calibri" w:hAnsi="Calibri"/>
          <w:b/>
          <w:i w:val="0"/>
          <w:color w:val="2E86C1"/>
          <w:sz w:val="19"/>
        </w:rPr>
        <w:t xml:space="preserve">VISUAL: </w:t>
      </w:r>
      <w:r>
        <w:rPr>
          <w:rFonts w:ascii="Calibri" w:hAnsi="Calibri"/>
          <w:b w:val="0"/>
          <w:i/>
          <w:color w:val="ABB2B9"/>
          <w:sz w:val="19"/>
        </w:rPr>
        <w:t>Radar/spider chart comparing TARGET STARTUP vs Kayrros vs MSCI GeoSpatial AI vs S&amp;P Trucost across: Satellite Monitoring / AI Analytics / Multi-Sector / ESG-Finance / Real-Time / Unknown Asset Discovery.</w:t>
      </w:r>
    </w:p>
    <w:p>
      <w:pPr>
        <w:spacing w:before="280" w:after="80"/>
      </w:pPr>
      <w:r>
        <w:rPr>
          <w:rFonts w:ascii="Calibri" w:hAnsi="Calibri"/>
          <w:b/>
          <w:i/>
          <w:color w:val="2E86C1"/>
          <w:sz w:val="21"/>
        </w:rPr>
        <w:t>Slide Content</w:t>
      </w:r>
    </w:p>
    <w:p>
      <w:pPr>
        <w:pStyle w:val="ListBullet"/>
        <w:spacing w:before="20" w:after="40"/>
        <w:ind w:left="360"/>
      </w:pPr>
      <w:r>
        <w:rPr>
          <w:rFonts w:ascii="Calibri" w:hAnsi="Calibri"/>
          <w:b w:val="0"/>
          <w:i w:val="0"/>
          <w:color w:val="17202A"/>
          <w:sz w:val="20"/>
        </w:rPr>
        <w:t>Satellite Monitoring: Real-time, multi-source (optical + SAR + hyperspectral)</w:t>
      </w:r>
    </w:p>
    <w:p>
      <w:pPr>
        <w:pStyle w:val="ListBullet"/>
        <w:spacing w:before="20" w:after="40"/>
        <w:ind w:left="360"/>
      </w:pPr>
      <w:r>
        <w:rPr>
          <w:rFonts w:ascii="Calibri" w:hAnsi="Calibri"/>
          <w:b w:val="0"/>
          <w:i w:val="0"/>
          <w:color w:val="17202A"/>
          <w:sz w:val="20"/>
        </w:rPr>
        <w:t>AI Analytics: Asset identification, classification, activity monitoring, anomaly detection</w:t>
      </w:r>
    </w:p>
    <w:p>
      <w:pPr>
        <w:pStyle w:val="ListBullet"/>
        <w:spacing w:before="20" w:after="40"/>
        <w:ind w:left="360"/>
      </w:pPr>
      <w:r>
        <w:rPr>
          <w:rFonts w:ascii="Calibri" w:hAnsi="Calibri"/>
          <w:b w:val="0"/>
          <w:i w:val="0"/>
          <w:color w:val="17202A"/>
          <w:sz w:val="20"/>
        </w:rPr>
        <w:t>Multi-Sector: Industrial, energy, mining, agriculture, real estate — unified model</w:t>
      </w:r>
    </w:p>
    <w:p>
      <w:pPr>
        <w:pStyle w:val="ListBullet"/>
        <w:spacing w:before="20" w:after="40"/>
        <w:ind w:left="360"/>
      </w:pPr>
      <w:r>
        <w:rPr>
          <w:rFonts w:ascii="Calibri" w:hAnsi="Calibri"/>
          <w:b w:val="0"/>
          <w:i w:val="0"/>
          <w:color w:val="17202A"/>
          <w:sz w:val="20"/>
        </w:rPr>
        <w:t>ESG/Finance Integration: Output as ESG indicators, risk scores, alternative data</w:t>
      </w:r>
    </w:p>
    <w:p>
      <w:pPr>
        <w:pStyle w:val="ListBullet"/>
        <w:spacing w:before="20" w:after="40"/>
        <w:ind w:left="360"/>
      </w:pPr>
      <w:r>
        <w:rPr>
          <w:rFonts w:ascii="Calibri" w:hAnsi="Calibri"/>
          <w:b w:val="0"/>
          <w:i w:val="0"/>
          <w:color w:val="17202A"/>
          <w:sz w:val="20"/>
        </w:rPr>
        <w:t>Real-Time / Near-RT: Continuous monitoring, not annual snapshots</w:t>
      </w:r>
    </w:p>
    <w:p>
      <w:pPr>
        <w:pStyle w:val="ListBullet"/>
        <w:spacing w:before="20" w:after="40"/>
        <w:ind w:left="360"/>
      </w:pPr>
      <w:r>
        <w:rPr>
          <w:rFonts w:ascii="Calibri" w:hAnsi="Calibri"/>
          <w:b w:val="0"/>
          <w:i w:val="0"/>
          <w:color w:val="17202A"/>
          <w:sz w:val="20"/>
        </w:rPr>
        <w:t>Unknown Asset Discovery: Identify assets not in any existing database</w:t>
      </w:r>
    </w:p>
    <w:p>
      <w:pPr>
        <w:spacing w:before="280" w:after="80"/>
      </w:pPr>
      <w:r>
        <w:rPr>
          <w:rFonts w:ascii="Calibri" w:hAnsi="Calibri"/>
          <w:b/>
          <w:i/>
          <w:color w:val="2E86C1"/>
          <w:sz w:val="21"/>
        </w:rPr>
        <w:t>Speaker Notes</w:t>
      </w:r>
    </w:p>
    <w:p>
      <w:pPr>
        <w:spacing w:before="40" w:after="200"/>
        <w:ind w:left="360"/>
      </w:pPr>
      <w:r>
        <w:rPr>
          <w:rFonts w:ascii="Calibri" w:hAnsi="Calibri"/>
          <w:b w:val="0"/>
          <w:i/>
          <w:color w:val="17202A"/>
          <w:sz w:val="19"/>
        </w:rPr>
        <w:t>The spider chart will visually demonstrate that no existing player covers all six dimensions. Kayrros (our closest analogue) is strong on satellite + AI + ESG/finance + real-time, but only for energy. MSCI is strong on multi-sector + ESG/finance, but has no satellite monitoring and cannot discover unknown assets. We are the only platform that scores "High" on all six. This is the defensible white space.</w:t>
      </w:r>
    </w:p>
    <w:p>
      <w:pPr>
        <w:spacing w:before="0" w:after="0"/>
      </w:pPr>
      <w:r>
        <w:rPr>
          <w:sz w:val="12"/>
        </w:rPr>
      </w:r>
    </w:p>
    <w:p>
      <w:pPr>
        <w:spacing w:before="280" w:after="80"/>
      </w:pPr>
      <w:r>
        <w:rPr>
          <w:rFonts w:ascii="Calibri" w:hAnsi="Calibri"/>
          <w:b/>
          <w:color w:val="1A5C8E"/>
          <w:sz w:val="24"/>
        </w:rPr>
        <w:t>Slide 10: Target Customer Segments</w:t>
      </w:r>
    </w:p>
    <w:p>
      <w:pPr>
        <w:spacing w:before="40" w:after="80"/>
      </w:pPr>
      <w:r>
        <w:rPr>
          <w:rFonts w:ascii="Calibri" w:hAnsi="Calibri"/>
          <w:b/>
          <w:i w:val="0"/>
          <w:color w:val="2E86C1"/>
          <w:sz w:val="19"/>
        </w:rPr>
        <w:t xml:space="preserve">VISUAL: </w:t>
      </w:r>
      <w:r>
        <w:rPr>
          <w:rFonts w:ascii="Calibri" w:hAnsi="Calibri"/>
          <w:b w:val="0"/>
          <w:i/>
          <w:color w:val="ABB2B9"/>
          <w:sz w:val="19"/>
        </w:rPr>
        <w:t>3-column layout: Segment | Pain today | Our solution | Willingness to pay reference.</w:t>
      </w:r>
    </w:p>
    <w:p>
      <w:pPr>
        <w:spacing w:before="280" w:after="80"/>
      </w:pPr>
      <w:r>
        <w:rPr>
          <w:rFonts w:ascii="Calibri" w:hAnsi="Calibri"/>
          <w:b/>
          <w:i/>
          <w:color w:val="2E86C1"/>
          <w:sz w:val="21"/>
        </w:rPr>
        <w:t>Slide Content</w:t>
      </w:r>
    </w:p>
    <w:p>
      <w:pPr>
        <w:pStyle w:val="ListBullet"/>
        <w:spacing w:before="20" w:after="40"/>
        <w:ind w:left="360"/>
      </w:pPr>
      <w:r>
        <w:rPr>
          <w:rFonts w:ascii="Calibri" w:hAnsi="Calibri"/>
          <w:b w:val="0"/>
          <w:i w:val="0"/>
          <w:color w:val="17202A"/>
          <w:sz w:val="20"/>
        </w:rPr>
        <w:t>Financial institutions (banks, asset managers): Physical risk in portfolios is modelled, not verified → Real-time asset monitoring feed</w:t>
      </w:r>
    </w:p>
    <w:p>
      <w:pPr>
        <w:pStyle w:val="ListBullet"/>
        <w:spacing w:before="20" w:after="40"/>
        <w:ind w:left="360"/>
      </w:pPr>
      <w:r>
        <w:rPr>
          <w:rFonts w:ascii="Calibri" w:hAnsi="Calibri"/>
          <w:b w:val="0"/>
          <w:i w:val="0"/>
          <w:color w:val="17202A"/>
          <w:sz w:val="20"/>
        </w:rPr>
        <w:t>ESG data providers / rating agencies: Supplemental satellite data to verify self-reported disclosures → API integration</w:t>
      </w:r>
    </w:p>
    <w:p>
      <w:pPr>
        <w:pStyle w:val="ListBullet"/>
        <w:spacing w:before="20" w:after="40"/>
        <w:ind w:left="360"/>
      </w:pPr>
      <w:r>
        <w:rPr>
          <w:rFonts w:ascii="Calibri" w:hAnsi="Calibri"/>
          <w:b w:val="0"/>
          <w:i w:val="0"/>
          <w:color w:val="17202A"/>
          <w:sz w:val="20"/>
        </w:rPr>
        <w:t>Supply chain compliance teams: Cannot verify where tier-2/3 suppliers actually produce → Facility identification + monitoring</w:t>
      </w:r>
    </w:p>
    <w:p>
      <w:pPr>
        <w:pStyle w:val="ListBullet"/>
        <w:spacing w:before="20" w:after="40"/>
        <w:ind w:left="360"/>
      </w:pPr>
      <w:r>
        <w:rPr>
          <w:rFonts w:ascii="Calibri" w:hAnsi="Calibri"/>
          <w:b w:val="0"/>
          <w:i w:val="0"/>
          <w:color w:val="17202A"/>
          <w:sz w:val="20"/>
        </w:rPr>
        <w:t>Commodity traders / hedge funds: Alpha from industrial production signals → Alternative data subscription</w:t>
      </w:r>
    </w:p>
    <w:p>
      <w:pPr>
        <w:pStyle w:val="ListBullet"/>
        <w:spacing w:before="20" w:after="40"/>
        <w:ind w:left="360"/>
      </w:pPr>
      <w:r>
        <w:rPr>
          <w:rFonts w:ascii="Calibri" w:hAnsi="Calibri"/>
          <w:b w:val="0"/>
          <w:i w:val="0"/>
          <w:color w:val="17202A"/>
          <w:sz w:val="20"/>
        </w:rPr>
        <w:t>Regulators / government: Enforce EUDR, methane regulation, sanctions → Monitoring platform license</w:t>
      </w:r>
    </w:p>
    <w:p>
      <w:pPr>
        <w:spacing w:before="280" w:after="80"/>
      </w:pPr>
      <w:r>
        <w:rPr>
          <w:rFonts w:ascii="Calibri" w:hAnsi="Calibri"/>
          <w:b/>
          <w:i/>
          <w:color w:val="2E86C1"/>
          <w:sz w:val="21"/>
        </w:rPr>
        <w:t>Speaker Notes</w:t>
      </w:r>
    </w:p>
    <w:p>
      <w:pPr>
        <w:spacing w:before="40" w:after="200"/>
        <w:ind w:left="360"/>
      </w:pPr>
      <w:r>
        <w:rPr>
          <w:rFonts w:ascii="Calibri" w:hAnsi="Calibri"/>
          <w:b w:val="0"/>
          <w:i/>
          <w:color w:val="17202A"/>
          <w:sz w:val="19"/>
        </w:rPr>
        <w:t>We have five distinct customer segments, each with a different buying motion and value driver. Financial institutions are the highest-value segment (S&amp;P Trucost, MSCI, Sustainalytics all charge six-figure subscriptions). Supply chain compliance is the fastest-growing use case driven by regulation. Commodity/hedge fund is the most immediate monetisable segment (RS Metrics proves the model at $6M+ revenue bootstrapped with a 30-person team).</w:t>
      </w:r>
    </w:p>
    <w:p>
      <w:pPr>
        <w:spacing w:before="0" w:after="0"/>
      </w:pPr>
      <w:r>
        <w:rPr>
          <w:sz w:val="12"/>
        </w:rPr>
      </w:r>
    </w:p>
    <w:p>
      <w:pPr>
        <w:spacing w:before="280" w:after="80"/>
      </w:pPr>
      <w:r>
        <w:rPr>
          <w:rFonts w:ascii="Calibri" w:hAnsi="Calibri"/>
          <w:b/>
          <w:color w:val="1A5C8E"/>
          <w:sz w:val="24"/>
        </w:rPr>
        <w:t>Slide 11: Competitive Moat — How We Stay Ahead</w:t>
      </w:r>
    </w:p>
    <w:p>
      <w:pPr>
        <w:spacing w:before="40" w:after="80"/>
      </w:pPr>
      <w:r>
        <w:rPr>
          <w:rFonts w:ascii="Calibri" w:hAnsi="Calibri"/>
          <w:b/>
          <w:i w:val="0"/>
          <w:color w:val="2E86C1"/>
          <w:sz w:val="19"/>
        </w:rPr>
        <w:t xml:space="preserve">VISUAL: </w:t>
      </w:r>
      <w:r>
        <w:rPr>
          <w:rFonts w:ascii="Calibri" w:hAnsi="Calibri"/>
          <w:b w:val="0"/>
          <w:i/>
          <w:color w:val="ABB2B9"/>
          <w:sz w:val="19"/>
        </w:rPr>
        <w:t>Flywheel diagram: More assets monitored → Better AI models → More customers → More data → ...</w:t>
      </w:r>
    </w:p>
    <w:p>
      <w:pPr>
        <w:spacing w:before="280" w:after="80"/>
      </w:pPr>
      <w:r>
        <w:rPr>
          <w:rFonts w:ascii="Calibri" w:hAnsi="Calibri"/>
          <w:b/>
          <w:i/>
          <w:color w:val="2E86C1"/>
          <w:sz w:val="21"/>
        </w:rPr>
        <w:t>Slide Content</w:t>
      </w:r>
    </w:p>
    <w:p>
      <w:pPr>
        <w:pStyle w:val="ListBullet"/>
        <w:spacing w:before="20" w:after="40"/>
        <w:ind w:left="360"/>
      </w:pPr>
      <w:r>
        <w:rPr>
          <w:rFonts w:ascii="Calibri" w:hAnsi="Calibri"/>
          <w:b w:val="0"/>
          <w:i w:val="0"/>
          <w:color w:val="17202A"/>
          <w:sz w:val="20"/>
        </w:rPr>
        <w:t>Data moat: Every new asset monitored improves training data for AI models</w:t>
      </w:r>
    </w:p>
    <w:p>
      <w:pPr>
        <w:pStyle w:val="ListBullet"/>
        <w:spacing w:before="20" w:after="40"/>
        <w:ind w:left="360"/>
      </w:pPr>
      <w:r>
        <w:rPr>
          <w:rFonts w:ascii="Calibri" w:hAnsi="Calibri"/>
          <w:b w:val="0"/>
          <w:i w:val="0"/>
          <w:color w:val="17202A"/>
          <w:sz w:val="20"/>
        </w:rPr>
        <w:t>Network effects: Cross-sector linkage means we see supply-chain connections others miss</w:t>
      </w:r>
    </w:p>
    <w:p>
      <w:pPr>
        <w:pStyle w:val="ListBullet"/>
        <w:spacing w:before="20" w:after="40"/>
        <w:ind w:left="360"/>
      </w:pPr>
      <w:r>
        <w:rPr>
          <w:rFonts w:ascii="Calibri" w:hAnsi="Calibri"/>
          <w:b w:val="0"/>
          <w:i w:val="0"/>
          <w:color w:val="17202A"/>
          <w:sz w:val="20"/>
        </w:rPr>
        <w:t>Regulatory moat: First to build audit-grade satellite-verified ESG data creates switching costs</w:t>
      </w:r>
    </w:p>
    <w:p>
      <w:pPr>
        <w:pStyle w:val="ListBullet"/>
        <w:spacing w:before="20" w:after="40"/>
        <w:ind w:left="360"/>
      </w:pPr>
      <w:r>
        <w:rPr>
          <w:rFonts w:ascii="Calibri" w:hAnsi="Calibri"/>
          <w:b w:val="0"/>
          <w:i w:val="0"/>
          <w:color w:val="17202A"/>
          <w:sz w:val="20"/>
        </w:rPr>
        <w:t>Proprietary asset registry: Database of physical productive assets (undisclosed, private, unlisted) has no substitute</w:t>
      </w:r>
    </w:p>
    <w:p>
      <w:pPr>
        <w:pStyle w:val="ListBullet"/>
        <w:spacing w:before="20" w:after="40"/>
        <w:ind w:left="360"/>
      </w:pPr>
      <w:r>
        <w:rPr>
          <w:rFonts w:ascii="Calibri" w:hAnsi="Calibri"/>
          <w:b w:val="0"/>
          <w:i w:val="0"/>
          <w:color w:val="17202A"/>
          <w:sz w:val="20"/>
        </w:rPr>
        <w:t>Integration lock-in: Embed into MSCI/Bloomberg/Refinitiv workflows = distribution + retention</w:t>
      </w:r>
    </w:p>
    <w:p>
      <w:pPr>
        <w:spacing w:before="280" w:after="80"/>
      </w:pPr>
      <w:r>
        <w:rPr>
          <w:rFonts w:ascii="Calibri" w:hAnsi="Calibri"/>
          <w:b/>
          <w:i/>
          <w:color w:val="2E86C1"/>
          <w:sz w:val="21"/>
        </w:rPr>
        <w:t>Speaker Notes</w:t>
      </w:r>
    </w:p>
    <w:p>
      <w:pPr>
        <w:spacing w:before="40" w:after="200"/>
        <w:ind w:left="360"/>
      </w:pPr>
      <w:r>
        <w:rPr>
          <w:rFonts w:ascii="Calibri" w:hAnsi="Calibri"/>
          <w:b w:val="0"/>
          <w:i/>
          <w:color w:val="17202A"/>
          <w:sz w:val="19"/>
        </w:rPr>
        <w:t>The key moat is the proprietary asset registry. Once we have identified and classified 10 million productive assets globally — including assets that appear in no other database — that is a dataset with no substitute. Rebuilding it takes years and millions of dollars. Every customer who integrates our data into their risk models or compliance workflows creates switching costs.</w:t>
      </w:r>
    </w:p>
    <w:p>
      <w:pPr>
        <w:spacing w:before="0" w:after="0"/>
      </w:pPr>
      <w:r>
        <w:rPr>
          <w:sz w:val="12"/>
        </w:rPr>
      </w:r>
    </w:p>
    <w:p>
      <w:pPr>
        <w:spacing w:before="280" w:after="80"/>
      </w:pPr>
      <w:r>
        <w:rPr>
          <w:rFonts w:ascii="Calibri" w:hAnsi="Calibri"/>
          <w:b/>
          <w:color w:val="1A5C8E"/>
          <w:sz w:val="24"/>
        </w:rPr>
        <w:t>Slide 12: Go-to-Market Strategy</w:t>
      </w:r>
    </w:p>
    <w:p>
      <w:pPr>
        <w:spacing w:before="40" w:after="80"/>
      </w:pPr>
      <w:r>
        <w:rPr>
          <w:rFonts w:ascii="Calibri" w:hAnsi="Calibri"/>
          <w:b/>
          <w:i w:val="0"/>
          <w:color w:val="2E86C1"/>
          <w:sz w:val="19"/>
        </w:rPr>
        <w:t xml:space="preserve">VISUAL: </w:t>
      </w:r>
      <w:r>
        <w:rPr>
          <w:rFonts w:ascii="Calibri" w:hAnsi="Calibri"/>
          <w:b w:val="0"/>
          <w:i/>
          <w:color w:val="ABB2B9"/>
          <w:sz w:val="19"/>
        </w:rPr>
        <w:t>Staged GTM map: Phase 1 (beachhead vertical) → Phase 2 (sector expansion) → Phase 3 (platform).</w:t>
      </w:r>
    </w:p>
    <w:p>
      <w:pPr>
        <w:spacing w:before="280" w:after="80"/>
      </w:pPr>
      <w:r>
        <w:rPr>
          <w:rFonts w:ascii="Calibri" w:hAnsi="Calibri"/>
          <w:b/>
          <w:i/>
          <w:color w:val="2E86C1"/>
          <w:sz w:val="21"/>
        </w:rPr>
        <w:t>Slide Content</w:t>
      </w:r>
    </w:p>
    <w:p>
      <w:pPr>
        <w:pStyle w:val="ListBullet"/>
        <w:spacing w:before="20" w:after="40"/>
        <w:ind w:left="360"/>
      </w:pPr>
      <w:r>
        <w:rPr>
          <w:rFonts w:ascii="Calibri" w:hAnsi="Calibri"/>
          <w:b w:val="0"/>
          <w:i w:val="0"/>
          <w:color w:val="17202A"/>
          <w:sz w:val="20"/>
        </w:rPr>
        <w:t>Phase 1 — Beachhead: Energy/industrial emissions monitoring (regulatory compliance driver, PROVEN by Kayrros exit)</w:t>
      </w:r>
    </w:p>
    <w:p>
      <w:pPr>
        <w:pStyle w:val="ListBullet"/>
        <w:spacing w:before="20" w:after="40"/>
        <w:ind w:left="360"/>
      </w:pPr>
      <w:r>
        <w:rPr>
          <w:rFonts w:ascii="Calibri" w:hAnsi="Calibri"/>
          <w:b w:val="0"/>
          <w:i w:val="0"/>
          <w:color w:val="17202A"/>
          <w:sz w:val="20"/>
        </w:rPr>
        <w:t>Phase 2 — Sector expansion: Mining, agriculture, manufacturing (add sectors to unified asset model)</w:t>
      </w:r>
    </w:p>
    <w:p>
      <w:pPr>
        <w:pStyle w:val="ListBullet"/>
        <w:spacing w:before="20" w:after="40"/>
        <w:ind w:left="360"/>
      </w:pPr>
      <w:r>
        <w:rPr>
          <w:rFonts w:ascii="Calibri" w:hAnsi="Calibri"/>
          <w:b w:val="0"/>
          <w:i w:val="0"/>
          <w:color w:val="17202A"/>
          <w:sz w:val="20"/>
        </w:rPr>
        <w:t>Phase 3 — Platform: Become the physical asset intelligence layer for ESG data providers and financial institutions</w:t>
      </w:r>
    </w:p>
    <w:p>
      <w:pPr>
        <w:pStyle w:val="ListBullet"/>
        <w:spacing w:before="20" w:after="40"/>
        <w:ind w:left="360"/>
      </w:pPr>
      <w:r>
        <w:rPr>
          <w:rFonts w:ascii="Calibri" w:hAnsi="Calibri"/>
          <w:b w:val="0"/>
          <w:i w:val="0"/>
          <w:color w:val="17202A"/>
          <w:sz w:val="20"/>
        </w:rPr>
        <w:t>Distribution: Partner with MSCI, Bloomberg, Refinitiv as data distribution channels (vs direct sales only)</w:t>
      </w:r>
    </w:p>
    <w:p>
      <w:pPr>
        <w:pStyle w:val="ListBullet"/>
        <w:spacing w:before="20" w:after="40"/>
        <w:ind w:left="360"/>
      </w:pPr>
      <w:r>
        <w:rPr>
          <w:rFonts w:ascii="Calibri" w:hAnsi="Calibri"/>
          <w:b w:val="0"/>
          <w:i w:val="0"/>
          <w:color w:val="17202A"/>
          <w:sz w:val="20"/>
        </w:rPr>
        <w:t>Regulatory entry: EU agencies, EUDR enforcement as first government customers</w:t>
      </w:r>
    </w:p>
    <w:p>
      <w:pPr>
        <w:spacing w:before="280" w:after="80"/>
      </w:pPr>
      <w:r>
        <w:rPr>
          <w:rFonts w:ascii="Calibri" w:hAnsi="Calibri"/>
          <w:b/>
          <w:i/>
          <w:color w:val="2E86C1"/>
          <w:sz w:val="21"/>
        </w:rPr>
        <w:t>Speaker Notes</w:t>
      </w:r>
    </w:p>
    <w:p>
      <w:pPr>
        <w:spacing w:before="40" w:after="200"/>
        <w:ind w:left="360"/>
      </w:pPr>
      <w:r>
        <w:rPr>
          <w:rFonts w:ascii="Calibri" w:hAnsi="Calibri"/>
          <w:b w:val="0"/>
          <w:i/>
          <w:color w:val="17202A"/>
          <w:sz w:val="19"/>
        </w:rPr>
        <w:t>We start with energy/industrial emissions because: (1) the market is proven — Kayrros built $20M ARR here before acquisition. (2) EU Methane Regulation creates immediate compliance demand. (3) The data infrastructure (satellites, AI models) needed for energy applies directly to other sectors. From there we expand sector by sector, building the most comprehensive physical asset register ever created.</w:t>
      </w:r>
    </w:p>
    <w:p>
      <w:pPr>
        <w:spacing w:before="0" w:after="0"/>
      </w:pPr>
      <w:r>
        <w:rPr>
          <w:sz w:val="12"/>
        </w:rPr>
      </w:r>
    </w:p>
    <w:p>
      <w:pPr>
        <w:spacing w:before="280" w:after="80"/>
      </w:pPr>
      <w:r>
        <w:rPr>
          <w:rFonts w:ascii="Calibri" w:hAnsi="Calibri"/>
          <w:b/>
          <w:color w:val="1A5C8E"/>
          <w:sz w:val="24"/>
        </w:rPr>
        <w:t>Slide 13: Key Risks &amp; Mitigations</w:t>
      </w:r>
    </w:p>
    <w:p>
      <w:pPr>
        <w:spacing w:before="40" w:after="80"/>
      </w:pPr>
      <w:r>
        <w:rPr>
          <w:rFonts w:ascii="Calibri" w:hAnsi="Calibri"/>
          <w:b/>
          <w:i w:val="0"/>
          <w:color w:val="2E86C1"/>
          <w:sz w:val="19"/>
        </w:rPr>
        <w:t xml:space="preserve">VISUAL: </w:t>
      </w:r>
      <w:r>
        <w:rPr>
          <w:rFonts w:ascii="Calibri" w:hAnsi="Calibri"/>
          <w:b w:val="0"/>
          <w:i/>
          <w:color w:val="ABB2B9"/>
          <w:sz w:val="19"/>
        </w:rPr>
        <w:t>Risk matrix (likelihood vs impact) with 5 risks plotted.</w:t>
      </w:r>
    </w:p>
    <w:p>
      <w:pPr>
        <w:spacing w:before="280" w:after="80"/>
      </w:pPr>
      <w:r>
        <w:rPr>
          <w:rFonts w:ascii="Calibri" w:hAnsi="Calibri"/>
          <w:b/>
          <w:i/>
          <w:color w:val="2E86C1"/>
          <w:sz w:val="21"/>
        </w:rPr>
        <w:t>Slide Content</w:t>
      </w:r>
    </w:p>
    <w:p>
      <w:pPr>
        <w:pStyle w:val="ListBullet"/>
        <w:spacing w:before="20" w:after="40"/>
        <w:ind w:left="360"/>
      </w:pPr>
      <w:r>
        <w:rPr>
          <w:rFonts w:ascii="Calibri" w:hAnsi="Calibri"/>
          <w:b w:val="0"/>
          <w:i w:val="0"/>
          <w:color w:val="17202A"/>
          <w:sz w:val="20"/>
        </w:rPr>
        <w:t>MSCI/S&amp;P build it themselves → Mitigate: Move fast, build asset registry moat, they are slow to iterate</w:t>
      </w:r>
    </w:p>
    <w:p>
      <w:pPr>
        <w:pStyle w:val="ListBullet"/>
        <w:spacing w:before="20" w:after="40"/>
        <w:ind w:left="360"/>
      </w:pPr>
      <w:r>
        <w:rPr>
          <w:rFonts w:ascii="Calibri" w:hAnsi="Calibri"/>
          <w:b w:val="0"/>
          <w:i w:val="0"/>
          <w:color w:val="17202A"/>
          <w:sz w:val="20"/>
        </w:rPr>
        <w:t>Satellite data access costs → Mitigate: Partner with Planet/ICEYE rather than own constellation</w:t>
      </w:r>
    </w:p>
    <w:p>
      <w:pPr>
        <w:pStyle w:val="ListBullet"/>
        <w:spacing w:before="20" w:after="40"/>
        <w:ind w:left="360"/>
      </w:pPr>
      <w:r>
        <w:rPr>
          <w:rFonts w:ascii="Calibri" w:hAnsi="Calibri"/>
          <w:b w:val="0"/>
          <w:i w:val="0"/>
          <w:color w:val="17202A"/>
          <w:sz w:val="20"/>
        </w:rPr>
        <w:t>AI model accuracy at scale → Mitigate: Human-in-the-loop validation, gradual sector rollout</w:t>
      </w:r>
    </w:p>
    <w:p>
      <w:pPr>
        <w:pStyle w:val="ListBullet"/>
        <w:spacing w:before="20" w:after="40"/>
        <w:ind w:left="360"/>
      </w:pPr>
      <w:r>
        <w:rPr>
          <w:rFonts w:ascii="Calibri" w:hAnsi="Calibri"/>
          <w:b w:val="0"/>
          <w:i w:val="0"/>
          <w:color w:val="17202A"/>
          <w:sz w:val="20"/>
        </w:rPr>
        <w:t>Regulatory uncertainty on ESG mandates → Mitigate: Diversify across regulatory frameworks (EU + US + UK)</w:t>
      </w:r>
    </w:p>
    <w:p>
      <w:pPr>
        <w:pStyle w:val="ListBullet"/>
        <w:spacing w:before="20" w:after="40"/>
        <w:ind w:left="360"/>
      </w:pPr>
      <w:r>
        <w:rPr>
          <w:rFonts w:ascii="Calibri" w:hAnsi="Calibri"/>
          <w:b w:val="0"/>
          <w:i w:val="0"/>
          <w:color w:val="17202A"/>
          <w:sz w:val="20"/>
        </w:rPr>
        <w:t>Customer data privacy / sovereignty → Mitigate: Focus on publicly observable physical assets, transparent methodology</w:t>
      </w:r>
    </w:p>
    <w:p>
      <w:pPr>
        <w:spacing w:before="280" w:after="80"/>
      </w:pPr>
      <w:r>
        <w:rPr>
          <w:rFonts w:ascii="Calibri" w:hAnsi="Calibri"/>
          <w:b/>
          <w:i/>
          <w:color w:val="2E86C1"/>
          <w:sz w:val="21"/>
        </w:rPr>
        <w:t>Speaker Notes</w:t>
      </w:r>
    </w:p>
    <w:p>
      <w:pPr>
        <w:spacing w:before="40" w:after="200"/>
        <w:ind w:left="360"/>
      </w:pPr>
      <w:r>
        <w:rPr>
          <w:rFonts w:ascii="Calibri" w:hAnsi="Calibri"/>
          <w:b w:val="0"/>
          <w:i/>
          <w:color w:val="17202A"/>
          <w:sz w:val="19"/>
        </w:rPr>
        <w:t>The incumbent risk is real — MSCI has already launched "GeoSpatial Asset Intelligence" with 70K companies and is hiring dedicated teams. But they are building on top of their existing methodology (company-reported + inferred) rather than satellite-first. Their moat is distribution; our moat must be the quality and independence of the underlying physical observation. We need to move faster than they can evolve.</w:t>
      </w:r>
    </w:p>
    <w:p>
      <w:pPr>
        <w:spacing w:before="0" w:after="0"/>
      </w:pPr>
      <w:r>
        <w:rPr>
          <w:sz w:val="12"/>
        </w:rPr>
      </w:r>
    </w:p>
    <w:p>
      <w:pPr>
        <w:spacing w:before="280" w:after="80"/>
      </w:pPr>
      <w:r>
        <w:rPr>
          <w:rFonts w:ascii="Calibri" w:hAnsi="Calibri"/>
          <w:b/>
          <w:color w:val="1A5C8E"/>
          <w:sz w:val="24"/>
        </w:rPr>
        <w:t>Slide 14: Summary: The Opportunity</w:t>
      </w:r>
    </w:p>
    <w:p>
      <w:pPr>
        <w:spacing w:before="40" w:after="80"/>
      </w:pPr>
      <w:r>
        <w:rPr>
          <w:rFonts w:ascii="Calibri" w:hAnsi="Calibri"/>
          <w:b/>
          <w:i w:val="0"/>
          <w:color w:val="2E86C1"/>
          <w:sz w:val="19"/>
        </w:rPr>
        <w:t xml:space="preserve">VISUAL: </w:t>
      </w:r>
      <w:r>
        <w:rPr>
          <w:rFonts w:ascii="Calibri" w:hAnsi="Calibri"/>
          <w:b w:val="0"/>
          <w:i/>
          <w:color w:val="ABB2B9"/>
          <w:sz w:val="19"/>
        </w:rPr>
        <w:t>Single clean summary graphic with 3 boxes: Problem → Gap → Our Solution.</w:t>
      </w:r>
    </w:p>
    <w:p>
      <w:pPr>
        <w:spacing w:before="280" w:after="80"/>
      </w:pPr>
      <w:r>
        <w:rPr>
          <w:rFonts w:ascii="Calibri" w:hAnsi="Calibri"/>
          <w:b/>
          <w:i/>
          <w:color w:val="2E86C1"/>
          <w:sz w:val="21"/>
        </w:rPr>
        <w:t>Slide Content</w:t>
      </w:r>
    </w:p>
    <w:p>
      <w:pPr>
        <w:pStyle w:val="ListBullet"/>
        <w:spacing w:before="20" w:after="40"/>
        <w:ind w:left="360"/>
      </w:pPr>
      <w:r>
        <w:rPr>
          <w:rFonts w:ascii="Calibri" w:hAnsi="Calibri"/>
          <w:b w:val="0"/>
          <w:i w:val="0"/>
          <w:color w:val="17202A"/>
          <w:sz w:val="20"/>
        </w:rPr>
        <w:t>PROBLEM: $trillions in financial/ESG decisions made using self-reported, unverified physical asset data</w:t>
      </w:r>
    </w:p>
    <w:p>
      <w:pPr>
        <w:pStyle w:val="ListBullet"/>
        <w:spacing w:before="20" w:after="40"/>
        <w:ind w:left="360"/>
      </w:pPr>
      <w:r>
        <w:rPr>
          <w:rFonts w:ascii="Calibri" w:hAnsi="Calibri"/>
          <w:b w:val="0"/>
          <w:i w:val="0"/>
          <w:color w:val="17202A"/>
          <w:sz w:val="20"/>
        </w:rPr>
        <w:t>GAP: No platform combines satellite AI + multi-sector asset intelligence + ESG/finance integration at scale</w:t>
      </w:r>
    </w:p>
    <w:p>
      <w:pPr>
        <w:pStyle w:val="ListBullet"/>
        <w:spacing w:before="20" w:after="40"/>
        <w:ind w:left="360"/>
      </w:pPr>
      <w:r>
        <w:rPr>
          <w:rFonts w:ascii="Calibri" w:hAnsi="Calibri"/>
          <w:b w:val="0"/>
          <w:i w:val="0"/>
          <w:color w:val="17202A"/>
          <w:sz w:val="20"/>
        </w:rPr>
        <w:t>PROOF POINTS: 5 major acquisitions 2024-2026 validate the category; Kayrros exit is the sector-specific proof of concept</w:t>
      </w:r>
    </w:p>
    <w:p>
      <w:pPr>
        <w:pStyle w:val="ListBullet"/>
        <w:spacing w:before="20" w:after="40"/>
        <w:ind w:left="360"/>
      </w:pPr>
      <w:r>
        <w:rPr>
          <w:rFonts w:ascii="Calibri" w:hAnsi="Calibri"/>
          <w:b w:val="0"/>
          <w:i w:val="0"/>
          <w:color w:val="17202A"/>
          <w:sz w:val="20"/>
        </w:rPr>
        <w:t>OUR SOLUTION: The first cross-sector, satellite-verified, AI-powered physical asset intelligence platform</w:t>
      </w:r>
    </w:p>
    <w:p>
      <w:pPr>
        <w:pStyle w:val="ListBullet"/>
        <w:spacing w:before="20" w:after="40"/>
        <w:ind w:left="360"/>
      </w:pPr>
      <w:r>
        <w:rPr>
          <w:rFonts w:ascii="Calibri" w:hAnsi="Calibri"/>
          <w:b w:val="0"/>
          <w:i w:val="0"/>
          <w:color w:val="17202A"/>
          <w:sz w:val="20"/>
        </w:rPr>
        <w:t>CALL TO ACTION: [Investment ask / partnership proposal / pilot programme]</w:t>
      </w:r>
    </w:p>
    <w:p>
      <w:pPr>
        <w:spacing w:before="280" w:after="80"/>
      </w:pPr>
      <w:r>
        <w:rPr>
          <w:rFonts w:ascii="Calibri" w:hAnsi="Calibri"/>
          <w:b/>
          <w:i/>
          <w:color w:val="2E86C1"/>
          <w:sz w:val="21"/>
        </w:rPr>
        <w:t>Speaker Notes</w:t>
      </w:r>
    </w:p>
    <w:p>
      <w:pPr>
        <w:spacing w:before="40" w:after="200"/>
        <w:ind w:left="360"/>
      </w:pPr>
      <w:r>
        <w:rPr>
          <w:rFonts w:ascii="Calibri" w:hAnsi="Calibri"/>
          <w:b w:val="0"/>
          <w:i/>
          <w:color w:val="17202A"/>
          <w:sz w:val="19"/>
        </w:rPr>
        <w:t>Close with conviction: the market is real, the demand is regulatory-mandated, the incumbents have structural gaps, and the acquisition wave proves the exit paths. We are building the platform that the Kayrros acquirer, the MSCI GeoSpatial team, and the S&amp;P Trucost team all wish they had. The question is not whether this market exists — it's whether we build the defining company in it.</w:t>
      </w:r>
    </w:p>
    <w:p>
      <w:pPr>
        <w:spacing w:before="0" w:after="0"/>
      </w:pPr>
      <w:r>
        <w:rPr>
          <w:sz w:val="12"/>
        </w:rPr>
      </w:r>
    </w:p>
    <w:p>
      <w:r>
        <w:br w:type="page"/>
      </w:r>
    </w:p>
    <w:p>
      <w:pPr>
        <w:spacing w:before="280" w:after="80"/>
        <w:pBdr>
          <w:bottom w:val="single" w:sz="6" w:space="1" w:color="2E86C1"/>
        </w:pBdr>
      </w:pPr>
      <w:r>
        <w:rPr>
          <w:rFonts w:ascii="Calibri" w:hAnsi="Calibri"/>
          <w:b/>
          <w:color w:val="0D2B4E"/>
          <w:sz w:val="30"/>
        </w:rPr>
        <w:t>SOURCES &amp; REFERENCES</w:t>
      </w:r>
    </w:p>
    <w:p>
      <w:pPr>
        <w:spacing w:before="40" w:after="160"/>
      </w:pPr>
      <w:r>
        <w:rPr>
          <w:rFonts w:ascii="Calibri" w:hAnsi="Calibri"/>
          <w:b w:val="0"/>
          <w:i/>
          <w:color w:val="ABB2B9"/>
          <w:sz w:val="20"/>
        </w:rPr>
        <w:t>All data points sourced May 2026. Financial figures reflect most recently available public disclosures.</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0D2B4E"/>
          </w:tcPr>
          <w:p>
            <w:r>
              <w:rPr>
                <w:rFonts w:ascii="Calibri" w:hAnsi="Calibri"/>
                <w:b/>
                <w:i w:val="0"/>
                <w:color w:val="FFFFFF"/>
                <w:sz w:val="18"/>
              </w:rPr>
              <w:t>Data Point</w:t>
            </w:r>
          </w:p>
        </w:tc>
        <w:tc>
          <w:tcPr>
            <w:tcW w:type="dxa" w:w="4680"/>
            <w:shd w:val="clear" w:color="auto" w:fill="0D2B4E"/>
          </w:tcPr>
          <w:p>
            <w:r>
              <w:rPr>
                <w:rFonts w:ascii="Calibri" w:hAnsi="Calibri"/>
                <w:b/>
                <w:i w:val="0"/>
                <w:color w:val="FFFFFF"/>
                <w:sz w:val="18"/>
              </w:rPr>
              <w:t>Source / URL</w:t>
            </w:r>
          </w:p>
        </w:tc>
      </w:tr>
      <w:tr>
        <w:tc>
          <w:tcPr>
            <w:tcW w:type="dxa" w:w="4680"/>
            <w:shd w:val="clear" w:color="auto" w:fill="F4F6F7"/>
          </w:tcPr>
          <w:p>
            <w:r>
              <w:rPr>
                <w:rFonts w:ascii="Calibri" w:hAnsi="Calibri"/>
                <w:b/>
                <w:i w:val="0"/>
                <w:color w:val="0D2B4E"/>
                <w:sz w:val="16"/>
              </w:rPr>
              <w:t>Orbital Insight acquisition by Privateer</w:t>
            </w:r>
          </w:p>
        </w:tc>
        <w:tc>
          <w:tcPr>
            <w:tcW w:type="dxa" w:w="4680"/>
            <w:shd w:val="clear" w:color="auto" w:fill="F4F6F7"/>
          </w:tcPr>
          <w:p>
            <w:r>
              <w:rPr>
                <w:rFonts w:ascii="Calibri" w:hAnsi="Calibri"/>
                <w:b w:val="0"/>
                <w:i w:val="0"/>
                <w:color w:val="17202A"/>
                <w:sz w:val="16"/>
              </w:rPr>
              <w:t>SpaceInsider, May 2024 — https://spaceinsider.tech/2024/05/06/privateer-raises-56-5-million-and-acquires-orbital-insight/</w:t>
            </w:r>
          </w:p>
        </w:tc>
      </w:tr>
      <w:tr>
        <w:tc>
          <w:tcPr>
            <w:tcW w:type="dxa" w:w="4680"/>
            <w:shd w:val="clear" w:color="auto" w:fill="FFFFFF"/>
          </w:tcPr>
          <w:p>
            <w:r>
              <w:rPr>
                <w:rFonts w:ascii="Calibri" w:hAnsi="Calibri"/>
                <w:b/>
                <w:i w:val="0"/>
                <w:color w:val="0D2B4E"/>
                <w:sz w:val="16"/>
              </w:rPr>
              <w:t>Orbital Insight revenue ~$44M</w:t>
            </w:r>
          </w:p>
        </w:tc>
        <w:tc>
          <w:tcPr>
            <w:tcW w:type="dxa" w:w="4680"/>
            <w:shd w:val="clear" w:color="auto" w:fill="FFFFFF"/>
          </w:tcPr>
          <w:p>
            <w:r>
              <w:rPr>
                <w:rFonts w:ascii="Calibri" w:hAnsi="Calibri"/>
                <w:b w:val="0"/>
                <w:i w:val="0"/>
                <w:color w:val="17202A"/>
                <w:sz w:val="16"/>
              </w:rPr>
              <w:t>Latka, June 2024 — https://getlatka.com/companies/orbital-insight</w:t>
            </w:r>
          </w:p>
        </w:tc>
      </w:tr>
      <w:tr>
        <w:tc>
          <w:tcPr>
            <w:tcW w:type="dxa" w:w="4680"/>
            <w:shd w:val="clear" w:color="auto" w:fill="F4F6F7"/>
          </w:tcPr>
          <w:p>
            <w:r>
              <w:rPr>
                <w:rFonts w:ascii="Calibri" w:hAnsi="Calibri"/>
                <w:b/>
                <w:i w:val="0"/>
                <w:color w:val="0D2B4E"/>
                <w:sz w:val="16"/>
              </w:rPr>
              <w:t>Kayrros revenue $20.2M, 80 customers</w:t>
            </w:r>
          </w:p>
        </w:tc>
        <w:tc>
          <w:tcPr>
            <w:tcW w:type="dxa" w:w="4680"/>
            <w:shd w:val="clear" w:color="auto" w:fill="F4F6F7"/>
          </w:tcPr>
          <w:p>
            <w:r>
              <w:rPr>
                <w:rFonts w:ascii="Calibri" w:hAnsi="Calibri"/>
                <w:b w:val="0"/>
                <w:i w:val="0"/>
                <w:color w:val="17202A"/>
                <w:sz w:val="16"/>
              </w:rPr>
              <w:t>Latka, October 2024 — https://getlatka.com/companies/kayrros</w:t>
            </w:r>
          </w:p>
        </w:tc>
      </w:tr>
      <w:tr>
        <w:tc>
          <w:tcPr>
            <w:tcW w:type="dxa" w:w="4680"/>
            <w:shd w:val="clear" w:color="auto" w:fill="FFFFFF"/>
          </w:tcPr>
          <w:p>
            <w:r>
              <w:rPr>
                <w:rFonts w:ascii="Calibri" w:hAnsi="Calibri"/>
                <w:b/>
                <w:i w:val="0"/>
                <w:color w:val="0D2B4E"/>
                <w:sz w:val="16"/>
              </w:rPr>
              <w:t>Kayrros acquisition by Energy Aspects</w:t>
            </w:r>
          </w:p>
        </w:tc>
        <w:tc>
          <w:tcPr>
            <w:tcW w:type="dxa" w:w="4680"/>
            <w:shd w:val="clear" w:color="auto" w:fill="FFFFFF"/>
          </w:tcPr>
          <w:p>
            <w:r>
              <w:rPr>
                <w:rFonts w:ascii="Calibri" w:hAnsi="Calibri"/>
                <w:b w:val="0"/>
                <w:i w:val="0"/>
                <w:color w:val="17202A"/>
                <w:sz w:val="16"/>
              </w:rPr>
              <w:t>Kayrros press release, March 2026 — https://www.kayrros.com/press-release/</w:t>
            </w:r>
          </w:p>
        </w:tc>
      </w:tr>
      <w:tr>
        <w:tc>
          <w:tcPr>
            <w:tcW w:type="dxa" w:w="4680"/>
            <w:shd w:val="clear" w:color="auto" w:fill="F4F6F7"/>
          </w:tcPr>
          <w:p>
            <w:r>
              <w:rPr>
                <w:rFonts w:ascii="Calibri" w:hAnsi="Calibri"/>
                <w:b/>
                <w:i w:val="0"/>
                <w:color w:val="0D2B4E"/>
                <w:sz w:val="16"/>
              </w:rPr>
              <w:t>Kayrros Fortune Change the World #30</w:t>
            </w:r>
          </w:p>
        </w:tc>
        <w:tc>
          <w:tcPr>
            <w:tcW w:type="dxa" w:w="4680"/>
            <w:shd w:val="clear" w:color="auto" w:fill="F4F6F7"/>
          </w:tcPr>
          <w:p>
            <w:r>
              <w:rPr>
                <w:rFonts w:ascii="Calibri" w:hAnsi="Calibri"/>
                <w:b w:val="0"/>
                <w:i w:val="0"/>
                <w:color w:val="17202A"/>
                <w:sz w:val="16"/>
              </w:rPr>
              <w:t>Kayrros, 2024 — https://www.kayrros.com/kayrros-rises-to-30-in-fortunes-change-the-world-2024-list/</w:t>
            </w:r>
          </w:p>
        </w:tc>
      </w:tr>
      <w:tr>
        <w:tc>
          <w:tcPr>
            <w:tcW w:type="dxa" w:w="4680"/>
            <w:shd w:val="clear" w:color="auto" w:fill="FFFFFF"/>
          </w:tcPr>
          <w:p>
            <w:r>
              <w:rPr>
                <w:rFonts w:ascii="Calibri" w:hAnsi="Calibri"/>
                <w:b/>
                <w:i w:val="0"/>
                <w:color w:val="0D2B4E"/>
                <w:sz w:val="16"/>
              </w:rPr>
              <w:t>Planet Labs FY2024 revenue $244M; FY2026 guidance</w:t>
            </w:r>
          </w:p>
        </w:tc>
        <w:tc>
          <w:tcPr>
            <w:tcW w:type="dxa" w:w="4680"/>
            <w:shd w:val="clear" w:color="auto" w:fill="FFFFFF"/>
          </w:tcPr>
          <w:p>
            <w:r>
              <w:rPr>
                <w:rFonts w:ascii="Calibri" w:hAnsi="Calibri"/>
                <w:b w:val="0"/>
                <w:i w:val="0"/>
                <w:color w:val="17202A"/>
                <w:sz w:val="16"/>
              </w:rPr>
              <w:t>Planet Labs IR / Finimize — https://finimize.com/content/pl-asset-snapshot</w:t>
            </w:r>
          </w:p>
        </w:tc>
      </w:tr>
      <w:tr>
        <w:tc>
          <w:tcPr>
            <w:tcW w:type="dxa" w:w="4680"/>
            <w:shd w:val="clear" w:color="auto" w:fill="F4F6F7"/>
          </w:tcPr>
          <w:p>
            <w:r>
              <w:rPr>
                <w:rFonts w:ascii="Calibri" w:hAnsi="Calibri"/>
                <w:b/>
                <w:i w:val="0"/>
                <w:color w:val="0D2B4E"/>
                <w:sz w:val="16"/>
              </w:rPr>
              <w:t>Planet Labs $280M Germany contract</w:t>
            </w:r>
          </w:p>
        </w:tc>
        <w:tc>
          <w:tcPr>
            <w:tcW w:type="dxa" w:w="4680"/>
            <w:shd w:val="clear" w:color="auto" w:fill="F4F6F7"/>
          </w:tcPr>
          <w:p>
            <w:r>
              <w:rPr>
                <w:rFonts w:ascii="Calibri" w:hAnsi="Calibri"/>
                <w:b w:val="0"/>
                <w:i w:val="0"/>
                <w:color w:val="17202A"/>
                <w:sz w:val="16"/>
              </w:rPr>
              <w:t>Various reports, July 2025</w:t>
            </w:r>
          </w:p>
        </w:tc>
      </w:tr>
      <w:tr>
        <w:tc>
          <w:tcPr>
            <w:tcW w:type="dxa" w:w="4680"/>
            <w:shd w:val="clear" w:color="auto" w:fill="FFFFFF"/>
          </w:tcPr>
          <w:p>
            <w:r>
              <w:rPr>
                <w:rFonts w:ascii="Calibri" w:hAnsi="Calibri"/>
                <w:b/>
                <w:i w:val="0"/>
                <w:color w:val="0D2B4E"/>
                <w:sz w:val="16"/>
              </w:rPr>
              <w:t>ICEYE EUR 150M round, EUR 2.4B valuation</w:t>
            </w:r>
          </w:p>
        </w:tc>
        <w:tc>
          <w:tcPr>
            <w:tcW w:type="dxa" w:w="4680"/>
            <w:shd w:val="clear" w:color="auto" w:fill="FFFFFF"/>
          </w:tcPr>
          <w:p>
            <w:r>
              <w:rPr>
                <w:rFonts w:ascii="Calibri" w:hAnsi="Calibri"/>
                <w:b w:val="0"/>
                <w:i w:val="0"/>
                <w:color w:val="17202A"/>
                <w:sz w:val="16"/>
              </w:rPr>
              <w:t>The Fast Mode, Dec 2025 — https://www.thefastmode.com/investments-and-expansions/46254-iceye-strengthens-sovereign-sar-satellite-capability-with-new-150m-funding</w:t>
            </w:r>
          </w:p>
        </w:tc>
      </w:tr>
      <w:tr>
        <w:tc>
          <w:tcPr>
            <w:tcW w:type="dxa" w:w="4680"/>
            <w:shd w:val="clear" w:color="auto" w:fill="F4F6F7"/>
          </w:tcPr>
          <w:p>
            <w:r>
              <w:rPr>
                <w:rFonts w:ascii="Calibri" w:hAnsi="Calibri"/>
                <w:b/>
                <w:i w:val="0"/>
                <w:color w:val="0D2B4E"/>
                <w:sz w:val="16"/>
              </w:rPr>
              <w:t>ICEYE 54 SAR satellites</w:t>
            </w:r>
          </w:p>
        </w:tc>
        <w:tc>
          <w:tcPr>
            <w:tcW w:type="dxa" w:w="4680"/>
            <w:shd w:val="clear" w:color="auto" w:fill="F4F6F7"/>
          </w:tcPr>
          <w:p>
            <w:r>
              <w:rPr>
                <w:rFonts w:ascii="Calibri" w:hAnsi="Calibri"/>
                <w:b w:val="0"/>
                <w:i w:val="0"/>
                <w:color w:val="17202A"/>
                <w:sz w:val="16"/>
              </w:rPr>
              <w:t>BeInsure, 2025</w:t>
            </w:r>
          </w:p>
        </w:tc>
      </w:tr>
      <w:tr>
        <w:tc>
          <w:tcPr>
            <w:tcW w:type="dxa" w:w="4680"/>
            <w:shd w:val="clear" w:color="auto" w:fill="FFFFFF"/>
          </w:tcPr>
          <w:p>
            <w:r>
              <w:rPr>
                <w:rFonts w:ascii="Calibri" w:hAnsi="Calibri"/>
                <w:b/>
                <w:i w:val="0"/>
                <w:color w:val="0D2B4E"/>
                <w:sz w:val="16"/>
              </w:rPr>
              <w:t>Descartes Labs acquisition by EarthDaily</w:t>
            </w:r>
          </w:p>
        </w:tc>
        <w:tc>
          <w:tcPr>
            <w:tcW w:type="dxa" w:w="4680"/>
            <w:shd w:val="clear" w:color="auto" w:fill="FFFFFF"/>
          </w:tcPr>
          <w:p>
            <w:r>
              <w:rPr>
                <w:rFonts w:ascii="Calibri" w:hAnsi="Calibri"/>
                <w:b w:val="0"/>
                <w:i w:val="0"/>
                <w:color w:val="17202A"/>
                <w:sz w:val="16"/>
              </w:rPr>
              <w:t>Via Satellite, October 2024 — https://www.satellitetoday.com/imagery-and-sensing/2024/10/15/earthdaily-acquires-descartes-labs/</w:t>
            </w:r>
          </w:p>
        </w:tc>
      </w:tr>
      <w:tr>
        <w:tc>
          <w:tcPr>
            <w:tcW w:type="dxa" w:w="4680"/>
            <w:shd w:val="clear" w:color="auto" w:fill="F4F6F7"/>
          </w:tcPr>
          <w:p>
            <w:r>
              <w:rPr>
                <w:rFonts w:ascii="Calibri" w:hAnsi="Calibri"/>
                <w:b/>
                <w:i w:val="0"/>
                <w:color w:val="0D2B4E"/>
                <w:sz w:val="16"/>
              </w:rPr>
              <w:t>Satellogic FY2024 revenue $12.9M (+28% YoY)</w:t>
            </w:r>
          </w:p>
        </w:tc>
        <w:tc>
          <w:tcPr>
            <w:tcW w:type="dxa" w:w="4680"/>
            <w:shd w:val="clear" w:color="auto" w:fill="F4F6F7"/>
          </w:tcPr>
          <w:p>
            <w:r>
              <w:rPr>
                <w:rFonts w:ascii="Calibri" w:hAnsi="Calibri"/>
                <w:b w:val="0"/>
                <w:i w:val="0"/>
                <w:color w:val="17202A"/>
                <w:sz w:val="16"/>
              </w:rPr>
              <w:t>Satellogic Press Release, 2025</w:t>
            </w:r>
          </w:p>
        </w:tc>
      </w:tr>
      <w:tr>
        <w:tc>
          <w:tcPr>
            <w:tcW w:type="dxa" w:w="4680"/>
            <w:shd w:val="clear" w:color="auto" w:fill="FFFFFF"/>
          </w:tcPr>
          <w:p>
            <w:r>
              <w:rPr>
                <w:rFonts w:ascii="Calibri" w:hAnsi="Calibri"/>
                <w:b/>
                <w:i w:val="0"/>
                <w:color w:val="0D2B4E"/>
                <w:sz w:val="16"/>
              </w:rPr>
              <w:t>Satellogic $30M defence contract</w:t>
            </w:r>
          </w:p>
        </w:tc>
        <w:tc>
          <w:tcPr>
            <w:tcW w:type="dxa" w:w="4680"/>
            <w:shd w:val="clear" w:color="auto" w:fill="FFFFFF"/>
          </w:tcPr>
          <w:p>
            <w:r>
              <w:rPr>
                <w:rFonts w:ascii="Calibri" w:hAnsi="Calibri"/>
                <w:b w:val="0"/>
                <w:i w:val="0"/>
                <w:color w:val="17202A"/>
                <w:sz w:val="16"/>
              </w:rPr>
              <w:t>Satellogic, April 2025 — https://satellogic.com/news/press-releases/</w:t>
            </w:r>
          </w:p>
        </w:tc>
      </w:tr>
      <w:tr>
        <w:tc>
          <w:tcPr>
            <w:tcW w:type="dxa" w:w="4680"/>
            <w:shd w:val="clear" w:color="auto" w:fill="F4F6F7"/>
          </w:tcPr>
          <w:p>
            <w:r>
              <w:rPr>
                <w:rFonts w:ascii="Calibri" w:hAnsi="Calibri"/>
                <w:b/>
                <w:i w:val="0"/>
                <w:color w:val="0D2B4E"/>
                <w:sz w:val="16"/>
              </w:rPr>
              <w:t>SpaceKnow funding $5.45M (Series A, 2017)</w:t>
            </w:r>
          </w:p>
        </w:tc>
        <w:tc>
          <w:tcPr>
            <w:tcW w:type="dxa" w:w="4680"/>
            <w:shd w:val="clear" w:color="auto" w:fill="F4F6F7"/>
          </w:tcPr>
          <w:p>
            <w:r>
              <w:rPr>
                <w:rFonts w:ascii="Calibri" w:hAnsi="Calibri"/>
                <w:b w:val="0"/>
                <w:i w:val="0"/>
                <w:color w:val="17202A"/>
                <w:sz w:val="16"/>
              </w:rPr>
              <w:t>CB Insights / Tracxn</w:t>
            </w:r>
          </w:p>
        </w:tc>
      </w:tr>
      <w:tr>
        <w:tc>
          <w:tcPr>
            <w:tcW w:type="dxa" w:w="4680"/>
            <w:shd w:val="clear" w:color="auto" w:fill="FFFFFF"/>
          </w:tcPr>
          <w:p>
            <w:r>
              <w:rPr>
                <w:rFonts w:ascii="Calibri" w:hAnsi="Calibri"/>
                <w:b/>
                <w:i w:val="0"/>
                <w:color w:val="0D2B4E"/>
                <w:sz w:val="16"/>
              </w:rPr>
              <w:t>Satelytics revenue $6.1M (Oct 2024)</w:t>
            </w:r>
          </w:p>
        </w:tc>
        <w:tc>
          <w:tcPr>
            <w:tcW w:type="dxa" w:w="4680"/>
            <w:shd w:val="clear" w:color="auto" w:fill="FFFFFF"/>
          </w:tcPr>
          <w:p>
            <w:r>
              <w:rPr>
                <w:rFonts w:ascii="Calibri" w:hAnsi="Calibri"/>
                <w:b w:val="0"/>
                <w:i w:val="0"/>
                <w:color w:val="17202A"/>
                <w:sz w:val="16"/>
              </w:rPr>
              <w:t>Latka — https://getlatka.com/companies/satelytics</w:t>
            </w:r>
          </w:p>
        </w:tc>
      </w:tr>
      <w:tr>
        <w:tc>
          <w:tcPr>
            <w:tcW w:type="dxa" w:w="4680"/>
            <w:shd w:val="clear" w:color="auto" w:fill="F4F6F7"/>
          </w:tcPr>
          <w:p>
            <w:r>
              <w:rPr>
                <w:rFonts w:ascii="Calibri" w:hAnsi="Calibri"/>
                <w:b/>
                <w:i w:val="0"/>
                <w:color w:val="0D2B4E"/>
                <w:sz w:val="16"/>
              </w:rPr>
              <w:t>Ursa Space total raised $69.7M; Aug 2025 round</w:t>
            </w:r>
          </w:p>
        </w:tc>
        <w:tc>
          <w:tcPr>
            <w:tcW w:type="dxa" w:w="4680"/>
            <w:shd w:val="clear" w:color="auto" w:fill="F4F6F7"/>
          </w:tcPr>
          <w:p>
            <w:r>
              <w:rPr>
                <w:rFonts w:ascii="Calibri" w:hAnsi="Calibri"/>
                <w:b w:val="0"/>
                <w:i w:val="0"/>
                <w:color w:val="17202A"/>
                <w:sz w:val="16"/>
              </w:rPr>
              <w:t>Tracxn / CB Insights</w:t>
            </w:r>
          </w:p>
        </w:tc>
      </w:tr>
      <w:tr>
        <w:tc>
          <w:tcPr>
            <w:tcW w:type="dxa" w:w="4680"/>
            <w:shd w:val="clear" w:color="auto" w:fill="FFFFFF"/>
          </w:tcPr>
          <w:p>
            <w:r>
              <w:rPr>
                <w:rFonts w:ascii="Calibri" w:hAnsi="Calibri"/>
                <w:b/>
                <w:i w:val="0"/>
                <w:color w:val="0D2B4E"/>
                <w:sz w:val="16"/>
              </w:rPr>
              <w:t>LiveEO €25M Series B (Jun 2024) + €28M new round</w:t>
            </w:r>
          </w:p>
        </w:tc>
        <w:tc>
          <w:tcPr>
            <w:tcW w:type="dxa" w:w="4680"/>
            <w:shd w:val="clear" w:color="auto" w:fill="FFFFFF"/>
          </w:tcPr>
          <w:p>
            <w:r>
              <w:rPr>
                <w:rFonts w:ascii="Calibri" w:hAnsi="Calibri"/>
                <w:b w:val="0"/>
                <w:i w:val="0"/>
                <w:color w:val="17202A"/>
                <w:sz w:val="16"/>
              </w:rPr>
              <w:t>TNW, VentureBurn, ESA — https://thenextweb.com/news/liveeo-28m-funding-civil-infrastructure-defence-twinspector</w:t>
            </w:r>
          </w:p>
        </w:tc>
      </w:tr>
      <w:tr>
        <w:tc>
          <w:tcPr>
            <w:tcW w:type="dxa" w:w="4680"/>
            <w:shd w:val="clear" w:color="auto" w:fill="F4F6F7"/>
          </w:tcPr>
          <w:p>
            <w:r>
              <w:rPr>
                <w:rFonts w:ascii="Calibri" w:hAnsi="Calibri"/>
                <w:b/>
                <w:i w:val="0"/>
                <w:color w:val="0D2B4E"/>
                <w:sz w:val="16"/>
              </w:rPr>
              <w:t>AiDash $91.5M total raised (Series C 2024)</w:t>
            </w:r>
          </w:p>
        </w:tc>
        <w:tc>
          <w:tcPr>
            <w:tcW w:type="dxa" w:w="4680"/>
            <w:shd w:val="clear" w:color="auto" w:fill="F4F6F7"/>
          </w:tcPr>
          <w:p>
            <w:r>
              <w:rPr>
                <w:rFonts w:ascii="Calibri" w:hAnsi="Calibri"/>
                <w:b w:val="0"/>
                <w:i w:val="0"/>
                <w:color w:val="17202A"/>
                <w:sz w:val="16"/>
              </w:rPr>
              <w:t>Dealroom</w:t>
            </w:r>
          </w:p>
        </w:tc>
      </w:tr>
      <w:tr>
        <w:tc>
          <w:tcPr>
            <w:tcW w:type="dxa" w:w="4680"/>
            <w:shd w:val="clear" w:color="auto" w:fill="FFFFFF"/>
          </w:tcPr>
          <w:p>
            <w:r>
              <w:rPr>
                <w:rFonts w:ascii="Calibri" w:hAnsi="Calibri"/>
                <w:b/>
                <w:i w:val="0"/>
                <w:color w:val="0D2B4E"/>
                <w:sz w:val="16"/>
              </w:rPr>
              <w:t>Rezatec $21.1M raised; majority stake Dec 2024</w:t>
            </w:r>
          </w:p>
        </w:tc>
        <w:tc>
          <w:tcPr>
            <w:tcW w:type="dxa" w:w="4680"/>
            <w:shd w:val="clear" w:color="auto" w:fill="FFFFFF"/>
          </w:tcPr>
          <w:p>
            <w:r>
              <w:rPr>
                <w:rFonts w:ascii="Calibri" w:hAnsi="Calibri"/>
                <w:b w:val="0"/>
                <w:i w:val="0"/>
                <w:color w:val="17202A"/>
                <w:sz w:val="16"/>
              </w:rPr>
              <w:t>PitchBook / Tracxn</w:t>
            </w:r>
          </w:p>
        </w:tc>
      </w:tr>
      <w:tr>
        <w:tc>
          <w:tcPr>
            <w:tcW w:type="dxa" w:w="4680"/>
            <w:shd w:val="clear" w:color="auto" w:fill="F4F6F7"/>
          </w:tcPr>
          <w:p>
            <w:r>
              <w:rPr>
                <w:rFonts w:ascii="Calibri" w:hAnsi="Calibri"/>
                <w:b/>
                <w:i w:val="0"/>
                <w:color w:val="0D2B4E"/>
                <w:sz w:val="16"/>
              </w:rPr>
              <w:t>S&amp;P Global FY2025 revenue $15.3B; Market Intelligence $4.92B</w:t>
            </w:r>
          </w:p>
        </w:tc>
        <w:tc>
          <w:tcPr>
            <w:tcW w:type="dxa" w:w="4680"/>
            <w:shd w:val="clear" w:color="auto" w:fill="F4F6F7"/>
          </w:tcPr>
          <w:p>
            <w:r>
              <w:rPr>
                <w:rFonts w:ascii="Calibri" w:hAnsi="Calibri"/>
                <w:b w:val="0"/>
                <w:i w:val="0"/>
                <w:color w:val="17202A"/>
                <w:sz w:val="16"/>
              </w:rPr>
              <w:t>S&amp;P Global Annual Report 2025 / MacroTrends</w:t>
            </w:r>
          </w:p>
        </w:tc>
      </w:tr>
      <w:tr>
        <w:tc>
          <w:tcPr>
            <w:tcW w:type="dxa" w:w="4680"/>
            <w:shd w:val="clear" w:color="auto" w:fill="FFFFFF"/>
          </w:tcPr>
          <w:p>
            <w:r>
              <w:rPr>
                <w:rFonts w:ascii="Calibri" w:hAnsi="Calibri"/>
                <w:b/>
                <w:i w:val="0"/>
                <w:color w:val="0D2B4E"/>
                <w:sz w:val="16"/>
              </w:rPr>
              <w:t>S&amp;P Trucost: 2.9M+ assets, 15K+ companies, 7 hazards</w:t>
            </w:r>
          </w:p>
        </w:tc>
        <w:tc>
          <w:tcPr>
            <w:tcW w:type="dxa" w:w="4680"/>
            <w:shd w:val="clear" w:color="auto" w:fill="FFFFFF"/>
          </w:tcPr>
          <w:p>
            <w:r>
              <w:rPr>
                <w:rFonts w:ascii="Calibri" w:hAnsi="Calibri"/>
                <w:b w:val="0"/>
                <w:i w:val="0"/>
                <w:color w:val="17202A"/>
                <w:sz w:val="16"/>
              </w:rPr>
              <w:t>S&amp;P Global / WRDS data announcement</w:t>
            </w:r>
          </w:p>
        </w:tc>
      </w:tr>
      <w:tr>
        <w:tc>
          <w:tcPr>
            <w:tcW w:type="dxa" w:w="4680"/>
            <w:shd w:val="clear" w:color="auto" w:fill="F4F6F7"/>
          </w:tcPr>
          <w:p>
            <w:r>
              <w:rPr>
                <w:rFonts w:ascii="Calibri" w:hAnsi="Calibri"/>
                <w:b/>
                <w:i w:val="0"/>
                <w:color w:val="0D2B4E"/>
                <w:sz w:val="16"/>
              </w:rPr>
              <w:t>MSCI ESG +40% YoY 2024; Total revenue ~$2.5B</w:t>
            </w:r>
          </w:p>
        </w:tc>
        <w:tc>
          <w:tcPr>
            <w:tcW w:type="dxa" w:w="4680"/>
            <w:shd w:val="clear" w:color="auto" w:fill="F4F6F7"/>
          </w:tcPr>
          <w:p>
            <w:r>
              <w:rPr>
                <w:rFonts w:ascii="Calibri" w:hAnsi="Calibri"/>
                <w:b w:val="0"/>
                <w:i w:val="0"/>
                <w:color w:val="17202A"/>
                <w:sz w:val="16"/>
              </w:rPr>
              <w:t>MSCI 2024 Annual Report</w:t>
            </w:r>
          </w:p>
        </w:tc>
      </w:tr>
      <w:tr>
        <w:tc>
          <w:tcPr>
            <w:tcW w:type="dxa" w:w="4680"/>
            <w:shd w:val="clear" w:color="auto" w:fill="FFFFFF"/>
          </w:tcPr>
          <w:p>
            <w:r>
              <w:rPr>
                <w:rFonts w:ascii="Calibri" w:hAnsi="Calibri"/>
                <w:b/>
                <w:i w:val="0"/>
                <w:color w:val="0D2B4E"/>
                <w:sz w:val="16"/>
              </w:rPr>
              <w:t>MSCI GeoSpatial Asset Intelligence: 70K companies</w:t>
            </w:r>
          </w:p>
        </w:tc>
        <w:tc>
          <w:tcPr>
            <w:tcW w:type="dxa" w:w="4680"/>
            <w:shd w:val="clear" w:color="auto" w:fill="FFFFFF"/>
          </w:tcPr>
          <w:p>
            <w:r>
              <w:rPr>
                <w:rFonts w:ascii="Calibri" w:hAnsi="Calibri"/>
                <w:b w:val="0"/>
                <w:i w:val="0"/>
                <w:color w:val="17202A"/>
                <w:sz w:val="16"/>
              </w:rPr>
              <w:t>MSCI Careers page / competitive landscape search</w:t>
            </w:r>
          </w:p>
        </w:tc>
      </w:tr>
      <w:tr>
        <w:tc>
          <w:tcPr>
            <w:tcW w:type="dxa" w:w="4680"/>
            <w:shd w:val="clear" w:color="auto" w:fill="F4F6F7"/>
          </w:tcPr>
          <w:p>
            <w:r>
              <w:rPr>
                <w:rFonts w:ascii="Calibri" w:hAnsi="Calibri"/>
                <w:b/>
                <w:i w:val="0"/>
                <w:color w:val="0D2B4E"/>
                <w:sz w:val="16"/>
              </w:rPr>
              <w:t>Sustainalytics revenue -6.5% Q1 2025 to $28.8M</w:t>
            </w:r>
          </w:p>
        </w:tc>
        <w:tc>
          <w:tcPr>
            <w:tcW w:type="dxa" w:w="4680"/>
            <w:shd w:val="clear" w:color="auto" w:fill="F4F6F7"/>
          </w:tcPr>
          <w:p>
            <w:r>
              <w:rPr>
                <w:rFonts w:ascii="Calibri" w:hAnsi="Calibri"/>
                <w:b w:val="0"/>
                <w:i w:val="0"/>
                <w:color w:val="17202A"/>
                <w:sz w:val="16"/>
              </w:rPr>
              <w:t>Morningstar Q1 2025 earnings</w:t>
            </w:r>
          </w:p>
        </w:tc>
      </w:tr>
      <w:tr>
        <w:tc>
          <w:tcPr>
            <w:tcW w:type="dxa" w:w="4680"/>
            <w:shd w:val="clear" w:color="auto" w:fill="FFFFFF"/>
          </w:tcPr>
          <w:p>
            <w:r>
              <w:rPr>
                <w:rFonts w:ascii="Calibri" w:hAnsi="Calibri"/>
                <w:b/>
                <w:i w:val="0"/>
                <w:color w:val="0D2B4E"/>
                <w:sz w:val="16"/>
              </w:rPr>
              <w:t>Dun &amp; Bradstreet FY2024 revenue $2.38B; Clearlake acquisition $7.7B</w:t>
            </w:r>
          </w:p>
        </w:tc>
        <w:tc>
          <w:tcPr>
            <w:tcW w:type="dxa" w:w="4680"/>
            <w:shd w:val="clear" w:color="auto" w:fill="FFFFFF"/>
          </w:tcPr>
          <w:p>
            <w:r>
              <w:rPr>
                <w:rFonts w:ascii="Calibri" w:hAnsi="Calibri"/>
                <w:b w:val="0"/>
                <w:i w:val="0"/>
                <w:color w:val="17202A"/>
                <w:sz w:val="16"/>
              </w:rPr>
              <w:t>D&amp;B IR, March 2025</w:t>
            </w:r>
          </w:p>
        </w:tc>
      </w:tr>
      <w:tr>
        <w:tc>
          <w:tcPr>
            <w:tcW w:type="dxa" w:w="4680"/>
            <w:shd w:val="clear" w:color="auto" w:fill="F4F6F7"/>
          </w:tcPr>
          <w:p>
            <w:r>
              <w:rPr>
                <w:rFonts w:ascii="Calibri" w:hAnsi="Calibri"/>
                <w:b/>
                <w:i w:val="0"/>
                <w:color w:val="0D2B4E"/>
                <w:sz w:val="16"/>
              </w:rPr>
              <w:t>Clarity AI $100-120M raised; BlackRock investor; Forrester Wave leader Q3 2024</w:t>
            </w:r>
          </w:p>
        </w:tc>
        <w:tc>
          <w:tcPr>
            <w:tcW w:type="dxa" w:w="4680"/>
            <w:shd w:val="clear" w:color="auto" w:fill="F4F6F7"/>
          </w:tcPr>
          <w:p>
            <w:r>
              <w:rPr>
                <w:rFonts w:ascii="Calibri" w:hAnsi="Calibri"/>
                <w:b w:val="0"/>
                <w:i w:val="0"/>
                <w:color w:val="17202A"/>
                <w:sz w:val="16"/>
              </w:rPr>
              <w:t>CB Insights / Tracxn / Clarity AI press releases</w:t>
            </w:r>
          </w:p>
        </w:tc>
      </w:tr>
      <w:tr>
        <w:tc>
          <w:tcPr>
            <w:tcW w:type="dxa" w:w="4680"/>
            <w:shd w:val="clear" w:color="auto" w:fill="FFFFFF"/>
          </w:tcPr>
          <w:p>
            <w:r>
              <w:rPr>
                <w:rFonts w:ascii="Calibri" w:hAnsi="Calibri"/>
                <w:b/>
                <w:i w:val="0"/>
                <w:color w:val="0D2B4E"/>
                <w:sz w:val="16"/>
              </w:rPr>
              <w:t>Clarity AI acquired ecolytiq</w:t>
            </w:r>
          </w:p>
        </w:tc>
        <w:tc>
          <w:tcPr>
            <w:tcW w:type="dxa" w:w="4680"/>
            <w:shd w:val="clear" w:color="auto" w:fill="FFFFFF"/>
          </w:tcPr>
          <w:p>
            <w:r>
              <w:rPr>
                <w:rFonts w:ascii="Calibri" w:hAnsi="Calibri"/>
                <w:b w:val="0"/>
                <w:i w:val="0"/>
                <w:color w:val="17202A"/>
                <w:sz w:val="16"/>
              </w:rPr>
              <w:t>ESG Today, July 2025</w:t>
            </w:r>
          </w:p>
        </w:tc>
      </w:tr>
      <w:tr>
        <w:tc>
          <w:tcPr>
            <w:tcW w:type="dxa" w:w="4680"/>
            <w:shd w:val="clear" w:color="auto" w:fill="F4F6F7"/>
          </w:tcPr>
          <w:p>
            <w:r>
              <w:rPr>
                <w:rFonts w:ascii="Calibri" w:hAnsi="Calibri"/>
                <w:b/>
                <w:i w:val="0"/>
                <w:color w:val="0D2B4E"/>
                <w:sz w:val="16"/>
              </w:rPr>
              <w:t>CoStar Group FY2025 revenue $3.2B (+19%); FY2024 $2.74B</w:t>
            </w:r>
          </w:p>
        </w:tc>
        <w:tc>
          <w:tcPr>
            <w:tcW w:type="dxa" w:w="4680"/>
            <w:shd w:val="clear" w:color="auto" w:fill="F4F6F7"/>
          </w:tcPr>
          <w:p>
            <w:r>
              <w:rPr>
                <w:rFonts w:ascii="Calibri" w:hAnsi="Calibri"/>
                <w:b w:val="0"/>
                <w:i w:val="0"/>
                <w:color w:val="17202A"/>
                <w:sz w:val="16"/>
              </w:rPr>
              <w:t>CoStar Group IR, 2025</w:t>
            </w:r>
          </w:p>
        </w:tc>
      </w:tr>
      <w:tr>
        <w:tc>
          <w:tcPr>
            <w:tcW w:type="dxa" w:w="4680"/>
            <w:shd w:val="clear" w:color="auto" w:fill="FFFFFF"/>
          </w:tcPr>
          <w:p>
            <w:r>
              <w:rPr>
                <w:rFonts w:ascii="Calibri" w:hAnsi="Calibri"/>
                <w:b/>
                <w:i w:val="0"/>
                <w:color w:val="0D2B4E"/>
                <w:sz w:val="16"/>
              </w:rPr>
              <w:t>Geospatial AI market $38B (2024) → $64.6B (2030)</w:t>
            </w:r>
          </w:p>
        </w:tc>
        <w:tc>
          <w:tcPr>
            <w:tcW w:type="dxa" w:w="4680"/>
            <w:shd w:val="clear" w:color="auto" w:fill="FFFFFF"/>
          </w:tcPr>
          <w:p>
            <w:r>
              <w:rPr>
                <w:rFonts w:ascii="Calibri" w:hAnsi="Calibri"/>
                <w:b w:val="0"/>
                <w:i w:val="0"/>
                <w:color w:val="17202A"/>
                <w:sz w:val="16"/>
              </w:rPr>
              <w:t>Precedence Research</w:t>
            </w:r>
          </w:p>
        </w:tc>
      </w:tr>
      <w:tr>
        <w:tc>
          <w:tcPr>
            <w:tcW w:type="dxa" w:w="4680"/>
            <w:shd w:val="clear" w:color="auto" w:fill="F4F6F7"/>
          </w:tcPr>
          <w:p>
            <w:r>
              <w:rPr>
                <w:rFonts w:ascii="Calibri" w:hAnsi="Calibri"/>
                <w:b/>
                <w:i w:val="0"/>
                <w:color w:val="0D2B4E"/>
                <w:sz w:val="16"/>
              </w:rPr>
              <w:t>Satellite EO market $3.7B (2024) → $5.1B (2030)</w:t>
            </w:r>
          </w:p>
        </w:tc>
        <w:tc>
          <w:tcPr>
            <w:tcW w:type="dxa" w:w="4680"/>
            <w:shd w:val="clear" w:color="auto" w:fill="F4F6F7"/>
          </w:tcPr>
          <w:p>
            <w:r>
              <w:rPr>
                <w:rFonts w:ascii="Calibri" w:hAnsi="Calibri"/>
                <w:b w:val="0"/>
                <w:i w:val="0"/>
                <w:color w:val="17202A"/>
                <w:sz w:val="16"/>
              </w:rPr>
              <w:t>Mordor Intelligence</w:t>
            </w:r>
          </w:p>
        </w:tc>
      </w:tr>
      <w:tr>
        <w:tc>
          <w:tcPr>
            <w:tcW w:type="dxa" w:w="4680"/>
            <w:shd w:val="clear" w:color="auto" w:fill="FFFFFF"/>
          </w:tcPr>
          <w:p>
            <w:r>
              <w:rPr>
                <w:rFonts w:ascii="Calibri" w:hAnsi="Calibri"/>
                <w:b/>
                <w:i w:val="0"/>
                <w:color w:val="0D2B4E"/>
                <w:sz w:val="16"/>
              </w:rPr>
              <w:t>ESG rating services: top 5 = 65% market share</w:t>
            </w:r>
          </w:p>
        </w:tc>
        <w:tc>
          <w:tcPr>
            <w:tcW w:type="dxa" w:w="4680"/>
            <w:shd w:val="clear" w:color="auto" w:fill="FFFFFF"/>
          </w:tcPr>
          <w:p>
            <w:r>
              <w:rPr>
                <w:rFonts w:ascii="Calibri" w:hAnsi="Calibri"/>
                <w:b w:val="0"/>
                <w:i w:val="0"/>
                <w:color w:val="17202A"/>
                <w:sz w:val="16"/>
              </w:rPr>
              <w:t>Mordor Intelligence</w:t>
            </w:r>
          </w:p>
        </w:tc>
      </w:tr>
      <w:tr>
        <w:tc>
          <w:tcPr>
            <w:tcW w:type="dxa" w:w="4680"/>
            <w:shd w:val="clear" w:color="auto" w:fill="F4F6F7"/>
          </w:tcPr>
          <w:p>
            <w:r>
              <w:rPr>
                <w:rFonts w:ascii="Calibri" w:hAnsi="Calibri"/>
                <w:b/>
                <w:i w:val="0"/>
                <w:color w:val="0D2B4E"/>
                <w:sz w:val="16"/>
              </w:rPr>
              <w:t>Plume €3.3M seed, YC W25, ex-Palantir founders</w:t>
            </w:r>
          </w:p>
        </w:tc>
        <w:tc>
          <w:tcPr>
            <w:tcW w:type="dxa" w:w="4680"/>
            <w:shd w:val="clear" w:color="auto" w:fill="F4F6F7"/>
          </w:tcPr>
          <w:p>
            <w:r>
              <w:rPr>
                <w:rFonts w:ascii="Calibri" w:hAnsi="Calibri"/>
                <w:b w:val="0"/>
                <w:i w:val="0"/>
                <w:color w:val="17202A"/>
                <w:sz w:val="16"/>
              </w:rPr>
              <w:t>EU-Startups, April 2026 / BeBeez</w:t>
            </w:r>
          </w:p>
        </w:tc>
      </w:tr>
      <w:tr>
        <w:tc>
          <w:tcPr>
            <w:tcW w:type="dxa" w:w="4680"/>
            <w:shd w:val="clear" w:color="auto" w:fill="FFFFFF"/>
          </w:tcPr>
          <w:p>
            <w:r>
              <w:rPr>
                <w:rFonts w:ascii="Calibri" w:hAnsi="Calibri"/>
                <w:b/>
                <w:i w:val="0"/>
                <w:color w:val="0D2B4E"/>
                <w:sz w:val="16"/>
              </w:rPr>
              <w:t>Palantir FY2024 revenue $2.87B; FY2025 guidance $4.4B</w:t>
            </w:r>
          </w:p>
        </w:tc>
        <w:tc>
          <w:tcPr>
            <w:tcW w:type="dxa" w:w="4680"/>
            <w:shd w:val="clear" w:color="auto" w:fill="FFFFFF"/>
          </w:tcPr>
          <w:p>
            <w:r>
              <w:rPr>
                <w:rFonts w:ascii="Calibri" w:hAnsi="Calibri"/>
                <w:b w:val="0"/>
                <w:i w:val="0"/>
                <w:color w:val="17202A"/>
                <w:sz w:val="16"/>
              </w:rPr>
              <w:t>Palantir IR, 2025</w:t>
            </w:r>
          </w:p>
        </w:tc>
      </w:tr>
    </w:tbl>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