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75E"/>
          </w:tcPr>
          <w:p>
            <w:pPr>
              <w:spacing w:before="560" w:after="120"/>
              <w:jc w:val="center"/>
            </w:pPr>
            <w:r>
              <w:rPr>
                <w:b/>
                <w:color w:val="FFFFFF"/>
                <w:sz w:val="52"/>
              </w:rPr>
              <w:t>GEOASSETS INTELLIGENCE</w:t>
            </w:r>
          </w:p>
          <w:p>
            <w:pPr>
              <w:spacing w:before="0" w:after="160"/>
              <w:jc w:val="center"/>
            </w:pPr>
            <w:r>
              <w:rPr>
                <w:b/>
                <w:color w:val="206BCE"/>
                <w:sz w:val="28"/>
              </w:rPr>
              <w:t>Guión Competitivo — 3 Slides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B0C4DE"/>
                <w:sz w:val="20"/>
              </w:rPr>
              <w:t>Análisis de posicionamiento competitivo · Mayo 2026</w:t>
            </w:r>
          </w:p>
          <w:p>
            <w:pPr>
              <w:spacing w:before="0" w:after="480"/>
              <w:jc w:val="center"/>
            </w:pPr>
            <w:r>
              <w:rPr>
                <w:color w:val="8096B3"/>
                <w:sz w:val="16"/>
              </w:rPr>
              <w:t>Confidencial · Solo uso interno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A375E"/>
          </w:tcPr>
          <w:p>
            <w:pPr>
              <w:spacing w:before="160" w:after="40"/>
              <w:jc w:val="left"/>
            </w:pPr>
            <w:r>
              <w:rPr>
                <w:b/>
                <w:color w:val="206BCE"/>
                <w:sz w:val="16"/>
              </w:rPr>
              <w:t>SLIDE 1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36"/>
              </w:rPr>
              <w:t>"El mapa que nadie tiene"</w:t>
            </w:r>
          </w:p>
          <w:p>
            <w:pPr>
              <w:spacing w:before="0" w:after="160"/>
              <w:jc w:val="left"/>
            </w:pPr>
            <w:r>
              <w:rPr>
                <w:i/>
                <w:color w:val="B0C4DE"/>
                <w:sz w:val="22"/>
              </w:rPr>
              <w:t>El problema de la inteligencia de activos físicos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06BCE"/>
          <w:sz w:val="20"/>
        </w:rPr>
        <w:t>▌ TÍTULO EN PANTALLA</w:t>
      </w:r>
    </w:p>
    <w:p>
      <w:pPr>
        <w:keepNext w:val="0"/>
        <w:spacing w:before="0" w:after="200"/>
        <w:jc w:val="left"/>
      </w:pPr>
      <w:r>
        <w:rPr>
          <w:b/>
          <w:i w:val="0"/>
          <w:color w:val="1A375E"/>
          <w:sz w:val="24"/>
        </w:rPr>
        <w:t>"¿Dónde están los activos de Repsol en España? Nadie lo sabe con certeza."</w:t>
      </w:r>
    </w:p>
    <w:p>
      <w:pPr>
        <w:spacing w:before="200" w:after="80"/>
      </w:pPr>
      <w:r>
        <w:rPr>
          <w:b/>
          <w:color w:val="206BCE"/>
          <w:sz w:val="20"/>
        </w:rPr>
        <w:t>▌ TABLA CENTRAL — Proceso actual del analista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32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332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Tiempo estimado</w:t>
            </w:r>
          </w:p>
        </w:tc>
      </w:tr>
      <w:tr>
        <w:tc>
          <w:tcPr>
            <w:tcW w:type="dxa" w:w="332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Buscar web corporativa</w:t>
            </w:r>
          </w:p>
        </w:tc>
        <w:tc>
          <w:tcPr>
            <w:tcW w:type="dxa" w:w="332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Manual</w:t>
            </w:r>
          </w:p>
        </w:tc>
        <w:tc>
          <w:tcPr>
            <w:tcW w:type="dxa" w:w="332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2–4 horas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Leer informe anual (PDF ~200 págs.)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Manual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4–8 horas</w:t>
            </w:r>
          </w:p>
        </w:tc>
      </w:tr>
      <w:tr>
        <w:tc>
          <w:tcPr>
            <w:tcW w:type="dxa" w:w="332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Cruzar con Google Maps</w:t>
            </w:r>
          </w:p>
        </w:tc>
        <w:tc>
          <w:tcPr>
            <w:tcW w:type="dxa" w:w="332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Manual</w:t>
            </w:r>
          </w:p>
        </w:tc>
        <w:tc>
          <w:tcPr>
            <w:tcW w:type="dxa" w:w="332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3–6 horas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Geocodificar y validar cada activo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Manual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4–8 horas</w:t>
            </w:r>
          </w:p>
        </w:tc>
      </w:tr>
      <w:tr>
        <w:tc>
          <w:tcPr>
            <w:tcW w:type="dxa" w:w="332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Documentar con confianza mínima</w:t>
            </w:r>
          </w:p>
        </w:tc>
        <w:tc>
          <w:tcPr>
            <w:tcW w:type="dxa" w:w="332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Manual</w:t>
            </w:r>
          </w:p>
        </w:tc>
        <w:tc>
          <w:tcPr>
            <w:tcW w:type="dxa" w:w="332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2–4 horas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TOTAL por empresa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—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15–30 horas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06BCE"/>
          <w:sz w:val="20"/>
        </w:rPr>
        <w:t>▌ NÚMERO GRANDE (derecha de la tabla, en rojo)</w:t>
      </w:r>
    </w:p>
    <w:p>
      <w:pPr>
        <w:spacing w:before="40" w:after="40"/>
        <w:jc w:val="center"/>
      </w:pPr>
      <w:r>
        <w:rPr>
          <w:b/>
          <w:color w:val="C0392B"/>
          <w:sz w:val="56"/>
        </w:rPr>
        <w:t>15–30 horas / empresa</w:t>
      </w:r>
    </w:p>
    <w:p>
      <w:pPr>
        <w:spacing w:after="200"/>
        <w:jc w:val="center"/>
      </w:pPr>
      <w:r>
        <w:rPr>
          <w:i/>
          <w:color w:val="6B7A8D"/>
          <w:sz w:val="20"/>
        </w:rPr>
        <w:t>de trabajo manual para localizar activos productivos</w:t>
      </w:r>
    </w:p>
    <w:p>
      <w:pPr>
        <w:spacing w:before="200" w:after="80"/>
      </w:pPr>
      <w:r>
        <w:rPr>
          <w:b/>
          <w:color w:val="206BCE"/>
          <w:sz w:val="20"/>
        </w:rPr>
        <w:t>▌ BULLETS DE APOYO (parte inferior del slide)</w:t>
      </w:r>
    </w:p>
    <w:p>
      <w:pPr>
        <w:pStyle w:val="ListBullet"/>
        <w:spacing w:before="20" w:after="60"/>
        <w:ind w:left="280"/>
      </w:pPr>
      <w:r>
        <w:rPr>
          <w:b/>
          <w:color w:val="1A375E"/>
          <w:sz w:val="20"/>
        </w:rPr>
        <w:t xml:space="preserve">Escala. </w:t>
      </w:r>
      <w:r>
        <w:rPr>
          <w:color w:val="1A375E"/>
          <w:sz w:val="20"/>
        </w:rPr>
        <w:t>España tiene 3,2 millones de empresas registradas; las 500 mayores tienen de media 47 instalaciones físicas cada una.</w:t>
      </w:r>
    </w:p>
    <w:p>
      <w:pPr>
        <w:pStyle w:val="ListBullet"/>
        <w:spacing w:before="20" w:after="60"/>
        <w:ind w:left="280"/>
      </w:pPr>
      <w:r>
        <w:rPr>
          <w:b/>
          <w:color w:val="1A375E"/>
          <w:sz w:val="20"/>
        </w:rPr>
        <w:t xml:space="preserve">Coste. </w:t>
      </w:r>
      <w:r>
        <w:rPr>
          <w:color w:val="1A375E"/>
          <w:sz w:val="20"/>
        </w:rPr>
        <w:t>Un analista de due diligence dedica el 34 % de su tiempo a localizar y validar activos operativos (Deloitte Global M&amp;A Survey, 2024).</w:t>
      </w:r>
    </w:p>
    <w:p>
      <w:pPr>
        <w:pStyle w:val="ListBullet"/>
        <w:spacing w:before="20" w:after="60"/>
        <w:ind w:left="280"/>
      </w:pPr>
      <w:r>
        <w:rPr>
          <w:b/>
          <w:color w:val="1A375E"/>
          <w:sz w:val="20"/>
        </w:rPr>
        <w:t xml:space="preserve">Riesgo. </w:t>
      </w:r>
      <w:r>
        <w:rPr>
          <w:color w:val="1A375E"/>
          <w:sz w:val="20"/>
        </w:rPr>
        <w:t>El 78 % de los errores de valoración en transacciones industriales se origina en activos no inventariados o mal geolocalizados (KPMG Transaction Services, 2023).</w:t>
      </w:r>
    </w:p>
    <w:p>
      <w:pPr>
        <w:pStyle w:val="ListBullet"/>
        <w:spacing w:before="20" w:after="60"/>
        <w:ind w:left="280"/>
      </w:pPr>
      <w:r>
        <w:rPr>
          <w:b/>
          <w:color w:val="1A375E"/>
          <w:sz w:val="20"/>
        </w:rPr>
        <w:t xml:space="preserve">Regulación. </w:t>
      </w:r>
      <w:r>
        <w:rPr>
          <w:color w:val="1A375E"/>
          <w:sz w:val="20"/>
        </w:rPr>
        <w:t>CSRD (en vigor 2025) exige que empresas &gt;250 empleados reporten riesgo físico por activo; casi ninguna tiene el inventario base.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BF3FF"/>
          </w:tcPr>
          <w:p>
            <w:pPr>
              <w:spacing w:before="120" w:after="40"/>
            </w:pPr>
            <w:r>
              <w:rPr>
                <w:b/>
                <w:color w:val="206BCE"/>
                <w:sz w:val="16"/>
              </w:rPr>
              <w:t>🎤  TEXTO DEL SPEAKER</w:t>
            </w:r>
          </w:p>
          <w:p>
            <w:pPr>
              <w:spacing w:before="0" w:after="160"/>
            </w:pPr>
            <w:r>
              <w:rPr>
                <w:i/>
                <w:color w:val="1A375E"/>
                <w:sz w:val="21"/>
              </w:rPr>
              <w:t>"Preguntamos a diez analistas de M&amp;A qué activos tiene Iberdrola en Castilla y León. Ninguno supo responder en menos de dos días. Esto no es un problema de inteligencia: es un problema de infraestructura de datos. El mapa de los activos productivos de España no existe en formato estructurado, confiable y actualizable. Eso es exactamente lo que construimos."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6B7A8D"/>
          <w:sz w:val="17"/>
        </w:rPr>
        <w:t xml:space="preserve">Nota de diseño: </w:t>
      </w:r>
      <w:r>
        <w:rPr>
          <w:color w:val="6B7A8D"/>
          <w:sz w:val="17"/>
        </w:rPr>
        <w:t>Fondo blanco. Tabla centrada. Número '15–30 horas' en rojo grande a la derecha. Sin iconos.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A375E"/>
          </w:tcPr>
          <w:p>
            <w:pPr>
              <w:spacing w:before="160" w:after="40"/>
              <w:jc w:val="left"/>
            </w:pPr>
            <w:r>
              <w:rPr>
                <w:b/>
                <w:color w:val="206BCE"/>
                <w:sz w:val="16"/>
              </w:rPr>
              <w:t>SLIDE 2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36"/>
              </w:rPr>
              <w:t>"El ecosistema de los que lo intentan — y dónde fallan"</w:t>
            </w:r>
          </w:p>
          <w:p>
            <w:pPr>
              <w:spacing w:before="0" w:after="160"/>
              <w:jc w:val="left"/>
            </w:pPr>
            <w:r>
              <w:rPr>
                <w:i/>
                <w:color w:val="B0C4DE"/>
                <w:sz w:val="22"/>
              </w:rPr>
              <w:t>Panorama competitivo: 4 familias, 4 brechas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06BCE"/>
          <w:sz w:val="20"/>
        </w:rPr>
        <w:t>▌ TÍTULO EN PANTALLA</w:t>
      </w:r>
    </w:p>
    <w:p>
      <w:pPr>
        <w:keepNext w:val="0"/>
        <w:spacing w:before="0" w:after="200"/>
        <w:jc w:val="left"/>
      </w:pPr>
      <w:r>
        <w:rPr>
          <w:b/>
          <w:i w:val="0"/>
          <w:color w:val="1A375E"/>
          <w:sz w:val="24"/>
        </w:rPr>
        <w:t>"Hay €2.400M invertidos en este espacio. Ninguno resuelve esto."</w:t>
      </w:r>
    </w:p>
    <w:p>
      <w:pPr>
        <w:spacing w:before="200" w:after="80"/>
      </w:pPr>
      <w:r>
        <w:rPr>
          <w:b/>
          <w:color w:val="206BCE"/>
          <w:sz w:val="20"/>
        </w:rPr>
        <w:t>▌ BLOQUE 1 — Inteligencia satelital</w:t>
      </w:r>
    </w:p>
    <w:p>
      <w:pPr>
        <w:keepNext w:val="0"/>
        <w:spacing w:before="0" w:after="80"/>
        <w:jc w:val="left"/>
      </w:pPr>
      <w:r>
        <w:rPr>
          <w:b w:val="0"/>
          <w:i/>
          <w:color w:val="6B7A8D"/>
          <w:sz w:val="19"/>
        </w:rPr>
        <w:t>Monitorizan activos visibles desde el cielo (tanques, naves, oleoductos). No descubren activos desconocidos ni procesan documentos.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1662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Financiación / Estado</w:t>
            </w:r>
          </w:p>
        </w:tc>
        <w:tc>
          <w:tcPr>
            <w:tcW w:type="dxa" w:w="1662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Revenue est.</w:t>
            </w:r>
          </w:p>
        </w:tc>
        <w:tc>
          <w:tcPr>
            <w:tcW w:type="dxa" w:w="1662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Sector cubierto</w:t>
            </w:r>
          </w:p>
        </w:tc>
        <w:tc>
          <w:tcPr>
            <w:tcW w:type="dxa" w:w="1662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¿Lee docs corporativos?</w:t>
            </w:r>
          </w:p>
        </w:tc>
        <w:tc>
          <w:tcPr>
            <w:tcW w:type="dxa" w:w="1662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¿Multi-sector?</w:t>
            </w:r>
          </w:p>
        </w:tc>
      </w:tr>
      <w:tr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Kayrros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$78M → adq. Energy Aspects (2026)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$20M ARR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Solo energía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</w:tr>
      <w:tr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Orbital Insight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$111M → adq. Privateer (2024)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$44M ARR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Commodities, retail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Parcial</w:t>
            </w:r>
          </w:p>
        </w:tc>
      </w:tr>
      <w:tr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AiDash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$58,5M Series C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N/D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Utilities, infraestructura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</w:tr>
      <w:tr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LiveEO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€28M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N/D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Infraestructura lineal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CD"/>
          </w:tcPr>
          <w:p>
            <w:pPr>
              <w:spacing w:before="100" w:after="100"/>
            </w:pPr>
            <w:r>
              <w:rPr>
                <w:b/>
                <w:color w:val="855300"/>
                <w:sz w:val="19"/>
              </w:rPr>
              <w:t xml:space="preserve">⚠  POR QUÉ NO REEMPLAZA A GEOASSETS: </w:t>
            </w:r>
            <w:r>
              <w:rPr>
                <w:color w:val="5D3A00"/>
                <w:sz w:val="19"/>
              </w:rPr>
              <w:t>Necesitan imágenes de satélite ($50K–$500K/año). Solo detectan lo que ya es visible desde el cielo. No descubren activos ocultos en informes, no geocodifican menciones textuales, no calculan confianza por activo.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206BCE"/>
          <w:sz w:val="20"/>
        </w:rPr>
        <w:t>▌ BLOQUE 2 — Agregadores de datos financieros</w:t>
      </w:r>
    </w:p>
    <w:p>
      <w:pPr>
        <w:keepNext w:val="0"/>
        <w:spacing w:before="0" w:after="80"/>
        <w:jc w:val="left"/>
      </w:pPr>
      <w:r>
        <w:rPr>
          <w:b w:val="0"/>
          <w:i/>
          <w:color w:val="6B7A8D"/>
          <w:sz w:val="19"/>
        </w:rPr>
        <w:t>Saben todo de la empresa como entidad legal. No saben nada de sus instalaciones físicas.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Revenue FY24</w:t>
            </w:r>
          </w:p>
        </w:tc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Modelo de negocio</w:t>
            </w:r>
          </w:p>
        </w:tc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¿Ubica activos físicos?</w:t>
            </w:r>
          </w:p>
        </w:tc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Accesibilidad</w:t>
            </w:r>
          </w:p>
        </w:tc>
      </w:tr>
      <w:tr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S&amp;P Global MI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$4,92B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Datos financieros + ESG calculado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Enterprise (&gt;$100K/año)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MSCI ESG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Parte de $2,8B total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Ratings ESG + GeoSpatial (beta 2025)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Parcial — beta, sin España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&gt;$200K/año, meses de onboarding</w:t>
            </w:r>
          </w:p>
        </w:tc>
      </w:tr>
      <w:tr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Dun &amp; Bradstreet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$2,38B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Registros firmográficos de empresa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 — solo sede legal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Enterprise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Bureau van Dijk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N/D (filial LSEG)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Base de datos de empresas globales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 — solo domicilio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Enterprise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CD"/>
          </w:tcPr>
          <w:p>
            <w:pPr>
              <w:spacing w:before="100" w:after="100"/>
            </w:pPr>
            <w:r>
              <w:rPr>
                <w:b/>
                <w:color w:val="855300"/>
                <w:sz w:val="19"/>
              </w:rPr>
              <w:t xml:space="preserve">⚠  POR QUÉ NO REEMPLAZA A GEOASSETS: </w:t>
            </w:r>
            <w:r>
              <w:rPr>
                <w:color w:val="5D3A00"/>
                <w:sz w:val="19"/>
              </w:rPr>
              <w:t>Conocen quién es la empresa, no dónde están sus fábricas. MSCI valida el mercado pero su producto es enterprise-only, sin cobertura nativa de España, y parte de que el cliente ya tiene el inventario.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206BCE"/>
          <w:sz w:val="20"/>
        </w:rPr>
        <w:t>▌ BLOQUE 3 — Plataformas ESG</w:t>
      </w:r>
    </w:p>
    <w:p>
      <w:pPr>
        <w:keepNext w:val="0"/>
        <w:spacing w:before="0" w:after="80"/>
        <w:jc w:val="left"/>
      </w:pPr>
      <w:r>
        <w:rPr>
          <w:b w:val="0"/>
          <w:i/>
          <w:color w:val="6B7A8D"/>
          <w:sz w:val="19"/>
        </w:rPr>
        <w:t>Calculan riesgo sobre activos que el cliente ya les da. La capa de descubrimiento no existe en su producto.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Financiación</w:t>
            </w:r>
          </w:p>
        </w:tc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Qué hacen bien</w:t>
            </w:r>
          </w:p>
        </w:tc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¿Necesita inventario previo del cliente?</w:t>
            </w:r>
          </w:p>
        </w:tc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Lo que no hacen</w:t>
            </w:r>
          </w:p>
        </w:tc>
      </w:tr>
      <w:tr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Clarity AI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$240M · val. &gt;$1B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Modela riesgo climático por coordenada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Sí — el cliente aporta las coords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Descubrir ni geocodificar activos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Sustainalytics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Adq. Morningstar $1,75B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Ratings ESG corporativos con metodología propia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Sí — trabajan a nivel empresa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Localización de plantas o almacenes</w:t>
            </w:r>
          </w:p>
        </w:tc>
      </w:tr>
      <w:tr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Trucost (S&amp;P)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Parte de S&amp;P Global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Huella de carbono estimada por sector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Sí — estimaciones sectoriales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Activos físicos reales por empresa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Cervest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$50M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Riesgo físico granular por coordenada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Sí — el cliente pone las coords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Encontrar qué hay en esas coords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CD"/>
          </w:tcPr>
          <w:p>
            <w:pPr>
              <w:spacing w:before="100" w:after="100"/>
            </w:pPr>
            <w:r>
              <w:rPr>
                <w:b/>
                <w:color w:val="855300"/>
                <w:sz w:val="19"/>
              </w:rPr>
              <w:t xml:space="preserve">⚠  POR QUÉ NO REEMPLAZA A GEOASSETS: </w:t>
            </w:r>
            <w:r>
              <w:rPr>
                <w:color w:val="5D3A00"/>
                <w:sz w:val="19"/>
              </w:rPr>
              <w:t>Todas son herramientas de análisis, no de descubrimiento. GeoAssets resuelve la capa cero — el inventario de activos — que estas plataformas dan por resuelta y que sus clientes no tienen.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206BCE"/>
          <w:sz w:val="20"/>
        </w:rPr>
        <w:t>▌ BLOQUE 4 — Startups AI-nativas emergentes</w:t>
      </w:r>
    </w:p>
    <w:p>
      <w:pPr>
        <w:keepNext w:val="0"/>
        <w:spacing w:before="0" w:after="80"/>
        <w:jc w:val="left"/>
      </w:pPr>
      <w:r>
        <w:rPr>
          <w:b w:val="0"/>
          <w:i/>
          <w:color w:val="6B7A8D"/>
          <w:sz w:val="19"/>
        </w:rPr>
        <w:t>Aplican IA geoespacial a un único vertical. Ninguno cruza sectores ni usa documentos corporativos.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1662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Financiación</w:t>
            </w:r>
          </w:p>
        </w:tc>
        <w:tc>
          <w:tcPr>
            <w:tcW w:type="dxa" w:w="1662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Vertical único</w:t>
            </w:r>
          </w:p>
        </w:tc>
        <w:tc>
          <w:tcPr>
            <w:tcW w:type="dxa" w:w="1662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¿Multi-sector?</w:t>
            </w:r>
          </w:p>
        </w:tc>
        <w:tc>
          <w:tcPr>
            <w:tcW w:type="dxa" w:w="1662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¿Usa docs corporativos?</w:t>
            </w:r>
          </w:p>
        </w:tc>
        <w:tc>
          <w:tcPr>
            <w:tcW w:type="dxa" w:w="1662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¿ESG integrado?</w:t>
            </w:r>
          </w:p>
        </w:tc>
      </w:tr>
      <w:tr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Plume (YC W25)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€3,3M pre-seed (abr. 2026)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Renovables (site selection)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</w:tr>
      <w:tr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Blackshark.ai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$17M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Ciudades / gemelos digitales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</w:tr>
      <w:tr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Orbital Sidekick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$55M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Oleoductos / infraestructura lineal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  <w:tc>
          <w:tcPr>
            <w:tcW w:type="dxa" w:w="1662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</w:tr>
      <w:tr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SpaceKnow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$12M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Actividad industrial (satélite)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Parcial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  <w:tc>
          <w:tcPr>
            <w:tcW w:type="dxa" w:w="1662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No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3CD"/>
          </w:tcPr>
          <w:p>
            <w:pPr>
              <w:spacing w:before="100" w:after="100"/>
            </w:pPr>
            <w:r>
              <w:rPr>
                <w:b/>
                <w:color w:val="855300"/>
                <w:sz w:val="19"/>
              </w:rPr>
              <w:t xml:space="preserve">⚠  POR QUÉ NO REEMPLAZA A GEOASSETS: </w:t>
            </w:r>
            <w:r>
              <w:rPr>
                <w:color w:val="5D3A00"/>
                <w:sz w:val="19"/>
              </w:rPr>
              <w:t>Son competidores verticales, no horizontales. Ninguno combina descubrimiento multi-fuente (Maps + documentos + agente web) con scoring de confianza y análisis ESG/CSRD en una sola plataforma.</w:t>
            </w:r>
          </w:p>
        </w:tc>
      </w:tr>
    </w:tbl>
    <w:p>
      <w:pPr>
        <w:spacing w:after="160"/>
      </w:pP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BF3FF"/>
          </w:tcPr>
          <w:p>
            <w:pPr>
              <w:spacing w:before="120" w:after="40"/>
            </w:pPr>
            <w:r>
              <w:rPr>
                <w:b/>
                <w:color w:val="206BCE"/>
                <w:sz w:val="16"/>
              </w:rPr>
              <w:t>🎤  TEXTO DEL SPEAKER</w:t>
            </w:r>
          </w:p>
          <w:p>
            <w:pPr>
              <w:spacing w:before="0" w:after="160"/>
            </w:pPr>
            <w:r>
              <w:rPr>
                <w:i/>
                <w:color w:val="1A375E"/>
                <w:sz w:val="21"/>
              </w:rPr>
              <w:t>"Hay cuatro familias de competidores. Los de satélite tienen la observación pero no el texto; los agregadores financieros tienen los datos pero no el mapa; las plataformas ESG tienen el modelo de riesgo pero no los activos reales donde aplicarlo; y los startups emergentes son verticales de nicho. El cuadrante donde confluyen descubrimiento multi-fuente, confianza probabilística y análisis ESG listo para CSRD está vacío. Eso lo ocupamos nosotros."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6B7A8D"/>
          <w:sz w:val="17"/>
        </w:rPr>
        <w:t xml:space="preserve">Nota de diseño: </w:t>
      </w:r>
      <w:r>
        <w:rPr>
          <w:color w:val="6B7A8D"/>
          <w:sz w:val="17"/>
        </w:rPr>
        <w:t>4 cuadrantes con borde gris claro. Cada bloque con tabla compacta y banda de brecha en ámbar. Sin gráficos de barras ni pies.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1A375E"/>
          </w:tcPr>
          <w:p>
            <w:pPr>
              <w:spacing w:before="160" w:after="40"/>
              <w:jc w:val="left"/>
            </w:pPr>
            <w:r>
              <w:rPr>
                <w:b/>
                <w:color w:val="206BCE"/>
                <w:sz w:val="16"/>
              </w:rPr>
              <w:t>SLIDE 3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36"/>
              </w:rPr>
              <w:t>"Nuestra posición: el único que conecta los tres mundos"</w:t>
            </w:r>
          </w:p>
          <w:p>
            <w:pPr>
              <w:spacing w:before="0" w:after="160"/>
              <w:jc w:val="left"/>
            </w:pPr>
            <w:r>
              <w:rPr>
                <w:i/>
                <w:color w:val="B0C4DE"/>
                <w:sz w:val="22"/>
              </w:rPr>
              <w:t>Diferenciación, tracción y por qué ahora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206BCE"/>
          <w:sz w:val="20"/>
        </w:rPr>
        <w:t>▌ TÍTULO EN PANTALLA</w:t>
      </w:r>
    </w:p>
    <w:p>
      <w:pPr>
        <w:keepNext w:val="0"/>
        <w:spacing w:before="0" w:after="200"/>
        <w:jc w:val="left"/>
      </w:pPr>
      <w:r>
        <w:rPr>
          <w:b/>
          <w:i w:val="0"/>
          <w:color w:val="1A375E"/>
          <w:sz w:val="24"/>
        </w:rPr>
        <w:t>"60 segundos. Tres fuentes. Confianza calculada. ESG incluido."</w:t>
      </w:r>
    </w:p>
    <w:p>
      <w:pPr>
        <w:spacing w:before="200" w:after="80"/>
      </w:pPr>
      <w:r>
        <w:rPr>
          <w:b/>
          <w:color w:val="206BCE"/>
          <w:sz w:val="20"/>
        </w:rPr>
        <w:t>▌ TABLA COMPARATIVA — Lo que hacemos diferente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GeoAssets</w:t>
            </w:r>
          </w:p>
        </w:tc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Kayrros</w:t>
            </w:r>
          </w:p>
        </w:tc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MSCI GeoSpatial</w:t>
            </w:r>
          </w:p>
        </w:tc>
        <w:tc>
          <w:tcPr>
            <w:tcW w:type="dxa" w:w="1994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Clarity AI</w:t>
            </w:r>
          </w:p>
        </w:tc>
      </w:tr>
      <w:tr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Descubrimiento desde 0 (sin inventario previo)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b/>
                <w:color w:val="1E8855"/>
                <w:sz w:val="18"/>
              </w:rPr>
              <w:t>✅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b/>
                <w:color w:val="C0392B"/>
                <w:sz w:val="18"/>
              </w:rPr>
              <w:t>❌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b/>
                <w:color w:val="C0392B"/>
                <w:sz w:val="18"/>
              </w:rPr>
              <w:t>❌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b/>
                <w:color w:val="C0392B"/>
                <w:sz w:val="18"/>
              </w:rPr>
              <w:t>❌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Lectura de documentos corporativos (PDF/DOCX)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1E8855"/>
                <w:sz w:val="18"/>
              </w:rPr>
              <w:t>✅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C0392B"/>
                <w:sz w:val="18"/>
              </w:rPr>
              <w:t>❌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C0392B"/>
                <w:sz w:val="18"/>
              </w:rPr>
              <w:t>❌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C0392B"/>
                <w:sz w:val="18"/>
              </w:rPr>
              <w:t>❌</w:t>
            </w:r>
          </w:p>
        </w:tc>
      </w:tr>
      <w:tr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Búsqueda web autónoma (agente IA)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b/>
                <w:color w:val="1E8855"/>
                <w:sz w:val="18"/>
              </w:rPr>
              <w:t>✅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b/>
                <w:color w:val="C0392B"/>
                <w:sz w:val="18"/>
              </w:rPr>
              <w:t>❌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b/>
                <w:color w:val="C0392B"/>
                <w:sz w:val="18"/>
              </w:rPr>
              <w:t>❌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b/>
                <w:color w:val="C0392B"/>
                <w:sz w:val="18"/>
              </w:rPr>
              <w:t>❌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Confianza probabilística por activo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1E8855"/>
                <w:sz w:val="18"/>
              </w:rPr>
              <w:t>✅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C0392B"/>
                <w:sz w:val="18"/>
              </w:rPr>
              <w:t>❌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Parcial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b/>
                <w:color w:val="C0392B"/>
                <w:sz w:val="18"/>
              </w:rPr>
              <w:t>❌</w:t>
            </w:r>
          </w:p>
        </w:tc>
      </w:tr>
      <w:tr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ESG/CSRD por activo en misma plataforma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b/>
                <w:color w:val="1E8855"/>
                <w:sz w:val="18"/>
              </w:rPr>
              <w:t>✅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b/>
                <w:color w:val="C0392B"/>
                <w:sz w:val="18"/>
              </w:rPr>
              <w:t>❌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b/>
                <w:color w:val="C0392B"/>
                <w:sz w:val="18"/>
              </w:rPr>
              <w:t>❌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b/>
                <w:color w:val="1E8855"/>
                <w:sz w:val="18"/>
              </w:rPr>
              <w:t>✅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Tiempo hasta primer resultado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60–120 s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Semanas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Meses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N/A</w:t>
            </w:r>
          </w:p>
        </w:tc>
      </w:tr>
      <w:tr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Precio de entrada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SaaS asequible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$500K+/año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$200K+/año</w:t>
            </w:r>
          </w:p>
        </w:tc>
        <w:tc>
          <w:tcPr>
            <w:tcW w:type="dxa" w:w="1994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$150K+/año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06BCE"/>
          <w:sz w:val="20"/>
        </w:rPr>
        <w:t>▌ CÓMO FUNCIONA — 3 pipelines independientes</w:t>
      </w:r>
    </w:p>
    <w:p>
      <w:pPr>
        <w:spacing w:before="60" w:after="60"/>
        <w:ind w:left="160"/>
      </w:pPr>
      <w:r>
        <w:rPr>
          <w:b/>
          <w:color w:val="206BCE"/>
          <w:sz w:val="20"/>
        </w:rPr>
        <w:t xml:space="preserve">1. Google Maps Pipeline  </w:t>
      </w:r>
      <w:r>
        <w:rPr>
          <w:color w:val="1A375E"/>
          <w:sz w:val="20"/>
        </w:rPr>
        <w:t>Consulta Places API (nombre empresa + 12 categorías × 52 provincias) → LLM filtra y clasifica → resultado en ~60 s.</w:t>
      </w:r>
    </w:p>
    <w:p>
      <w:pPr>
        <w:spacing w:before="60" w:after="60"/>
        <w:ind w:left="160"/>
      </w:pPr>
      <w:r>
        <w:rPr>
          <w:b/>
          <w:color w:val="206BCE"/>
          <w:sz w:val="20"/>
        </w:rPr>
        <w:t xml:space="preserve">2. Document Pipeline  </w:t>
      </w:r>
      <w:r>
        <w:rPr>
          <w:color w:val="1A375E"/>
          <w:sz w:val="20"/>
        </w:rPr>
        <w:t>Sube informe anual PDF → Docling parsea → LLM extrae activos por chunk → geocodifica → puntúa → ~120 s para 200 páginas.</w:t>
      </w:r>
    </w:p>
    <w:p>
      <w:pPr>
        <w:spacing w:before="60" w:after="60"/>
        <w:ind w:left="160"/>
      </w:pPr>
      <w:r>
        <w:rPr>
          <w:b/>
          <w:color w:val="206BCE"/>
          <w:sz w:val="20"/>
        </w:rPr>
        <w:t xml:space="preserve">3. Agent Pipeline  </w:t>
      </w:r>
      <w:r>
        <w:rPr>
          <w:color w:val="1A375E"/>
          <w:sz w:val="20"/>
        </w:rPr>
        <w:t>IA autónoma busca en web documentos corporativos → usuario revisa → Document Pipeline. Sin intervención manual.</w:t>
      </w:r>
    </w:p>
    <w:p>
      <w:pPr>
        <w:keepNext w:val="0"/>
        <w:spacing w:before="120" w:after="200"/>
        <w:jc w:val="left"/>
      </w:pPr>
      <w:r>
        <w:rPr>
          <w:b w:val="0"/>
          <w:i/>
          <w:color w:val="6B7A8D"/>
          <w:sz w:val="19"/>
        </w:rPr>
        <w:t>Score de confianza: 6 señales ponderadas (nombre 30 %, tipo 20 %, web corporativa 15 %, reseñas B2B 10 %, señal LLM 10 %, dirección 15 %) + suavizado Beta → HIGH / MEDIUM / LOW por activo.</w:t>
      </w:r>
    </w:p>
    <w:p>
      <w:pPr>
        <w:spacing w:before="200" w:after="80"/>
      </w:pPr>
      <w:r>
        <w:rPr>
          <w:b/>
          <w:color w:val="206BCE"/>
          <w:sz w:val="20"/>
        </w:rPr>
        <w:t>▌ POR QUÉ AHORA — Ventana de mercado</w:t>
      </w:r>
    </w:p>
    <w:p>
      <w:pPr>
        <w:pStyle w:val="ListBullet"/>
        <w:spacing w:before="20" w:after="60"/>
        <w:ind w:left="280"/>
      </w:pPr>
      <w:r>
        <w:rPr>
          <w:b/>
          <w:color w:val="1A375E"/>
          <w:sz w:val="20"/>
        </w:rPr>
        <w:t xml:space="preserve">Regulación. </w:t>
      </w:r>
      <w:r>
        <w:rPr>
          <w:color w:val="1A375E"/>
          <w:sz w:val="20"/>
        </w:rPr>
        <w:t>CSRD en vigor: 50.000 empresas europeas deben reportar riesgo físico por activo antes de 2026 → necesitan el inventario base hoy.</w:t>
      </w:r>
    </w:p>
    <w:p>
      <w:pPr>
        <w:pStyle w:val="ListBullet"/>
        <w:spacing w:before="20" w:after="60"/>
        <w:ind w:left="280"/>
      </w:pPr>
      <w:r>
        <w:rPr>
          <w:b/>
          <w:color w:val="1A375E"/>
          <w:sz w:val="20"/>
        </w:rPr>
        <w:t xml:space="preserve">Validación competitiva. </w:t>
      </w:r>
      <w:r>
        <w:rPr>
          <w:color w:val="1A375E"/>
          <w:sz w:val="20"/>
        </w:rPr>
        <w:t>MSCI lanzó su división GeoSpatial en 2025 → valida el mercado, pero su entrada enterprise-top-down deja hueco en el segmento medio y PYME.</w:t>
      </w:r>
    </w:p>
    <w:p>
      <w:pPr>
        <w:pStyle w:val="ListBullet"/>
        <w:spacing w:before="20" w:after="60"/>
        <w:ind w:left="280"/>
      </w:pPr>
      <w:r>
        <w:rPr>
          <w:b/>
          <w:color w:val="1A375E"/>
          <w:sz w:val="20"/>
        </w:rPr>
        <w:t xml:space="preserve">Exit de referencia. </w:t>
      </w:r>
      <w:r>
        <w:rPr>
          <w:color w:val="1A375E"/>
          <w:sz w:val="20"/>
        </w:rPr>
        <w:t>Kayrros vendida ~$200M en 2026 haciendo solo energía → el cross-sector vale más.</w:t>
      </w:r>
    </w:p>
    <w:p>
      <w:pPr>
        <w:spacing w:before="200" w:after="80"/>
      </w:pPr>
      <w:r>
        <w:rPr>
          <w:b/>
          <w:color w:val="206BCE"/>
          <w:sz w:val="20"/>
        </w:rPr>
        <w:t>▌ MOAT TÉCNICO</w:t>
      </w:r>
    </w:p>
    <w:p>
      <w:pPr>
        <w:pStyle w:val="ListBullet"/>
        <w:spacing w:before="20" w:after="60"/>
        <w:ind w:left="280"/>
      </w:pPr>
      <w:r>
        <w:rPr>
          <w:b/>
          <w:color w:val="1A375E"/>
          <w:sz w:val="20"/>
        </w:rPr>
        <w:t xml:space="preserve">Eficiencia. </w:t>
      </w:r>
      <w:r>
        <w:rPr>
          <w:color w:val="1A375E"/>
          <w:sz w:val="20"/>
        </w:rPr>
        <w:t>Tres pipelines independientes + caché Redis 24 h → reducción del 100 % en coste de re-ejecución para consultas repetidas.</w:t>
      </w:r>
    </w:p>
    <w:p>
      <w:pPr>
        <w:pStyle w:val="ListBullet"/>
        <w:spacing w:before="20" w:after="60"/>
        <w:ind w:left="280"/>
      </w:pPr>
      <w:r>
        <w:rPr>
          <w:b/>
          <w:color w:val="1A375E"/>
          <w:sz w:val="20"/>
        </w:rPr>
        <w:t xml:space="preserve">Calidad de dato. </w:t>
      </w:r>
      <w:r>
        <w:rPr>
          <w:color w:val="1A375E"/>
          <w:sz w:val="20"/>
        </w:rPr>
        <w:t>Deduplicación cross-source: si Maps y el PDF mencionan la misma fábrica, aparece una vez con evidencia combinada.</w:t>
      </w:r>
    </w:p>
    <w:p>
      <w:pPr>
        <w:pStyle w:val="ListBullet"/>
        <w:spacing w:before="20" w:after="60"/>
        <w:ind w:left="280"/>
      </w:pPr>
      <w:r>
        <w:rPr>
          <w:b/>
          <w:color w:val="1A375E"/>
          <w:sz w:val="20"/>
        </w:rPr>
        <w:t xml:space="preserve">Cobertura. </w:t>
      </w:r>
      <w:r>
        <w:rPr>
          <w:color w:val="1A375E"/>
          <w:sz w:val="20"/>
        </w:rPr>
        <w:t>Cobertura nativa: 52 provincias españolas · 12 categorías de activo · 5 supercategorías.</w:t>
      </w:r>
    </w:p>
    <w:p>
      <w:pPr>
        <w:spacing w:before="200" w:after="80"/>
      </w:pPr>
      <w:r>
        <w:rPr>
          <w:b/>
          <w:color w:val="206BCE"/>
          <w:sz w:val="20"/>
        </w:rPr>
        <w:t>▌ MÉTRICAS DE PRODUCTO (en pantalla, formato pill)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986"/>
            <w:shd w:val="clear" w:color="auto" w:fill="1A375E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986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Tiempo primer resultado (Maps)</w:t>
            </w:r>
          </w:p>
        </w:tc>
        <w:tc>
          <w:tcPr>
            <w:tcW w:type="dxa" w:w="4986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60 segundos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Tiempo análisis documento 200 págs.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120 segundos</w:t>
            </w:r>
          </w:p>
        </w:tc>
      </w:tr>
      <w:tr>
        <w:tc>
          <w:tcPr>
            <w:tcW w:type="dxa" w:w="4986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Tiempo agente autónomo completo</w:t>
            </w:r>
          </w:p>
        </w:tc>
        <w:tc>
          <w:tcPr>
            <w:tcW w:type="dxa" w:w="4986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~3 minutos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Provincias cubiertas (España)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52 de 52</w:t>
            </w:r>
          </w:p>
        </w:tc>
      </w:tr>
      <w:tr>
        <w:tc>
          <w:tcPr>
            <w:tcW w:type="dxa" w:w="4986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Categorías de activo</w:t>
            </w:r>
          </w:p>
        </w:tc>
        <w:tc>
          <w:tcPr>
            <w:tcW w:type="dxa" w:w="4986"/>
            <w:shd w:val="clear" w:color="auto" w:fill="F4F6F9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12 tipos · 5 supercategorías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Reducción coste consulta repetida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color w:val="1A375E"/>
                <w:sz w:val="18"/>
              </w:rPr>
              <w:t>100 % (caché 24 h)</w:t>
            </w:r>
          </w:p>
        </w:tc>
      </w:tr>
    </w:tbl>
    <w:p>
      <w:pPr>
        <w:spacing w:after="120"/>
      </w:pP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BF3FF"/>
          </w:tcPr>
          <w:p>
            <w:pPr>
              <w:spacing w:before="120" w:after="40"/>
            </w:pPr>
            <w:r>
              <w:rPr>
                <w:b/>
                <w:color w:val="206BCE"/>
                <w:sz w:val="16"/>
              </w:rPr>
              <w:t>🎤  TEXTO DEL SPEAKER</w:t>
            </w:r>
          </w:p>
          <w:p>
            <w:pPr>
              <w:spacing w:before="0" w:after="160"/>
            </w:pPr>
            <w:r>
              <w:rPr>
                <w:i/>
                <w:color w:val="1A375E"/>
                <w:sz w:val="21"/>
              </w:rPr>
              <w:t>"La pregunta no es si el mercado existe — MSCI acaba de confirmar que sí contratando un equipo entero para esto, y Kayrros se vendió por nueve cifras haciendo la versión energía. La pregunta es quién llena el espacio entre el gigante que cobra doscientos mil dólares al año y el analista que sigue usando Excel. Nosotros somos la respuesta: descubrimiento autónomo, multi-fuente, con confianza calibrada, ESG listo para CSRD, en noventa segundos y a un precio de SaaS. España primero porque es donde la regulación llega primero y donde no hay nadie. Europa después."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6B7A8D"/>
          <w:sz w:val="17"/>
        </w:rPr>
        <w:t xml:space="preserve">Nota de diseño: </w:t>
      </w:r>
      <w:r>
        <w:rPr>
          <w:color w:val="6B7A8D"/>
          <w:sz w:val="17"/>
        </w:rPr>
        <w:t>Tres columnas. Izquierda: tabla comparativa con ✅/❌. Centro: 3 pasos numerados. Derecha: bullets de mercado + métricas. Sin gráficos de barras ni pies.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