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04E8B"/>
          <w:sz w:val="52"/>
        </w:rPr>
        <w:t>GeoAssets Intelligence</w:t>
      </w:r>
    </w:p>
    <w:p>
      <w:pPr>
        <w:jc w:val="center"/>
      </w:pPr>
      <w:r>
        <w:rPr>
          <w:color w:val="2196F3"/>
          <w:sz w:val="26"/>
        </w:rPr>
        <w:t>Índice de diapositivas para la presentación del TFM</w:t>
      </w:r>
    </w:p>
    <w:p>
      <w:pPr>
        <w:jc w:val="center"/>
      </w:pPr>
      <w:r>
        <w:rPr>
          <w:i/>
          <w:color w:val="757575"/>
          <w:sz w:val="22"/>
        </w:rPr>
        <w:t>Máster en Inteligencia Artificial · 2025-2026</w:t>
      </w:r>
    </w:p>
    <w:p/>
    <w:p>
      <w:pPr>
        <w:jc w:val="center"/>
      </w:pPr>
      <w:r>
        <w:rPr>
          <w:i/>
          <w:color w:val="616161"/>
          <w:sz w:val="20"/>
        </w:rPr>
        <w:t>Este documento describe slide por slide el contenido de la presentación.</w:t>
        <w:br/>
        <w:t>Cada entrada indica el título de la diapositiva, los elementos visuales/textuales recomendados y las notas de apoyo para el presentador.</w:t>
      </w:r>
    </w:p>
    <w:p>
      <w:r>
        <w:br w:type="page"/>
      </w:r>
    </w:p>
    <w:p>
      <w:pPr>
        <w:pStyle w:val="Heading1"/>
      </w:pPr>
      <w:r>
        <w:rPr>
          <w:color w:val="104E8B"/>
        </w:rPr>
        <w:t>Índice de secciones</w:t>
      </w:r>
    </w:p>
    <w:p>
      <w:pPr>
        <w:pStyle w:val="ListBullet"/>
        <w:spacing w:after="40"/>
      </w:pPr>
      <w:r>
        <w:rPr>
          <w:b/>
          <w:color w:val="104E8B"/>
          <w:sz w:val="20"/>
        </w:rPr>
        <w:t xml:space="preserve">Sección 00 – Portada y contexto de partida  </w:t>
      </w:r>
      <w:r>
        <w:rPr>
          <w:color w:val="757575"/>
          <w:sz w:val="20"/>
        </w:rPr>
        <w:t>Slides 1–2</w:t>
      </w:r>
    </w:p>
    <w:p>
      <w:pPr>
        <w:pStyle w:val="ListBullet"/>
        <w:spacing w:after="40"/>
      </w:pPr>
      <w:r>
        <w:rPr>
          <w:b/>
          <w:color w:val="104E8B"/>
          <w:sz w:val="20"/>
        </w:rPr>
        <w:t xml:space="preserve">Sección 01 – El problema: opacidad del patrimonio empresarial  </w:t>
      </w:r>
      <w:r>
        <w:rPr>
          <w:color w:val="757575"/>
          <w:sz w:val="20"/>
        </w:rPr>
        <w:t>Slides 3–7</w:t>
      </w:r>
    </w:p>
    <w:p>
      <w:pPr>
        <w:pStyle w:val="ListBullet"/>
        <w:spacing w:after="40"/>
      </w:pPr>
      <w:r>
        <w:rPr>
          <w:b/>
          <w:color w:val="104E8B"/>
          <w:sz w:val="20"/>
        </w:rPr>
        <w:t xml:space="preserve">Sección 02 – Solución: plataforma GeoAssets Intelligence  </w:t>
      </w:r>
      <w:r>
        <w:rPr>
          <w:color w:val="757575"/>
          <w:sz w:val="20"/>
        </w:rPr>
        <w:t>Slides 8–12</w:t>
      </w:r>
    </w:p>
    <w:p>
      <w:pPr>
        <w:pStyle w:val="ListBullet"/>
        <w:spacing w:after="40"/>
      </w:pPr>
      <w:r>
        <w:rPr>
          <w:b/>
          <w:color w:val="104E8B"/>
          <w:sz w:val="20"/>
        </w:rPr>
        <w:t xml:space="preserve">Sección 03 – Arquitectura técnica  </w:t>
      </w:r>
      <w:r>
        <w:rPr>
          <w:color w:val="757575"/>
          <w:sz w:val="20"/>
        </w:rPr>
        <w:t>Slides 13–17</w:t>
      </w:r>
    </w:p>
    <w:p>
      <w:pPr>
        <w:pStyle w:val="ListBullet"/>
        <w:spacing w:after="40"/>
      </w:pPr>
      <w:r>
        <w:rPr>
          <w:b/>
          <w:color w:val="104E8B"/>
          <w:sz w:val="20"/>
        </w:rPr>
        <w:t xml:space="preserve">Sección 04 – Pipelines de análisis  </w:t>
      </w:r>
      <w:r>
        <w:rPr>
          <w:color w:val="757575"/>
          <w:sz w:val="20"/>
        </w:rPr>
        <w:t>Slides 18–27</w:t>
      </w:r>
    </w:p>
    <w:p>
      <w:pPr>
        <w:pStyle w:val="ListBullet"/>
        <w:spacing w:after="40"/>
      </w:pPr>
      <w:r>
        <w:rPr>
          <w:b/>
          <w:color w:val="104E8B"/>
          <w:sz w:val="20"/>
        </w:rPr>
        <w:t xml:space="preserve">Sección 05 – Demostración y resultados  </w:t>
      </w:r>
      <w:r>
        <w:rPr>
          <w:color w:val="757575"/>
          <w:sz w:val="20"/>
        </w:rPr>
        <w:t>Slides 28–32</w:t>
      </w:r>
    </w:p>
    <w:p>
      <w:pPr>
        <w:pStyle w:val="ListBullet"/>
        <w:spacing w:after="40"/>
      </w:pPr>
      <w:r>
        <w:rPr>
          <w:b/>
          <w:color w:val="104E8B"/>
          <w:sz w:val="20"/>
        </w:rPr>
        <w:t xml:space="preserve">Sección 06 – Benchmarking competitivo  </w:t>
      </w:r>
      <w:r>
        <w:rPr>
          <w:color w:val="757575"/>
          <w:sz w:val="20"/>
        </w:rPr>
        <w:t>Slides 33–35</w:t>
      </w:r>
    </w:p>
    <w:p>
      <w:pPr>
        <w:pStyle w:val="ListBullet"/>
        <w:spacing w:after="40"/>
      </w:pPr>
      <w:r>
        <w:rPr>
          <w:b/>
          <w:color w:val="104E8B"/>
          <w:sz w:val="20"/>
        </w:rPr>
        <w:t xml:space="preserve">Sección 07 – Propuesta de valor y conclusiones  </w:t>
      </w:r>
      <w:r>
        <w:rPr>
          <w:color w:val="757575"/>
          <w:sz w:val="20"/>
        </w:rPr>
        <w:t>Slides 36–40</w:t>
      </w:r>
    </w:p>
    <w:p>
      <w:pPr>
        <w:pStyle w:val="ListBullet"/>
        <w:spacing w:after="40"/>
      </w:pPr>
      <w:r>
        <w:rPr>
          <w:b/>
          <w:color w:val="104E8B"/>
          <w:sz w:val="20"/>
        </w:rPr>
        <w:t xml:space="preserve">Sección 08 – Bibliografía y anexos  </w:t>
      </w:r>
      <w:r>
        <w:rPr>
          <w:color w:val="757575"/>
          <w:sz w:val="20"/>
        </w:rPr>
        <w:t>Slide 41</w:t>
      </w:r>
    </w:p>
    <w:p>
      <w:r>
        <w:br w:type="page"/>
      </w:r>
    </w:p>
    <w:p>
      <w:pPr>
        <w:spacing w:before="280" w:after="120"/>
      </w:pPr>
      <w:r>
        <w:rPr>
          <w:b/>
          <w:color w:val="FFFFFF"/>
          <w:sz w:val="24"/>
          <w:shd w:val="clear" w:color="auto" w:fill="104E8B"/>
        </w:rPr>
        <w:t xml:space="preserve">  SECCIÓN 00  </w:t>
      </w:r>
      <w:r>
        <w:rPr>
          <w:b/>
          <w:color w:val="104E8B"/>
          <w:sz w:val="26"/>
        </w:rPr>
        <w:t xml:space="preserve">  Portada y contexto de partida</w:t>
      </w:r>
    </w:p>
    <w:p/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1  </w:t>
      </w:r>
      <w:r>
        <w:rPr>
          <w:b/>
          <w:color w:val="104E8B"/>
          <w:sz w:val="22"/>
        </w:rPr>
        <w:t xml:space="preserve">  Portada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Título: GeoAssets Intelligence – Localización automatizada del patrimonio productivo empresarial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Subtítulo: Trabajo de Fin de Máster en Inteligencia Artificial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Nombre del autor, tutor, institución y año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Logo institucional + icono del proyecto (mapa con marcadores)</w:t>
      </w:r>
    </w:p>
    <w:p>
      <w:pPr>
        <w:spacing w:after="80"/>
        <w:ind w:left="680"/>
      </w:pPr>
      <w:r>
        <w:rPr>
          <w:i/>
          <w:color w:val="757575"/>
          <w:sz w:val="18"/>
        </w:rPr>
        <w:t>📌 Primera impresión; mantener el diseño limpio y profesional.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2  </w:t>
      </w:r>
      <w:r>
        <w:rPr>
          <w:b/>
          <w:color w:val="104E8B"/>
          <w:sz w:val="22"/>
        </w:rPr>
        <w:t xml:space="preserve">  Punto de partida: ¿de qué trata este TFM?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Una sola frase problema: 'Localizar todos los activos productivos de una empresa requiere horas de trabajo manual sin garantía de cobertura completa'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cronología de pasos manuales (buscar → contrastar → geocodificar → validar) con un reloj o símbolo de coste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Transición al índice de la presentación</w:t>
      </w:r>
    </w:p>
    <w:p>
      <w:pPr>
        <w:spacing w:after="80"/>
        <w:ind w:left="680"/>
      </w:pPr>
      <w:r>
        <w:rPr>
          <w:i/>
          <w:color w:val="757575"/>
          <w:sz w:val="18"/>
        </w:rPr>
        <w:t>📌 Enganchar en 30 segundos; no entrar aún en detalles técnicos.</w:t>
      </w:r>
    </w:p>
    <w:p>
      <w:r>
        <w:br w:type="page"/>
      </w:r>
    </w:p>
    <w:p>
      <w:pPr>
        <w:spacing w:before="280" w:after="120"/>
      </w:pPr>
      <w:r>
        <w:rPr>
          <w:b/>
          <w:color w:val="FFFFFF"/>
          <w:sz w:val="24"/>
          <w:shd w:val="clear" w:color="auto" w:fill="104E8B"/>
        </w:rPr>
        <w:t xml:space="preserve">  SECCIÓN 01  </w:t>
      </w:r>
      <w:r>
        <w:rPr>
          <w:b/>
          <w:color w:val="104E8B"/>
          <w:sz w:val="26"/>
        </w:rPr>
        <w:t xml:space="preserve">  El problema: opacidad del patrimonio empresarial</w:t>
      </w:r>
    </w:p>
    <w:p/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3  </w:t>
      </w:r>
      <w:r>
        <w:rPr>
          <w:b/>
          <w:color w:val="104E8B"/>
          <w:sz w:val="22"/>
        </w:rPr>
        <w:t xml:space="preserve">  Contexto de mercado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Qué son los activos productivos (fábricas, oficinas, logística, retail…) y por qué importa su localización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Sectores afectados: banca (riesgo colateral), seguros, consultoría estratégica, M&amp;A, ESG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mapa de España con iconos de tipos de activo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4  </w:t>
      </w:r>
      <w:r>
        <w:rPr>
          <w:b/>
          <w:color w:val="104E8B"/>
          <w:sz w:val="22"/>
        </w:rPr>
        <w:t xml:space="preserve">  El problema actual (AS IS)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Proceso manual: búsquedas web, Registro Mercantil, LinkedIn, informes anuales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Tiempo estimado: 2–4 horas por empresa para cobertura parcial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Errores habituales: activos cerrados, falta de coordenadas, categorías incorrectas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diagrama de flujo del proceso manual con pain points marcados en rojo</w:t>
      </w:r>
    </w:p>
    <w:p>
      <w:pPr>
        <w:spacing w:after="80"/>
        <w:ind w:left="680"/>
      </w:pPr>
      <w:r>
        <w:rPr>
          <w:i/>
          <w:color w:val="757575"/>
          <w:sz w:val="18"/>
        </w:rPr>
        <w:t>📌 Cifra de impacto: mencionar cuántas empresas del IBEX35 / clientes objetivo.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5  </w:t>
      </w:r>
      <w:r>
        <w:rPr>
          <w:b/>
          <w:color w:val="104E8B"/>
          <w:sz w:val="22"/>
        </w:rPr>
        <w:t xml:space="preserve">  Limitaciones de las soluciones existentes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Fuentes públicas (CNAE, Registro): incompletas y sin geolocalización directa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APIs de terceros (Google Maps): no filtran activos productivos vs. otros locales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Herramientas de inteligencia competitiva: caras, no automatizadas, sin scoring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tabla comparativa de limitaciones (filas = fuentes, columnas = criterios)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6  </w:t>
      </w:r>
      <w:r>
        <w:rPr>
          <w:b/>
          <w:color w:val="104E8B"/>
          <w:sz w:val="22"/>
        </w:rPr>
        <w:t xml:space="preserve">  Oportunidad: convergencia tecnológica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LLMs capaces de razonar sobre texto + APIs geoespaciales + búsqueda web agentic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Tres pilares habilitadores: Google Maps API · Modelos de lenguaje (AWS Bedrock) · Agentes IA (CrewAI)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triángulo con los tres pilares, GeoAssets en el centro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7  </w:t>
      </w:r>
      <w:r>
        <w:rPr>
          <w:b/>
          <w:color w:val="104E8B"/>
          <w:sz w:val="22"/>
        </w:rPr>
        <w:t xml:space="preserve">  Objetivo y alcance del TFM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Objetivo principal: sistema end-to-end que localiza, clasifica y puntúa activos con mínima intervención humana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Alcance: empresas españolas (inicialmente); 12 categorías de activo definidas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KPI de éxito: cobertura ≥ 80 % activos conocidos; tier HIGH ≥ 60 % de resultados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diagrama input → sistema → output con ejemplos concretos</w:t>
      </w:r>
    </w:p>
    <w:p>
      <w:r>
        <w:br w:type="page"/>
      </w:r>
    </w:p>
    <w:p>
      <w:pPr>
        <w:spacing w:before="280" w:after="120"/>
      </w:pPr>
      <w:r>
        <w:rPr>
          <w:b/>
          <w:color w:val="FFFFFF"/>
          <w:sz w:val="24"/>
          <w:shd w:val="clear" w:color="auto" w:fill="104E8B"/>
        </w:rPr>
        <w:t xml:space="preserve">  SECCIÓN 02  </w:t>
      </w:r>
      <w:r>
        <w:rPr>
          <w:b/>
          <w:color w:val="104E8B"/>
          <w:sz w:val="26"/>
        </w:rPr>
        <w:t xml:space="preserve">  Solución: plataforma GeoAssets Intelligence</w:t>
      </w:r>
    </w:p>
    <w:p/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8  </w:t>
      </w:r>
      <w:r>
        <w:rPr>
          <w:b/>
          <w:color w:val="104E8B"/>
          <w:sz w:val="22"/>
        </w:rPr>
        <w:t xml:space="preserve">  Presentación de la plataforma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Nombre, tagline: 'Inteligencia geoespacial automatizada para el patrimonio productivo'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Screenshot del dashboard principal con mapa y sidebar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Tres modos de análisis disponibles desde el arranque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9  </w:t>
      </w:r>
      <w:r>
        <w:rPr>
          <w:b/>
          <w:color w:val="104E8B"/>
          <w:sz w:val="22"/>
        </w:rPr>
        <w:t xml:space="preserve">  Los tres modos de análisis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Modo 1 – Búsqueda Maps: input = nombre empresa → pipeline automático → mapa con activos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Modo 2 – Carga de documento: input = PDF/Excel de activos → extracción IA → mapa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Modo 3 – Agente IA: input = nombre empresa → agente web scraping → mapa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tres tarjetas con icono, nombre y descripción de cada modo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10  </w:t>
      </w:r>
      <w:r>
        <w:rPr>
          <w:b/>
          <w:color w:val="104E8B"/>
          <w:sz w:val="22"/>
        </w:rPr>
        <w:t xml:space="preserve">  Taxonomía de activos (12 categorías)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HQ, Oficina Regional, Fábrica/Planta, Centro Logístico, Centro Tecnológico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Punto de Venta, Explotación Agrícola, Instalación Energética, Infraestructura Transporte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Activo Hotelero, Centro Sanitario, Otro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grid de iconos y colores de cada categoría (igual que en el mapa)</w:t>
      </w:r>
    </w:p>
    <w:p>
      <w:pPr>
        <w:spacing w:after="80"/>
        <w:ind w:left="680"/>
      </w:pPr>
      <w:r>
        <w:rPr>
          <w:i/>
          <w:color w:val="757575"/>
          <w:sz w:val="18"/>
        </w:rPr>
        <w:t>📌 Destacar que la categorización la realiza el LLM con un prompt estructurado.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11  </w:t>
      </w:r>
      <w:r>
        <w:rPr>
          <w:b/>
          <w:color w:val="104E8B"/>
          <w:sz w:val="22"/>
        </w:rPr>
        <w:t xml:space="preserve">  Sistema de confianza: tiers y scoring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Escala 0–100 % con distribución Beta para suavizar extremos artificiales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Tres tiers: HIGH (≥70 %), MEDIUM (40–69 %), LOW (&lt;40 %)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Señales por pipeline: nombre, tipo, web, reseñas B2B, valoración LLM (Maps) / evidencia documental, especificidad dirección, origen coordenadas (Documento)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progress bar con los tres colores + tabla de señales y pesos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12  </w:t>
      </w:r>
      <w:r>
        <w:rPr>
          <w:b/>
          <w:color w:val="104E8B"/>
          <w:sz w:val="22"/>
        </w:rPr>
        <w:t xml:space="preserve">  Experiencia de usuario – flujo completo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Paso 1: seleccionar modo de análisis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Paso 2: introducir nombre de empresa / subir fichero / lanzar agente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Paso 3: seguimiento en tiempo real con progress bar (SSE)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Paso 4: mapa interactivo + sidebar con lista, filtros y exportación CSV/Excel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wireframe con flechas del flujo o capturas de pantalla de cada paso</w:t>
      </w:r>
    </w:p>
    <w:p>
      <w:r>
        <w:br w:type="page"/>
      </w:r>
    </w:p>
    <w:p>
      <w:pPr>
        <w:spacing w:before="280" w:after="120"/>
      </w:pPr>
      <w:r>
        <w:rPr>
          <w:b/>
          <w:color w:val="FFFFFF"/>
          <w:sz w:val="24"/>
          <w:shd w:val="clear" w:color="auto" w:fill="104E8B"/>
        </w:rPr>
        <w:t xml:space="preserve">  SECCIÓN 03  </w:t>
      </w:r>
      <w:r>
        <w:rPr>
          <w:b/>
          <w:color w:val="104E8B"/>
          <w:sz w:val="26"/>
        </w:rPr>
        <w:t xml:space="preserve">  Arquitectura técnica</w:t>
      </w:r>
    </w:p>
    <w:p/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13  </w:t>
      </w:r>
      <w:r>
        <w:rPr>
          <w:b/>
          <w:color w:val="104E8B"/>
          <w:sz w:val="22"/>
        </w:rPr>
        <w:t xml:space="preserve">  Stack tecnológico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Frontend: Vue 3 + Vuetify 3 + Pinia + Leaflet.js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Backend: FastAPI (Python 3.12) · SSE para streaming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LLM: AWS Bedrock (Claude 3 Sonnet/Haiku via LiteLLM)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Agente: CrewAI + DuckDuckGo MCP para búsqueda web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Datos: Redis (caché) + PostgreSQL (persistencia) + Google Maps API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logos del stack en dos columnas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14  </w:t>
      </w:r>
      <w:r>
        <w:rPr>
          <w:b/>
          <w:color w:val="104E8B"/>
          <w:sz w:val="22"/>
        </w:rPr>
        <w:t xml:space="preserve">  Diagrama de arquitectura (vista global)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Tres capas: Presentación (Vue) → API Gateway (FastAPI) → Servicios (Bedrock, Maps, Redis, DB)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Flujo de datos de ida (request) y vuelta (SSE stream)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Indicar despliegue: contenedores Docker, opcionalmente AWS ECS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diagrama de bloques con flechas y colores por capa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15  </w:t>
      </w:r>
      <w:r>
        <w:rPr>
          <w:b/>
          <w:color w:val="104E8B"/>
          <w:sz w:val="22"/>
        </w:rPr>
        <w:t xml:space="preserve">  Modelo de datos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Entidades principales: Company, Asset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Asset: 20+ campos (id, company_id, name, category, lat/lon, address, confidence_score, confidence_tier, confidence_signals, data_sources…)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Persistencia: PostgreSQL (histórico) + Redis TTL 24h (caché de resultados)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diagrama ER simplificado o tabla de campos con tipo y descripción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16  </w:t>
      </w:r>
      <w:r>
        <w:rPr>
          <w:b/>
          <w:color w:val="104E8B"/>
          <w:sz w:val="22"/>
        </w:rPr>
        <w:t xml:space="preserve">  Comunicación en tiempo real con SSE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Por qué SSE (Server-Sent Events) y no WebSocket: unidireccional, nativo HTTP, sin reconexión custom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Eventos del protocolo: job_started → step_start → step_complete → complete / error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Frontend: EventSource + Pinia store actualizan la UI sin polling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diagrama de secuencia con los eventos del SSE stream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17  </w:t>
      </w:r>
      <w:r>
        <w:rPr>
          <w:b/>
          <w:color w:val="104E8B"/>
          <w:sz w:val="22"/>
        </w:rPr>
        <w:t xml:space="preserve">  Seguridad y configuración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Variables de entorno: GOOGLE_MAPS_API_KEY, AWS_ACCESS_KEY_ID, OPENAI_API_KEY (Bedrock proxy), DATABASE_URL, REDIS_URL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Sin credenciales en código; configuración por .env + Docker secrets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CORS configurado en FastAPI; API no pública (uso interno / demo)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tabla de variables con tipo y descripción breve</w:t>
      </w:r>
    </w:p>
    <w:p>
      <w:r>
        <w:br w:type="page"/>
      </w:r>
    </w:p>
    <w:p>
      <w:pPr>
        <w:spacing w:before="280" w:after="120"/>
      </w:pPr>
      <w:r>
        <w:rPr>
          <w:b/>
          <w:color w:val="FFFFFF"/>
          <w:sz w:val="24"/>
          <w:shd w:val="clear" w:color="auto" w:fill="104E8B"/>
        </w:rPr>
        <w:t xml:space="preserve">  SECCIÓN 04  </w:t>
      </w:r>
      <w:r>
        <w:rPr>
          <w:b/>
          <w:color w:val="104E8B"/>
          <w:sz w:val="26"/>
        </w:rPr>
        <w:t xml:space="preserve">  Pipelines de análisis</w:t>
      </w:r>
    </w:p>
    <w:p/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18  </w:t>
      </w:r>
      <w:r>
        <w:rPr>
          <w:b/>
          <w:color w:val="104E8B"/>
          <w:sz w:val="22"/>
        </w:rPr>
        <w:t xml:space="preserve">  Visión general: tres pipelines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Tabla comparativa: pipeline, fuente de datos, nº pasos, tiempo estimado, mejor caso de uso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Maps API → rápido, cobertura amplia, depende de datos en Google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Document → muy preciso, requiere documento existente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Agent IA → autónomo, sin datos previos, mayor latencia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19  </w:t>
      </w:r>
      <w:r>
        <w:rPr>
          <w:b/>
          <w:color w:val="104E8B"/>
          <w:sz w:val="22"/>
        </w:rPr>
        <w:t xml:space="preserve">  Pipeline Maps – Paso 0: Identificación de empresa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Input: nombre libre → LLM identifica empresa canónica (nombre oficial, CIF, sector, CNAE, sede)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Modelo: Claude Haiku via Bedrock para bajo coste y alta velocidad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Output: objeto CompanyInfo con ID normalizado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ejemplo de input 'Inditex' → JSON de salida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20  </w:t>
      </w:r>
      <w:r>
        <w:rPr>
          <w:b/>
          <w:color w:val="104E8B"/>
          <w:sz w:val="22"/>
        </w:rPr>
        <w:t xml:space="preserve">  Pipeline Maps – Pasos 1–2: Búsqueda y clasificación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Paso 1 – search_maps: múltiples queries a Google Places API con variantes del nombre; devuelve hasta N places con tipo, dirección, coordenadas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Paso 2 – filter_and_classify: LLM descarta locales no productivos (franquiciados, competidores, tiendas minoristas) y asigna categoría del enum AssetCategory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diagrama antes/después con ejemplos de places filtrados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21  </w:t>
      </w:r>
      <w:r>
        <w:rPr>
          <w:b/>
          <w:color w:val="104E8B"/>
          <w:sz w:val="22"/>
        </w:rPr>
        <w:t xml:space="preserve">  Pipeline Maps – Pasos 3–4: Enriquecimiento y scoring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Paso 3 – enrich_assets: para cada activo consulta Places Details (website, phone, reviews) y extrae señales B2B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Paso 4 – score_assets: calcula score ponderado de 6 señales + suavizado Beta → confidence_score, confidence_tier, confidence_signals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Señales: name_match (30 %), type_match (20 %), address_corporate (15 %), website_match (15 %), reviews_b2b (10 %), llm_confidence (10 %)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barra de progress con 5 pasos coloreados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22  </w:t>
      </w:r>
      <w:r>
        <w:rPr>
          <w:b/>
          <w:color w:val="104E8B"/>
          <w:sz w:val="22"/>
        </w:rPr>
        <w:t xml:space="preserve">  Pipeline Documento – Pasos 0–2: Parsing y extracción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Paso 0 – parse_uploaded_document: convierte PDF/DOCX/Excel a Markdown con LlamaParse o pdfminer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Paso 1 – chunk_document: divide el Markdown en chunks semánticamente coherentes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Paso 2 – extract_assets_from_chunks: LLM extrae entidades de activo (nombre, dirección, tipo) de cada chunk en paralelo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ejemplo de chunk de texto → JSON de activo extraído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23  </w:t>
      </w:r>
      <w:r>
        <w:rPr>
          <w:b/>
          <w:color w:val="104E8B"/>
          <w:sz w:val="22"/>
        </w:rPr>
        <w:t xml:space="preserve">  Pipeline Documento – Pasos 3–5: Dedup, geocoding y scoring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Paso 3 – deduplicate: agrupa menciones del mismo activo por similitud de nombre/dirección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Paso 4 – geocode_and_enrich: Google Geocoding API para coordenadas + Places API para enriquecimiento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Paso 5 – score_document_assets: 5 señales (evidence_strength 30 %, address_specificity 20 %, coordinate_source 20 %, name_quality 15 %, llm_confidence 15 %)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diagrama de los 6 pasos con nº de ítems en cada etapa (funnel)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24  </w:t>
      </w:r>
      <w:r>
        <w:rPr>
          <w:b/>
          <w:color w:val="104E8B"/>
          <w:sz w:val="22"/>
        </w:rPr>
        <w:t xml:space="preserve">  Pipeline Agente – Introducción y motivación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Caso de uso: empresa sin datos en Google Maps y sin documento disponible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Enfoque: agente autónomo que navega la web como lo haría un analista humano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Tecnología: CrewAI (orquestación de agentes) + DuckDuckGo MCP (búsqueda web)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comparativa analista humano vs. agente IA (mismos pasos, diferente velocidad)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25  </w:t>
      </w:r>
      <w:r>
        <w:rPr>
          <w:b/>
          <w:color w:val="104E8B"/>
          <w:sz w:val="22"/>
        </w:rPr>
        <w:t xml:space="preserve">  Pipeline Agente – Flujo de búsqueda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AgentSearchView: usuario revisa y valida ficheros descargados por el agente antes de procesar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Eventos en tiempo real: thinking → searching → found_urls → downloading → accepted/rejected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Criterios de aceptación de documentos: relevancia para activos productivos, formato estructurado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diagrama de eventos con ejemplos de URLs aceptadas/rechazadas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26  </w:t>
      </w:r>
      <w:r>
        <w:rPr>
          <w:b/>
          <w:color w:val="104E8B"/>
          <w:sz w:val="22"/>
        </w:rPr>
        <w:t xml:space="preserve">  Pipeline Agente – Revisión y análisis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AgentDocumentReviewView: lista de ficheros aceptados con metadata (nombre, tamaño, relevancia)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El usuario confirma los documentos → se lanza el pipeline de documento sobre cada uno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Procesamiento paralelo configurable (max_concurrent) para múltiples fuentes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screenshot de la vista de revisión con ficheros listados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27  </w:t>
      </w:r>
      <w:r>
        <w:rPr>
          <w:b/>
          <w:color w:val="104E8B"/>
          <w:sz w:val="22"/>
        </w:rPr>
        <w:t xml:space="preserve">  Comparativa de pipelines: cuándo usar cada uno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Árbol de decisión: ¿tienes un documento? → Documento. ¿La empresa tiene presencia en Maps? → Maps. Si no → Agente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Modo combinado: posibilidad de fusionar resultados de varios pipelines (multi-source)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Tabla resumen: precisión esperada, tiempo, requisitos, casos de uso ideales</w:t>
      </w:r>
    </w:p>
    <w:p>
      <w:r>
        <w:br w:type="page"/>
      </w:r>
    </w:p>
    <w:p>
      <w:pPr>
        <w:spacing w:before="280" w:after="120"/>
      </w:pPr>
      <w:r>
        <w:rPr>
          <w:b/>
          <w:color w:val="FFFFFF"/>
          <w:sz w:val="24"/>
          <w:shd w:val="clear" w:color="auto" w:fill="104E8B"/>
        </w:rPr>
        <w:t xml:space="preserve">  SECCIÓN 05  </w:t>
      </w:r>
      <w:r>
        <w:rPr>
          <w:b/>
          <w:color w:val="104E8B"/>
          <w:sz w:val="26"/>
        </w:rPr>
        <w:t xml:space="preserve">  Demostración y resultados</w:t>
      </w:r>
    </w:p>
    <w:p/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28  </w:t>
      </w:r>
      <w:r>
        <w:rPr>
          <w:b/>
          <w:color w:val="104E8B"/>
          <w:sz w:val="22"/>
        </w:rPr>
        <w:t xml:space="preserve">  Caso de prueba 1 – Inditex (Pipeline Maps)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Input: 'Inditex'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Resultados esperados: sede A Coruña, centros logísticos Arteixo/Zaragoza, tiendas insignia excluidas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Métricas: nº activos encontrados, distribución por tier, tiempo de ejecución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screenshot del mapa con marcadores de Inditex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29  </w:t>
      </w:r>
      <w:r>
        <w:rPr>
          <w:b/>
          <w:color w:val="104E8B"/>
          <w:sz w:val="22"/>
        </w:rPr>
        <w:t xml:space="preserve">  Caso de prueba 2 – Repsol (Pipeline Documento)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Input: informe anual / memoria de activos de Repsol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Resultados: refinerías, plantas petroquímicas, estaciones de servicio corporativas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Comparativa con resultados de Maps API: diferencias de cobertura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funnel con nº de activos en cada paso del pipeline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30  </w:t>
      </w:r>
      <w:r>
        <w:rPr>
          <w:b/>
          <w:color w:val="104E8B"/>
          <w:sz w:val="22"/>
        </w:rPr>
        <w:t xml:space="preserve">  Caso de prueba 3 – Empresa sin presencia en Maps (Pipeline Agente)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Input: nombre de empresa con poca visibilidad online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Logs del agente: queries ejecutadas, documentos evaluados, aceptados/rechazados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Activos identificados y score de confianza obtenido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captura de AgentSearchView y resultado final en mapa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31  </w:t>
      </w:r>
      <w:r>
        <w:rPr>
          <w:b/>
          <w:color w:val="104E8B"/>
          <w:sz w:val="22"/>
        </w:rPr>
        <w:t xml:space="preserve">  Métricas de calidad del sistema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Precision@K: % de activos HIGH-tier validados manualmente como correctos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Recall estimado: % de activos conocidos recuperados vs. total real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Latencia por pipeline: Maps ~45s, Documento ~60s, Agente ~180s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gráfico de barras o tabla comparativa de métricas por pipeline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32  </w:t>
      </w:r>
      <w:r>
        <w:rPr>
          <w:b/>
          <w:color w:val="104E8B"/>
          <w:sz w:val="22"/>
        </w:rPr>
        <w:t xml:space="preserve">  Detalle del score de confianza en la UI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Popup de mapa: nombre, categoría, tier chip, progress bar, botón de detalle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Dialog de detalle: score final, tier label, fuentes de datos (chips), señales con pesos y barras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Exportación: CSV y Excel con todos los campos incluido confidence_score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screenshot del dialog de detalle de confianza</w:t>
      </w:r>
    </w:p>
    <w:p>
      <w:r>
        <w:br w:type="page"/>
      </w:r>
    </w:p>
    <w:p>
      <w:pPr>
        <w:spacing w:before="280" w:after="120"/>
      </w:pPr>
      <w:r>
        <w:rPr>
          <w:b/>
          <w:color w:val="FFFFFF"/>
          <w:sz w:val="24"/>
          <w:shd w:val="clear" w:color="auto" w:fill="104E8B"/>
        </w:rPr>
        <w:t xml:space="preserve">  SECCIÓN 06  </w:t>
      </w:r>
      <w:r>
        <w:rPr>
          <w:b/>
          <w:color w:val="104E8B"/>
          <w:sz w:val="26"/>
        </w:rPr>
        <w:t xml:space="preserve">  Benchmarking competitivo</w:t>
      </w:r>
    </w:p>
    <w:p/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33  </w:t>
      </w:r>
      <w:r>
        <w:rPr>
          <w:b/>
          <w:color w:val="104E8B"/>
          <w:sz w:val="22"/>
        </w:rPr>
        <w:t xml:space="preserve">  Panorama de soluciones existentes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Categorías de competidores: herramientas de inteligencia de localización (Pitney Bowes, CARTO), plataformas de datos empresariales (Bureau van Dijk, Dun &amp; Bradstreet), scrapers customizados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Metodología de evaluación: automatización, cobertura, scoring, coste, integración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mapa de posicionamiento (ejes: automatización vs. profundidad de datos)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34  </w:t>
      </w:r>
      <w:r>
        <w:rPr>
          <w:b/>
          <w:color w:val="104E8B"/>
          <w:sz w:val="22"/>
        </w:rPr>
        <w:t xml:space="preserve">  Tabla comparativa de herramientas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Columnas: herramienta, tipo, automatización, scoring propio, precio, integración API, fuente de datos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Filas: GeoAssets Intelligence, CARTO, Bureau van Dijk Orbis, Google Maps Platform (raw), solución ad-hoc con scraping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Resaltar las ventajas diferenciales de GeoAssets en verde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35  </w:t>
      </w:r>
      <w:r>
        <w:rPr>
          <w:b/>
          <w:color w:val="104E8B"/>
          <w:sz w:val="22"/>
        </w:rPr>
        <w:t xml:space="preserve">  Posicionamiento diferencial de GeoAssets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Único sistema que combina tres fuentes heterogéneas con un score unificado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Open source + despliegue propio → sin dependencia de vendor, coste marginal bajo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Diseñado para el caso de uso específico (activos productivos España) vs. soluciones genéricas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Extensible: nuevos pipelines, nuevas categorías, nuevos modelos LLM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radar chart con los 5 criterios evaluados</w:t>
      </w:r>
    </w:p>
    <w:p>
      <w:r>
        <w:br w:type="page"/>
      </w:r>
    </w:p>
    <w:p>
      <w:pPr>
        <w:spacing w:before="280" w:after="120"/>
      </w:pPr>
      <w:r>
        <w:rPr>
          <w:b/>
          <w:color w:val="FFFFFF"/>
          <w:sz w:val="24"/>
          <w:shd w:val="clear" w:color="auto" w:fill="104E8B"/>
        </w:rPr>
        <w:t xml:space="preserve">  SECCIÓN 07  </w:t>
      </w:r>
      <w:r>
        <w:rPr>
          <w:b/>
          <w:color w:val="104E8B"/>
          <w:sz w:val="26"/>
        </w:rPr>
        <w:t xml:space="preserve">  Propuesta de valor y conclusiones</w:t>
      </w:r>
    </w:p>
    <w:p/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36  </w:t>
      </w:r>
      <w:r>
        <w:rPr>
          <w:b/>
          <w:color w:val="104E8B"/>
          <w:sz w:val="22"/>
        </w:rPr>
        <w:t xml:space="preserve">  Propuesta de valor (TO BE)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Para analistas: de 4 horas a ~2 minutos por empresa con mayor cobertura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Para equipos de riesgo/M&amp;A: scoring objetivo y reproducible para due diligence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Para ESG: geolocalización de activos industriales para análisis de exposición ambiental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comparativa AS IS vs. TO BE en tiempo, esfuerzo y cobertura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37  </w:t>
      </w:r>
      <w:r>
        <w:rPr>
          <w:b/>
          <w:color w:val="104E8B"/>
          <w:sz w:val="22"/>
        </w:rPr>
        <w:t xml:space="preserve">  Líneas de actuación futura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Línea 1: Expansión geográfica (Portugal, Latam) con adaptación de fuentes de datos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Línea 2: Fine-tuning del modelo de clasificación con datos validados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Línea 3: API pública con autenticación para integración en plataformas externas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Línea 4: Módulo de detección de cambios (alertas cuando un activo desaparece o cambia)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roadmap visual con fases y plazos estimados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38  </w:t>
      </w:r>
      <w:r>
        <w:rPr>
          <w:b/>
          <w:color w:val="104E8B"/>
          <w:sz w:val="22"/>
        </w:rPr>
        <w:t xml:space="preserve">  Limitaciones actuales y mitigaciones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Dependencia de Google Maps API: datos incompletos en zonas rurales → complementar con Agente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LLM no determinista: puede clasificar incorrectamente → validación por tier + revisión humana LOW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Latencia del agente: ~3 minutos → uso asíncrono, notificación al completar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Cobertura España: expansión futura a EMEA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39  </w:t>
      </w:r>
      <w:r>
        <w:rPr>
          <w:b/>
          <w:color w:val="104E8B"/>
          <w:sz w:val="22"/>
        </w:rPr>
        <w:t xml:space="preserve">  Conclusiones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Validación de la hipótesis: los LLMs + APIs geoespaciales permiten automatizar el análisis de patrimonio con alta precisión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Contribución técnica: sistema modular de pipelines con scoring unificado y UI interactiva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Contribución académica: framework reproducible aplicable a otros dominios de inteligencia geoespacial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Visual: tres bullets con icono de check en verde</w:t>
      </w:r>
    </w:p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40  </w:t>
      </w:r>
      <w:r>
        <w:rPr>
          <w:b/>
          <w:color w:val="104E8B"/>
          <w:sz w:val="22"/>
        </w:rPr>
        <w:t xml:space="preserve">  Cierre y preguntas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Slide de cierre con agradecimientos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QR code o URL al repositorio / demo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Frase de impacto final: 'El patrimonio productivo de una empresa es visible. Solo hay que saber dónde mirar.'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Contacto del autor</w:t>
      </w:r>
    </w:p>
    <w:p>
      <w:r>
        <w:br w:type="page"/>
      </w:r>
    </w:p>
    <w:p>
      <w:pPr>
        <w:spacing w:before="280" w:after="120"/>
      </w:pPr>
      <w:r>
        <w:rPr>
          <w:b/>
          <w:color w:val="FFFFFF"/>
          <w:sz w:val="24"/>
          <w:shd w:val="clear" w:color="auto" w:fill="104E8B"/>
        </w:rPr>
        <w:t xml:space="preserve">  SECCIÓN 08  </w:t>
      </w:r>
      <w:r>
        <w:rPr>
          <w:b/>
          <w:color w:val="104E8B"/>
          <w:sz w:val="26"/>
        </w:rPr>
        <w:t xml:space="preserve">  Bibliografía y anexos</w:t>
      </w:r>
    </w:p>
    <w:p/>
    <w:p>
      <w:pPr>
        <w:spacing w:before="120" w:after="40"/>
      </w:pPr>
      <w:r>
        <w:rPr>
          <w:b/>
          <w:color w:val="FFFFFF"/>
          <w:sz w:val="20"/>
          <w:shd w:val="clear" w:color="auto" w:fill="2196F3"/>
        </w:rPr>
        <w:t xml:space="preserve">  Slide 41  </w:t>
      </w:r>
      <w:r>
        <w:rPr>
          <w:b/>
          <w:color w:val="104E8B"/>
          <w:sz w:val="22"/>
        </w:rPr>
        <w:t xml:space="preserve">  Bibliografía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Google Places API Documentation – developers.google.com/maps/documentation/places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LiteLLM – litellm.vercel.app (proxy LLM multi-proveedor)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CrewAI Framework – crewai.com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AWS Bedrock – aws.amazon.com/bedrock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Brown et al. (2020) Language Models are Few-Shot Learners – GPT-3 paper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Beta Distribution applied to scoring systems – referencia estadística</w:t>
      </w:r>
    </w:p>
    <w:p>
      <w:pPr>
        <w:pStyle w:val="ListBullet"/>
        <w:spacing w:after="20"/>
        <w:ind w:left="680"/>
      </w:pPr>
      <w:r>
        <w:rPr>
          <w:color w:val="1A1A1A"/>
          <w:sz w:val="19"/>
        </w:rPr>
        <w:t>Formato: lista numerada con estilo APA</w:t>
      </w:r>
    </w:p>
    <w:p>
      <w:pPr>
        <w:spacing w:after="80"/>
        <w:ind w:left="680"/>
      </w:pPr>
      <w:r>
        <w:rPr>
          <w:i/>
          <w:color w:val="757575"/>
          <w:sz w:val="18"/>
        </w:rPr>
        <w:t>📌 Completar con referencias exactas de los artículos y documentación oficial usados en el TFM.</w:t>
      </w:r>
    </w:p>
    <w:p>
      <w:r>
        <w:br w:type="page"/>
      </w:r>
    </w:p>
    <w:p>
      <w:pPr>
        <w:pStyle w:val="Heading1"/>
      </w:pPr>
      <w:r>
        <w:rPr>
          <w:color w:val="104E8B"/>
        </w:rPr>
        <w:t>Notas de diseño para la presentación</w:t>
      </w:r>
    </w:p>
    <w:p>
      <w:pPr>
        <w:spacing w:before="120"/>
      </w:pPr>
      <w:r>
        <w:rPr>
          <w:b/>
          <w:color w:val="104E8B"/>
          <w:sz w:val="20"/>
        </w:rPr>
        <w:t xml:space="preserve">Paleta de colores: </w:t>
      </w:r>
      <w:r>
        <w:rPr>
          <w:color w:val="1A1A1A"/>
          <w:sz w:val="20"/>
        </w:rPr>
        <w:t>Azul oscuro #104E8B (principal), Azul #2196F3 (secundario), Blanco, Gris claro. Colores de confianza: verde (HIGH), naranja (MEDIUM), rojo (LOW).</w:t>
      </w:r>
    </w:p>
    <w:p>
      <w:pPr>
        <w:spacing w:before="120"/>
      </w:pPr>
      <w:r>
        <w:rPr>
          <w:b/>
          <w:color w:val="104E8B"/>
          <w:sz w:val="20"/>
        </w:rPr>
        <w:t xml:space="preserve">Tipografía: </w:t>
      </w:r>
      <w:r>
        <w:rPr>
          <w:color w:val="1A1A1A"/>
          <w:sz w:val="20"/>
        </w:rPr>
        <w:t>Montserrat para títulos (igual que la app), Inter o Calibri para cuerpo de texto. Tamaño mínimo: 18 pt en presentación.</w:t>
      </w:r>
    </w:p>
    <w:p>
      <w:pPr>
        <w:spacing w:before="120"/>
      </w:pPr>
      <w:r>
        <w:rPr>
          <w:b/>
          <w:color w:val="104E8B"/>
          <w:sz w:val="20"/>
        </w:rPr>
        <w:t xml:space="preserve">Longitud total: </w:t>
      </w:r>
      <w:r>
        <w:rPr>
          <w:color w:val="1A1A1A"/>
          <w:sz w:val="20"/>
        </w:rPr>
        <w:t>41 diapositivas (~25–30 min de presentación). Se pueden condensar las slides de detalle técnico si el tiempo es de 15 min.</w:t>
      </w:r>
    </w:p>
    <w:p>
      <w:pPr>
        <w:spacing w:before="120"/>
      </w:pPr>
      <w:r>
        <w:rPr>
          <w:b/>
          <w:color w:val="104E8B"/>
          <w:sz w:val="20"/>
        </w:rPr>
        <w:t xml:space="preserve">Recursos visuales: </w:t>
      </w:r>
      <w:r>
        <w:rPr>
          <w:color w:val="1A1A1A"/>
          <w:sz w:val="20"/>
        </w:rPr>
        <w:t>Capturas de pantalla reales de la aplicación donde se indique. Diagramas: draw.io o Mermaid exportado a PNG. Iconos: Material Design Icons (coherentes con la app).</w:t>
      </w:r>
    </w:p>
    <w:p>
      <w:pPr>
        <w:spacing w:before="120"/>
      </w:pPr>
      <w:r>
        <w:rPr>
          <w:b/>
          <w:color w:val="104E8B"/>
          <w:sz w:val="20"/>
        </w:rPr>
        <w:t xml:space="preserve">Notas del presentador: </w:t>
      </w:r>
      <w:r>
        <w:rPr>
          <w:color w:val="1A1A1A"/>
          <w:sz w:val="20"/>
        </w:rPr>
        <w:t>Cada slide debe tener 3–5 líneas de notas en el panel inferior de PowerPoint con los puntos clave a comunicar.</w:t>
      </w:r>
    </w:p>
    <w:p>
      <w:pPr>
        <w:spacing w:before="120"/>
      </w:pPr>
      <w:r>
        <w:rPr>
          <w:b/>
          <w:color w:val="104E8B"/>
          <w:sz w:val="20"/>
        </w:rPr>
        <w:t xml:space="preserve">Animaciones: </w:t>
      </w:r>
      <w:r>
        <w:rPr>
          <w:color w:val="1A1A1A"/>
          <w:sz w:val="20"/>
        </w:rPr>
        <w:t>Mínimas: aparición de elementos por puntos en slides de lista. Sin transiciones elaboradas que distraigan.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