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center"/>
      </w:pPr>
      <w:r>
        <w:rPr>
          <w:rFonts w:ascii="Times New Roman" w:hAnsi="Times New Roman"/>
          <w:b/>
          <w:sz w:val="32"/>
        </w:rPr>
        <w:t>CONCLUSION GÉNÉRALE</w:t>
      </w:r>
    </w:p>
    <w:p>
      <w:pPr>
        <w:spacing w:before="0" w:after="200"/>
        <w:ind w:firstLine="709"/>
        <w:jc w:val="both"/>
      </w:pPr>
      <w:r>
        <w:rPr>
          <w:rFonts w:ascii="Times New Roman" w:hAnsi="Times New Roman"/>
          <w:sz w:val="24"/>
        </w:rPr>
        <w:t>Ce mémoire avait pour ambition de démontrer la faisabilité d'un système de traduction en temps réel de la Langue des Signes Française (LSF) vers le français écrit, déployable sur matériel standard et accessible depuis un navigateur web sans installation. Cette problématique s'inscrit dans un enjeu social précis : réduire la barrière de communication qui isole quotidiennement les personnes sourdes et malentendantes, en particulier au Bénin où les interprètes humains demeurent insuffisants au regard des besoins de la communauté et où des institutions comme le CAEIS de Louho œuvrent à l'intégration des sourds sans soutien technologique adapté.</w:t>
      </w:r>
    </w:p>
    <w:p>
      <w:pPr>
        <w:spacing w:before="200" w:after="120"/>
        <w:jc w:val="left"/>
      </w:pPr>
      <w:r>
        <w:rPr>
          <w:rFonts w:ascii="Times New Roman" w:hAnsi="Times New Roman"/>
          <w:b/>
          <w:sz w:val="26"/>
        </w:rPr>
        <w:t>Bilan des contributions</w:t>
      </w:r>
    </w:p>
    <w:p>
      <w:pPr>
        <w:spacing w:before="0" w:after="160"/>
        <w:ind w:firstLine="709"/>
        <w:jc w:val="both"/>
      </w:pPr>
      <w:r>
        <w:rPr>
          <w:rFonts w:ascii="Times New Roman" w:hAnsi="Times New Roman"/>
          <w:sz w:val="24"/>
        </w:rPr>
        <w:t>Le système SignInterpreter V11, aboutissement de onze itérations successives, repose sur une architecture à trois niveaux interdépendants. Un classificateur LSTM à fenêtre glissante, entraîné sur 21 000 séquences augmentées issues de 2 100 enregistrements réels, assure la reconnaissance signe par signe avec une précision de validation de 100 %. Un modèle BiLSTM-CTC à deux couches bidirectionnelles, entraîné sur 46 000 séquences synthétiques générées par concaténation de signes isolés, reconnaît des séquences continues sans segmentation préalable, avec une précision de signe de 99,97 % sur données de validation. Un module seq2seq à attention de Bahdanau traduit enfin les séquences de signes décodées en phrases françaises grammaticalement cohérentes, avec une perte de validation de 0,035 sur 6 209 paires d'entraînement.</w:t>
      </w:r>
    </w:p>
    <w:p>
      <w:pPr>
        <w:spacing w:before="0" w:after="160"/>
        <w:ind w:firstLine="709"/>
        <w:jc w:val="both"/>
      </w:pPr>
      <w:r>
        <w:rPr>
          <w:rFonts w:ascii="Times New Roman" w:hAnsi="Times New Roman"/>
          <w:sz w:val="24"/>
        </w:rPr>
        <w:t>Le tableau ci-après récapitule les performances des trois modèles et les résultats obtenus sur le corpus de test composé de 300 phrases produites par cinq signeurs non vus à l'entraînement.</w:t>
      </w:r>
    </w:p>
    <w:tbl>
      <w:tblPr>
        <w:tblW w:type="auto" w:w="0"/>
        <w:jc w:val="center"/>
        <w:tblLook w:firstColumn="1" w:firstRow="1" w:lastColumn="0" w:lastRow="0" w:noHBand="0" w:noVBand="1" w:val="04A0"/>
      </w:tblPr>
      <w:tblGrid>
        <w:gridCol w:w="1881"/>
        <w:gridCol w:w="1881"/>
        <w:gridCol w:w="1881"/>
        <w:gridCol w:w="1881"/>
        <w:gridCol w:w="1881"/>
      </w:tblGrid>
      <w:tr>
        <w:tc>
          <w:tcPr>
            <w:tcW w:type="dxa" w:w="215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Times New Roman" w:hAnsi="Times New Roman"/>
                <w:b/>
                <w:i w:val="0"/>
                <w:color w:val="FFFFFF"/>
                <w:sz w:val="19"/>
              </w:rPr>
              <w:t>Composant</w:t>
            </w:r>
          </w:p>
        </w:tc>
        <w:tc>
          <w:tcPr>
            <w:tcW w:type="dxa" w:w="215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Times New Roman" w:hAnsi="Times New Roman"/>
                <w:b/>
                <w:i w:val="0"/>
                <w:color w:val="FFFFFF"/>
                <w:sz w:val="19"/>
              </w:rPr>
              <w:t>Données entraînement</w:t>
            </w:r>
          </w:p>
        </w:tc>
        <w:tc>
          <w:tcPr>
            <w:tcW w:type="dxa" w:w="215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Times New Roman" w:hAnsi="Times New Roman"/>
                <w:b/>
                <w:i w:val="0"/>
                <w:color w:val="FFFFFF"/>
                <w:sz w:val="19"/>
              </w:rPr>
              <w:t>Métrique principale</w:t>
            </w:r>
          </w:p>
        </w:tc>
        <w:tc>
          <w:tcPr>
            <w:tcW w:type="dxa" w:w="192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Times New Roman" w:hAnsi="Times New Roman"/>
                <w:b/>
                <w:i w:val="0"/>
                <w:color w:val="FFFFFF"/>
                <w:sz w:val="19"/>
              </w:rPr>
              <w:t>Résultat (validation)</w:t>
            </w:r>
          </w:p>
        </w:tc>
        <w:tc>
          <w:tcPr>
            <w:tcW w:type="dxa" w:w="192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Times New Roman" w:hAnsi="Times New Roman"/>
                <w:b/>
                <w:i w:val="0"/>
                <w:color w:val="FFFFFF"/>
                <w:sz w:val="19"/>
              </w:rPr>
              <w:t>Résultat (test réel)</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i w:val="0"/>
                <w:sz w:val="19"/>
              </w:rPr>
              <w:t>LSTM</w:t>
              <w:br/>
              <w:t>(classificateur)</w:t>
            </w:r>
          </w:p>
        </w:tc>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sz w:val="19"/>
              </w:rPr>
              <w:t>21 000 séquences</w:t>
              <w:br/>
              <w:t>(×10 augmentation)</w:t>
            </w:r>
          </w:p>
        </w:tc>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val="0"/>
                <w:sz w:val="19"/>
              </w:rPr>
              <w:t>Précision de validation</w:t>
            </w:r>
          </w:p>
        </w:tc>
        <w:tc>
          <w:tcPr>
            <w:tcW w:type="dxa" w:w="192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100,00 %</w:t>
            </w:r>
          </w:p>
        </w:tc>
        <w:tc>
          <w:tcPr>
            <w:tcW w:type="dxa" w:w="192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 (mode auxiliaire)</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i w:val="0"/>
                <w:sz w:val="19"/>
              </w:rPr>
              <w:t>BiLSTM-CTC</w:t>
              <w:br/>
              <w:t>(reconnaissance)</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sz w:val="19"/>
              </w:rPr>
              <w:t>46 000 séquences</w:t>
              <w:br/>
              <w:t>(synthétiques)</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val="0"/>
                <w:sz w:val="19"/>
              </w:rPr>
              <w:t>Sign Accuracy</w:t>
            </w:r>
          </w:p>
        </w:tc>
        <w:tc>
          <w:tcPr>
            <w:tcW w:type="dxa" w:w="192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99,97 %</w:t>
            </w:r>
          </w:p>
        </w:tc>
        <w:tc>
          <w:tcPr>
            <w:tcW w:type="dxa" w:w="192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88,3 %</w:t>
            </w:r>
          </w:p>
        </w:tc>
      </w:tr>
      <w:tr>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i w:val="0"/>
                <w:sz w:val="19"/>
              </w:rPr>
              <w:t>Seq2Seq + Attention</w:t>
              <w:br/>
              <w:t>(traduction)</w:t>
            </w:r>
          </w:p>
        </w:tc>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sz w:val="19"/>
              </w:rPr>
              <w:t>6 209 paires</w:t>
              <w:br/>
              <w:t>linguistiques</w:t>
            </w:r>
          </w:p>
        </w:tc>
        <w:tc>
          <w:tcPr>
            <w:tcW w:type="dxa" w:w="215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val="0"/>
                <w:sz w:val="19"/>
              </w:rPr>
              <w:t>Perte de validation</w:t>
            </w:r>
          </w:p>
        </w:tc>
        <w:tc>
          <w:tcPr>
            <w:tcW w:type="dxa" w:w="192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0,0354</w:t>
            </w:r>
          </w:p>
        </w:tc>
        <w:tc>
          <w:tcPr>
            <w:tcW w:type="dxa" w:w="192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val="0"/>
                <w:i w:val="0"/>
                <w:sz w:val="19"/>
              </w:rPr>
              <w:t>BLEU-4 : 0,743</w:t>
              <w:br/>
              <w:t>WER : 21,4 %</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i w:val="0"/>
                <w:sz w:val="19"/>
              </w:rPr>
              <w:t>Système complet</w:t>
              <w:br/>
              <w:t>(pipeline)</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sz w:val="19"/>
              </w:rPr>
              <w:t>—</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Times New Roman" w:hAnsi="Times New Roman"/>
                <w:b w:val="0"/>
                <w:i w:val="0"/>
                <w:sz w:val="19"/>
              </w:rPr>
              <w:t>Taux acceptable</w:t>
              <w:br/>
              <w:t>(évaluation humaine)</w:t>
            </w:r>
          </w:p>
        </w:tc>
        <w:tc>
          <w:tcPr>
            <w:tcW w:type="dxa" w:w="192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i w:val="0"/>
                <w:sz w:val="19"/>
              </w:rPr>
              <w:t>—</w:t>
            </w:r>
          </w:p>
        </w:tc>
        <w:tc>
          <w:tcPr>
            <w:tcW w:type="dxa" w:w="192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Times New Roman" w:hAnsi="Times New Roman"/>
                <w:b/>
                <w:i w:val="0"/>
                <w:sz w:val="19"/>
              </w:rPr>
              <w:t>86,3 %</w:t>
              <w:br/>
              <w:t>(259 / 300 phrases)</w:t>
            </w:r>
          </w:p>
        </w:tc>
      </w:tr>
    </w:tbl>
    <w:p>
      <w:pPr>
        <w:spacing w:before="80" w:after="240"/>
        <w:jc w:val="center"/>
      </w:pPr>
      <w:r>
        <w:rPr>
          <w:rFonts w:ascii="Times New Roman" w:hAnsi="Times New Roman"/>
          <w:i/>
          <w:sz w:val="19"/>
        </w:rPr>
        <w:t>Tableau C.1 — Récapitulatif des performances des trois composants du système SignInterpreter V11 en validation et sur le corpus de test réel (300 phrases, 5 signeurs).</w:t>
      </w:r>
    </w:p>
    <w:p>
      <w:pPr>
        <w:spacing w:before="200" w:after="120"/>
        <w:jc w:val="left"/>
      </w:pPr>
      <w:r>
        <w:rPr>
          <w:rFonts w:ascii="Times New Roman" w:hAnsi="Times New Roman"/>
          <w:b/>
          <w:sz w:val="26"/>
        </w:rPr>
        <w:t>Atteinte des objectifs spécifiques</w:t>
      </w:r>
    </w:p>
    <w:p>
      <w:pPr>
        <w:spacing w:before="0" w:after="160"/>
        <w:ind w:firstLine="709"/>
        <w:jc w:val="both"/>
      </w:pPr>
      <w:r>
        <w:rPr>
          <w:rFonts w:ascii="Times New Roman" w:hAnsi="Times New Roman"/>
          <w:sz w:val="24"/>
        </w:rPr>
        <w:t>L'ensemble des objectifs spécifiques formulés en introduction a été atteint. Un corpus de 2 100 enregistrements réels répartis sur 30 classes de signes a été constitué, selon un protocole de collecte standardisé permettant l'extension ultérieure du vocabulaire via une interface de contribution dédiée. Un pipeline de génération synthétique a été développé, produisant 46 000 séquences CTC par concaténation de signes isolés avec variation de tempo, bruit gaussien et interpolation aux transitions. Le modèle BiLSTM-CTC conçu résout le problème de la segmentation continue sans recours à une annotation temporelle manuelle, grâce à la perte CTC et à la stratégie de décodage progressif par fenêtre glissante de 20 trames. Le système de traduction, fondé sur des règles linguistiques complétées par un modèle seq2seq, produit des phrases françaises jugées acceptables dans 86,3 % des cas par des évaluateurs indépendants, dépassant l'objectif de 85 %. Le déploiement en architecture client-serveur WebSocket garantit une latence d'inférence inférieure à 25 ms côté serveur, compatible avec un retour visuel temps réel à 30 images par seconde.</w:t>
      </w:r>
    </w:p>
    <w:p>
      <w:pPr>
        <w:spacing w:before="200" w:after="120"/>
        <w:jc w:val="left"/>
      </w:pPr>
      <w:r>
        <w:rPr>
          <w:rFonts w:ascii="Times New Roman" w:hAnsi="Times New Roman"/>
          <w:b/>
          <w:sz w:val="26"/>
        </w:rPr>
        <w:t>Limites identifiées</w:t>
      </w:r>
    </w:p>
    <w:p>
      <w:pPr>
        <w:spacing w:before="0" w:after="160"/>
        <w:ind w:firstLine="709"/>
        <w:jc w:val="both"/>
      </w:pPr>
      <w:r>
        <w:rPr>
          <w:rFonts w:ascii="Times New Roman" w:hAnsi="Times New Roman"/>
          <w:sz w:val="24"/>
        </w:rPr>
        <w:t>Plusieurs limites structurelles méritent d'être soulignées. Le vocabulaire, restreint à 30 signes, couvre un sous-ensemble insuffisant pour une communication quotidienne complète, et six tokens du vocabulaire seq2seq ne sont pas couverts par le modèle CTC, créant une asymétrie entre les deux modules. La dégradation de 99,97 % à 88,3 % de précision entre la validation sur données synthétiques et le test sur signeurs réels révèle un décalage de domaine imputable à l'absence de coarticulation dans les séquences synthétiques et à la variabilité morphologique inter-signeurs. L'absence de marqueurs non-manuels dans le vecteur de caractéristiques (171 dimensions) limite la prise en compte des structures grammaticales proprement LSF, telles que la négation faciale ou les phrases interrogatives. Enfin, l'adaptation au locuteur n'est pas implémentée, ce qu'illustre l'écart de performance entre le signeur le plus proche du corpus d'entraînement (9 % d'erreur) et celui présentant l'amplitude la plus atypique (16 % d'erreur).</w:t>
      </w:r>
    </w:p>
    <w:p>
      <w:pPr>
        <w:spacing w:before="200" w:after="120"/>
        <w:jc w:val="left"/>
      </w:pPr>
      <w:r>
        <w:rPr>
          <w:rFonts w:ascii="Times New Roman" w:hAnsi="Times New Roman"/>
          <w:b/>
          <w:sz w:val="26"/>
        </w:rPr>
        <w:t>Perspectives</w:t>
      </w:r>
    </w:p>
    <w:p>
      <w:pPr>
        <w:spacing w:before="0" w:after="160"/>
        <w:ind w:firstLine="709"/>
        <w:jc w:val="both"/>
      </w:pPr>
      <w:r>
        <w:rPr>
          <w:rFonts w:ascii="Times New Roman" w:hAnsi="Times New Roman"/>
          <w:sz w:val="24"/>
        </w:rPr>
        <w:t>Les pistes d'amélioration les plus impactantes à court terme concernent l'élargissement du corpus à plusieurs signeurs et l'extension du vocabulaire vers 100 signes ou davantage, objectif rendu accessible par la plateforme de contribution intégrée au système. À moyen terme, l'intégration des points faciaux MediaPipe dans le vecteur de caractéristiques et l'introduction de séquences réelles dans le corpus CTC permettraient de réduire le décalage de domaine de manière substantielle. À plus long terme, le remplacement du module seq2seq BiLSTM par une architecture Transformer, et l'implémentation d'un mécanisme d'apprentissage actif par correction utilisateur, ouvriraient la voie à un système adaptatif capable de progresser en conditions réelles d'utilisation.</w:t>
      </w:r>
    </w:p>
    <w:p>
      <w:pPr>
        <w:spacing w:before="200" w:after="0"/>
        <w:ind w:firstLine="709"/>
        <w:jc w:val="both"/>
      </w:pPr>
      <w:r>
        <w:rPr>
          <w:rFonts w:ascii="Times New Roman" w:hAnsi="Times New Roman"/>
          <w:sz w:val="24"/>
        </w:rPr>
        <w:t>Ce travail constitue une première démonstration, sur matériel accessible et sans corpus massif préexistant, qu'un système de traduction automatique de la langue des signes à destination d'un navigateur web est techniquement réalisable et fonctionnellement utilisable. Il témoigne, dans le cadre de la Stratégie Nationale de l'Intelligence Artificielle et des Mégadonnées du Bénin 2023-2027, de la pertinence des approches d'apprentissage profond appliquées à l'accessibilité numérique pour les communautés sourdes d'Afrique francophone.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