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jc w:val="center"/>
      </w:pPr>
      <w:r>
        <w:rPr>
          <w:rFonts w:ascii="Times New Roman" w:hAnsi="Times New Roman"/>
          <w:b/>
          <w:sz w:val="32"/>
        </w:rPr>
        <w:t>Section 3 : État de l'art des systèmes de reconnaissance</w:t>
        <w:br/>
        <w:t>de la langue des signes</w:t>
      </w:r>
    </w:p>
    <w:p>
      <w:pPr>
        <w:spacing w:before="0" w:after="120"/>
        <w:ind w:firstLine="709"/>
        <w:jc w:val="both"/>
      </w:pPr>
      <w:r>
        <w:rPr>
          <w:rFonts w:ascii="Times New Roman" w:hAnsi="Times New Roman"/>
          <w:sz w:val="24"/>
        </w:rPr>
        <w:t>La reconnaissance automatique de la langue des signes (RALS) est un domaine de recherche actif à l'intersection de la vision par ordinateur, de l'apprentissage profond et du traitement du langage naturel. Son objectif est de permettre à une machine d'identifier et de traduire les gestes signés à partir d'une séquence d'images vidéo, sans recourir à des équipements spécialisés. Cette section retrace l'évolution des approches depuis les méthodes fondatrices des années 1990 jusqu'aux architectures les plus récentes (2024-2025), en s'appuyant sur les travaux publiés dans les grandes conférences et revues scientifiques internationales.</w:t>
      </w:r>
    </w:p>
    <w:p>
      <w:pPr>
        <w:spacing w:before="280" w:after="120"/>
        <w:jc w:val="left"/>
      </w:pPr>
      <w:r>
        <w:rPr>
          <w:rFonts w:ascii="Times New Roman" w:hAnsi="Times New Roman"/>
          <w:b/>
          <w:sz w:val="28"/>
        </w:rPr>
        <w:t>3.1 Reconnaissance et traduction : deux tâches distinctes</w:t>
      </w:r>
    </w:p>
    <w:p>
      <w:pPr>
        <w:spacing w:before="0" w:after="120"/>
        <w:ind w:firstLine="709"/>
        <w:jc w:val="both"/>
      </w:pPr>
      <w:r>
        <w:rPr>
          <w:rFonts w:ascii="Times New Roman" w:hAnsi="Times New Roman"/>
          <w:sz w:val="24"/>
        </w:rPr>
        <w:t>Avant d'examiner l'évolution des systèmes, il est nécessaire de clarifier la distinction fondamentale entre deux tâches souvent confondues dans la littérature : la reconnaissance de la langue des signes (SLR — Sign Language Recognition) et la traduction de la langue des signes (SLT — Sign Language Translation). Ces deux tâches diffèrent par leur objectif, leur format de sortie et leurs métriques d'évaluation.</w:t>
      </w:r>
    </w:p>
    <w:p>
      <w:pPr>
        <w:spacing w:before="200" w:after="80"/>
        <w:jc w:val="left"/>
      </w:pPr>
      <w:r>
        <w:rPr>
          <w:rFonts w:ascii="Times New Roman" w:hAnsi="Times New Roman"/>
          <w:b/>
          <w:sz w:val="24"/>
        </w:rPr>
        <w:t>3.1.1 La reconnaissance (SLR)</w:t>
      </w:r>
    </w:p>
    <w:p>
      <w:pPr>
        <w:spacing w:before="0" w:after="120"/>
        <w:ind w:firstLine="709"/>
        <w:jc w:val="both"/>
      </w:pPr>
      <w:r>
        <w:rPr>
          <w:rFonts w:ascii="Times New Roman" w:hAnsi="Times New Roman"/>
          <w:sz w:val="24"/>
        </w:rPr>
        <w:t>La reconnaissance de la langue des signes prend en entrée une séquence vidéo et produit en sortie une séquence de glosses — c'est-à-dire une transcription symbolique des signes effectués, dans l'ordre de leur production. Par exemple, pour une phrase signée LSF, la sortie de la reconnaissance pourrait être : ['moi', 'manger', 'bien']. La reconnaissance ne produit pas de phrase grammaticalement correcte en français ; elle identifie uniquement les unités lexicales de la langue des signes.</w:t>
      </w:r>
    </w:p>
    <w:p>
      <w:pPr>
        <w:spacing w:before="0" w:after="120"/>
        <w:ind w:firstLine="709"/>
        <w:jc w:val="both"/>
      </w:pPr>
      <w:r>
        <w:rPr>
          <w:rFonts w:ascii="Times New Roman" w:hAnsi="Times New Roman"/>
          <w:sz w:val="24"/>
        </w:rPr>
        <w:t>On distingue deux sous-tâches : la reconnaissance de signes isolés (Isolated SLR), qui traite un signe à la fois, et la reconnaissance continue (Continuous SLR — CSLR), qui traite des phrases entières sans segmentation temporelle préalable. La CSLR est considérablement plus difficile, car le modèle doit simultaneously segmenter et reconnaître les signes dans un flux continu. La métrique standard est le WER (Word Error Rate — taux d'erreur sur les gloses), calculé par comparaison avec une transcription de référence.</w:t>
      </w:r>
    </w:p>
    <w:p>
      <w:pPr>
        <w:spacing w:before="200" w:after="80"/>
        <w:jc w:val="left"/>
      </w:pPr>
      <w:r>
        <w:rPr>
          <w:rFonts w:ascii="Times New Roman" w:hAnsi="Times New Roman"/>
          <w:b/>
          <w:sz w:val="24"/>
        </w:rPr>
        <w:t>3.1.2 La traduction (SLT)</w:t>
      </w:r>
    </w:p>
    <w:p>
      <w:pPr>
        <w:spacing w:before="0" w:after="120"/>
        <w:ind w:firstLine="709"/>
        <w:jc w:val="both"/>
      </w:pPr>
      <w:r>
        <w:rPr>
          <w:rFonts w:ascii="Times New Roman" w:hAnsi="Times New Roman"/>
          <w:sz w:val="24"/>
        </w:rPr>
        <w:t>La traduction de la langue des signes prend en entrée une séquence vidéo (ou des glosses) et produit en sortie une phrase dans une langue orale — français, allemand, anglais — grammaticalement correcte et naturelle. C'est une tâche de traduction inter-lingue à part entière, analogue à la traduction automatique neuronale (NMT). Sa métrique principale est le score BLEU (Bilingual Evaluation Understudy), qui mesure la similarité entre la traduction produite et des traductions de référence humaines. Certains systèmes opèrent en deux étapes (SLR puis traduction des glosses) ; d'autres, dits gloss-free, traduisent directement de la vidéo vers le texte sans passer par une représentation intermédiaire en glosses.</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b/>
                <w:sz w:val="20"/>
              </w:rPr>
              <w:t>Critère</w:t>
            </w:r>
          </w:p>
        </w:tc>
        <w:tc>
          <w:tcPr>
            <w:tcW w:type="dxa" w:w="3024"/>
          </w:tcPr>
          <w:p>
            <w:pPr>
              <w:jc w:val="center"/>
            </w:pPr>
            <w:r>
              <w:rPr>
                <w:rFonts w:ascii="Times New Roman" w:hAnsi="Times New Roman"/>
                <w:b/>
                <w:sz w:val="20"/>
              </w:rPr>
              <w:t>Reconnaissance (SLR)</w:t>
            </w:r>
          </w:p>
        </w:tc>
        <w:tc>
          <w:tcPr>
            <w:tcW w:type="dxa" w:w="3024"/>
          </w:tcPr>
          <w:p>
            <w:pPr>
              <w:jc w:val="center"/>
            </w:pPr>
            <w:r>
              <w:rPr>
                <w:rFonts w:ascii="Times New Roman" w:hAnsi="Times New Roman"/>
                <w:b/>
                <w:sz w:val="20"/>
              </w:rPr>
              <w:t>Traduction (SLT)</w:t>
            </w:r>
          </w:p>
        </w:tc>
      </w:tr>
      <w:tr>
        <w:tc>
          <w:tcPr>
            <w:tcW w:type="dxa" w:w="3024"/>
          </w:tcPr>
          <w:p>
            <w:r>
              <w:rPr>
                <w:rFonts w:ascii="Times New Roman" w:hAnsi="Times New Roman"/>
                <w:sz w:val="20"/>
              </w:rPr>
              <w:t>Entrée</w:t>
            </w:r>
          </w:p>
        </w:tc>
        <w:tc>
          <w:tcPr>
            <w:tcW w:type="dxa" w:w="3024"/>
          </w:tcPr>
          <w:p>
            <w:r>
              <w:rPr>
                <w:rFonts w:ascii="Times New Roman" w:hAnsi="Times New Roman"/>
                <w:sz w:val="20"/>
              </w:rPr>
              <w:t>Vidéo de signe</w:t>
            </w:r>
          </w:p>
        </w:tc>
        <w:tc>
          <w:tcPr>
            <w:tcW w:type="dxa" w:w="3024"/>
          </w:tcPr>
          <w:p>
            <w:r>
              <w:rPr>
                <w:rFonts w:ascii="Times New Roman" w:hAnsi="Times New Roman"/>
                <w:sz w:val="20"/>
              </w:rPr>
              <w:t>Vidéo de signe (ou glosses)</w:t>
            </w:r>
          </w:p>
        </w:tc>
      </w:tr>
      <w:tr>
        <w:tc>
          <w:tcPr>
            <w:tcW w:type="dxa" w:w="3024"/>
          </w:tcPr>
          <w:p>
            <w:r>
              <w:rPr>
                <w:rFonts w:ascii="Times New Roman" w:hAnsi="Times New Roman"/>
                <w:sz w:val="20"/>
              </w:rPr>
              <w:t>Sortie</w:t>
            </w:r>
          </w:p>
        </w:tc>
        <w:tc>
          <w:tcPr>
            <w:tcW w:type="dxa" w:w="3024"/>
          </w:tcPr>
          <w:p>
            <w:r>
              <w:rPr>
                <w:rFonts w:ascii="Times New Roman" w:hAnsi="Times New Roman"/>
                <w:sz w:val="20"/>
              </w:rPr>
              <w:t>Séquence de glosses</w:t>
            </w:r>
          </w:p>
        </w:tc>
        <w:tc>
          <w:tcPr>
            <w:tcW w:type="dxa" w:w="3024"/>
          </w:tcPr>
          <w:p>
            <w:r>
              <w:rPr>
                <w:rFonts w:ascii="Times New Roman" w:hAnsi="Times New Roman"/>
                <w:sz w:val="20"/>
              </w:rPr>
              <w:t>Phrase en langue orale</w:t>
            </w:r>
          </w:p>
        </w:tc>
      </w:tr>
      <w:tr>
        <w:tc>
          <w:tcPr>
            <w:tcW w:type="dxa" w:w="3024"/>
          </w:tcPr>
          <w:p>
            <w:r>
              <w:rPr>
                <w:rFonts w:ascii="Times New Roman" w:hAnsi="Times New Roman"/>
                <w:sz w:val="20"/>
              </w:rPr>
              <w:t>Exemple de sortie</w:t>
            </w:r>
          </w:p>
        </w:tc>
        <w:tc>
          <w:tcPr>
            <w:tcW w:type="dxa" w:w="3024"/>
          </w:tcPr>
          <w:p>
            <w:r>
              <w:rPr>
                <w:rFonts w:ascii="Times New Roman" w:hAnsi="Times New Roman"/>
                <w:sz w:val="20"/>
              </w:rPr>
              <w:t>['moi', 'manger', 'bien']</w:t>
            </w:r>
          </w:p>
        </w:tc>
        <w:tc>
          <w:tcPr>
            <w:tcW w:type="dxa" w:w="3024"/>
          </w:tcPr>
          <w:p>
            <w:r>
              <w:rPr>
                <w:rFonts w:ascii="Times New Roman" w:hAnsi="Times New Roman"/>
                <w:sz w:val="20"/>
              </w:rPr>
              <w:t>"Je mange bien."</w:t>
            </w:r>
          </w:p>
        </w:tc>
      </w:tr>
      <w:tr>
        <w:tc>
          <w:tcPr>
            <w:tcW w:type="dxa" w:w="3024"/>
          </w:tcPr>
          <w:p>
            <w:r>
              <w:rPr>
                <w:rFonts w:ascii="Times New Roman" w:hAnsi="Times New Roman"/>
                <w:sz w:val="20"/>
              </w:rPr>
              <w:t>Métrique principale</w:t>
            </w:r>
          </w:p>
        </w:tc>
        <w:tc>
          <w:tcPr>
            <w:tcW w:type="dxa" w:w="3024"/>
          </w:tcPr>
          <w:p>
            <w:r>
              <w:rPr>
                <w:rFonts w:ascii="Times New Roman" w:hAnsi="Times New Roman"/>
                <w:sz w:val="20"/>
              </w:rPr>
              <w:t>WER (↓ meilleur)</w:t>
            </w:r>
          </w:p>
        </w:tc>
        <w:tc>
          <w:tcPr>
            <w:tcW w:type="dxa" w:w="3024"/>
          </w:tcPr>
          <w:p>
            <w:r>
              <w:rPr>
                <w:rFonts w:ascii="Times New Roman" w:hAnsi="Times New Roman"/>
                <w:sz w:val="20"/>
              </w:rPr>
              <w:t>BLEU-4 (↑ meilleur)</w:t>
            </w:r>
          </w:p>
        </w:tc>
      </w:tr>
      <w:tr>
        <w:tc>
          <w:tcPr>
            <w:tcW w:type="dxa" w:w="3024"/>
          </w:tcPr>
          <w:p>
            <w:r>
              <w:rPr>
                <w:rFonts w:ascii="Times New Roman" w:hAnsi="Times New Roman"/>
                <w:sz w:val="20"/>
              </w:rPr>
              <w:t>Corpus de référence</w:t>
            </w:r>
          </w:p>
        </w:tc>
        <w:tc>
          <w:tcPr>
            <w:tcW w:type="dxa" w:w="3024"/>
          </w:tcPr>
          <w:p>
            <w:r>
              <w:rPr>
                <w:rFonts w:ascii="Times New Roman" w:hAnsi="Times New Roman"/>
                <w:sz w:val="20"/>
              </w:rPr>
              <w:t>PHOENIX-14, WLASL</w:t>
            </w:r>
          </w:p>
        </w:tc>
        <w:tc>
          <w:tcPr>
            <w:tcW w:type="dxa" w:w="3024"/>
          </w:tcPr>
          <w:p>
            <w:r>
              <w:rPr>
                <w:rFonts w:ascii="Times New Roman" w:hAnsi="Times New Roman"/>
                <w:sz w:val="20"/>
              </w:rPr>
              <w:t>PHOENIX-14T, CSL-Daily</w:t>
            </w:r>
          </w:p>
        </w:tc>
      </w:tr>
      <w:tr>
        <w:tc>
          <w:tcPr>
            <w:tcW w:type="dxa" w:w="3024"/>
          </w:tcPr>
          <w:p>
            <w:r>
              <w:rPr>
                <w:rFonts w:ascii="Times New Roman" w:hAnsi="Times New Roman"/>
                <w:sz w:val="20"/>
              </w:rPr>
              <w:t>Difficulté principale</w:t>
            </w:r>
          </w:p>
        </w:tc>
        <w:tc>
          <w:tcPr>
            <w:tcW w:type="dxa" w:w="3024"/>
          </w:tcPr>
          <w:p>
            <w:r>
              <w:rPr>
                <w:rFonts w:ascii="Times New Roman" w:hAnsi="Times New Roman"/>
                <w:sz w:val="20"/>
              </w:rPr>
              <w:t>Segmentation temporelle</w:t>
            </w:r>
          </w:p>
        </w:tc>
        <w:tc>
          <w:tcPr>
            <w:tcW w:type="dxa" w:w="3024"/>
          </w:tcPr>
          <w:p>
            <w:r>
              <w:rPr>
                <w:rFonts w:ascii="Times New Roman" w:hAnsi="Times New Roman"/>
                <w:sz w:val="20"/>
              </w:rPr>
              <w:t>Divergence grammaticale inter-langues</w:t>
            </w:r>
          </w:p>
        </w:tc>
      </w:tr>
    </w:tbl>
    <w:p>
      <w:pPr>
        <w:spacing w:before="40" w:after="200"/>
        <w:jc w:val="center"/>
      </w:pPr>
      <w:r>
        <w:rPr>
          <w:rFonts w:ascii="Times New Roman" w:hAnsi="Times New Roman"/>
          <w:i/>
          <w:sz w:val="20"/>
        </w:rPr>
        <w:t>Tableau 1 : Comparaison entre reconnaissance et traduction de la langue des signes</w:t>
      </w:r>
    </w:p>
    <w:p>
      <w:pPr>
        <w:spacing w:before="0" w:after="120"/>
        <w:ind w:firstLine="709"/>
        <w:jc w:val="both"/>
      </w:pPr>
      <w:r>
        <w:rPr>
          <w:rFonts w:ascii="Times New Roman" w:hAnsi="Times New Roman"/>
          <w:sz w:val="24"/>
        </w:rPr>
        <w:t>Notre système SignInterpreter V11 traite les deux tâches en pipeline : le modèle BiLSTM-CTC assure la reconnaissance (sortie : séquence de glosses), puis le module rule_translate assure la traduction vers le français. Cette distinction est fondamentale pour comprendre les choix architecturaux détaillés dans le chapitre 2.</w:t>
      </w:r>
    </w:p>
    <w:p>
      <w:pPr>
        <w:spacing w:before="280" w:after="120"/>
        <w:jc w:val="left"/>
      </w:pPr>
      <w:r>
        <w:rPr>
          <w:rFonts w:ascii="Times New Roman" w:hAnsi="Times New Roman"/>
          <w:b/>
          <w:sz w:val="28"/>
        </w:rPr>
        <w:t>3.2 Les approches traditionnelles (années 1990–2011)</w:t>
      </w:r>
    </w:p>
    <w:p>
      <w:pPr>
        <w:spacing w:before="0" w:after="120"/>
        <w:ind w:firstLine="709"/>
        <w:jc w:val="both"/>
      </w:pPr>
      <w:r>
        <w:rPr>
          <w:rFonts w:ascii="Times New Roman" w:hAnsi="Times New Roman"/>
          <w:sz w:val="24"/>
        </w:rPr>
        <w:t>Les premières tentatives de reconnaissance automatique de la langue des signes remontent aux années 1990, bien avant l'avènement du deep learning. Cette période est caractérisée par l'utilisation de capteurs spécialisés et de modèles statistiques artisanaux.</w:t>
      </w:r>
    </w:p>
    <w:p>
      <w:pPr>
        <w:spacing w:before="200" w:after="80"/>
        <w:jc w:val="left"/>
      </w:pPr>
      <w:r>
        <w:rPr>
          <w:rFonts w:ascii="Times New Roman" w:hAnsi="Times New Roman"/>
          <w:b/>
          <w:sz w:val="24"/>
        </w:rPr>
        <w:t>3.2.1 Les capteurs spécialisés</w:t>
      </w:r>
    </w:p>
    <w:p>
      <w:pPr>
        <w:spacing w:before="0" w:after="120"/>
        <w:ind w:firstLine="709"/>
        <w:jc w:val="both"/>
      </w:pPr>
      <w:r>
        <w:rPr>
          <w:rFonts w:ascii="Times New Roman" w:hAnsi="Times New Roman"/>
          <w:sz w:val="24"/>
        </w:rPr>
        <w:t>Les travaux pionniers de Fels &amp; Hinton (1993) reposaient sur des gants de données (data gloves), équipés de capteurs de flexion et de position mesurant la configuration de chaque doigt ainsi que l'orientation de la main. Ces gants, connectés à un réseau de neurones (Glove-Talk), permettaient de convertir les configurations manuelles en parole synthétisée. Bien qu'innovants, ces systèmes étaient limités à des vocabulaires réduits, coûteux, et imposaient une contrainte physique importante à l'utilisateur.</w:t>
      </w:r>
    </w:p>
    <w:p>
      <w:pPr>
        <w:spacing w:before="0" w:after="120"/>
        <w:ind w:firstLine="709"/>
        <w:jc w:val="both"/>
      </w:pPr>
      <w:r>
        <w:rPr>
          <w:rFonts w:ascii="Times New Roman" w:hAnsi="Times New Roman"/>
          <w:sz w:val="24"/>
        </w:rPr>
        <w:t>L'introduction des caméras de profondeur (RGB-D), notamment avec le capteur Microsoft Kinect (2010), a marqué une étape importante en permettant l'extraction de squelettes 3D en temps réel sans porter d'équipement. De nombreux travaux des années 2010-2015 ont exploité ces données 3D pour améliorer la robustesse à l'invariance de perspective (Chen et al., 2013 ; Yang et al., 2015).</w:t>
      </w:r>
    </w:p>
    <w:p>
      <w:pPr>
        <w:spacing w:before="200" w:after="80"/>
        <w:jc w:val="left"/>
      </w:pPr>
      <w:r>
        <w:rPr>
          <w:rFonts w:ascii="Times New Roman" w:hAnsi="Times New Roman"/>
          <w:b/>
          <w:sz w:val="24"/>
        </w:rPr>
        <w:t>3.2.2 Les modèles de Markov cachés (HMM)</w:t>
      </w:r>
    </w:p>
    <w:p>
      <w:pPr>
        <w:spacing w:before="0" w:after="120"/>
        <w:ind w:firstLine="709"/>
        <w:jc w:val="both"/>
      </w:pPr>
      <w:r>
        <w:rPr>
          <w:rFonts w:ascii="Times New Roman" w:hAnsi="Times New Roman"/>
          <w:sz w:val="24"/>
        </w:rPr>
        <w:t>Parallèlement aux avancées matérielles, les modèles statistiques dominaient l'approche algorithmique. Les modèles de Markov cachés (Hidden Markov Models — HMM), empruntés à la reconnaissance vocale, sont devenus la méthode de référence pour la reconnaissance continue de la langue des signes au début des années 2000 (Vogler &amp; Metaxas, 1999 ; Dreuw et al., 2007).</w:t>
      </w:r>
    </w:p>
    <w:p>
      <w:pPr>
        <w:spacing w:before="0" w:after="120"/>
        <w:ind w:firstLine="709"/>
        <w:jc w:val="both"/>
      </w:pPr>
      <w:r>
        <w:rPr>
          <w:rFonts w:ascii="Times New Roman" w:hAnsi="Times New Roman"/>
          <w:sz w:val="24"/>
        </w:rPr>
        <w:t>Dans ce paradigme, chaque signe est modélisé par un HMM dont les états représentent les phases du signe (préparation, noyau, rétractation). Les caractéristiques extraites des images — typiquement des descripteurs HOG (Histogram of Oriented Gradients) ou du flux optique — alimentent les modèles d'émission gaussiens. L'inférence utilise l'algorithme de Viterbi pour trouver la séquence d'états la plus probable.</w:t>
      </w:r>
    </w:p>
    <w:p>
      <w:pPr>
        <w:spacing w:before="0" w:after="120"/>
        <w:ind w:firstLine="709"/>
        <w:jc w:val="both"/>
      </w:pPr>
      <w:r>
        <w:rPr>
          <w:rFonts w:ascii="Times New Roman" w:hAnsi="Times New Roman"/>
          <w:sz w:val="24"/>
        </w:rPr>
        <w:t>Ces approches HMM ont atteint leurs limites sur les grands vocabulaires : elles nécessitaient un alignement manuel des données, ne capturaient pas les dépendances à long terme dans les séquences, et leurs performances se dégradaient rapidement à mesure que le vocabulaire s'élargissait. Koller et al. (2015) rapportent un WER de 34,3 % sur le corpus PHOENIX-14 multi-signataires avec un système GMM-HMM — un résultat qui a servi de référence de base pour les méthodes deep learning suivantes.</w:t>
      </w:r>
    </w:p>
    <w:p>
      <w:pPr>
        <w:spacing w:before="280" w:after="120"/>
        <w:jc w:val="left"/>
      </w:pPr>
      <w:r>
        <w:rPr>
          <w:rFonts w:ascii="Times New Roman" w:hAnsi="Times New Roman"/>
          <w:b/>
          <w:sz w:val="28"/>
        </w:rPr>
        <w:t>3.3 La révolution du deep learning (2012–2016)</w:t>
      </w:r>
    </w:p>
    <w:p>
      <w:pPr>
        <w:spacing w:before="0" w:after="120"/>
        <w:ind w:firstLine="709"/>
        <w:jc w:val="both"/>
      </w:pPr>
      <w:r>
        <w:rPr>
          <w:rFonts w:ascii="Times New Roman" w:hAnsi="Times New Roman"/>
          <w:sz w:val="24"/>
        </w:rPr>
        <w:t>L'année 2012 marque un tournant décisif pour la vision par ordinateur : AlexNet (Krizhevsky et al., 2012) remporte la compétition ImageNet avec un taux d'erreur inférieur de 10 points absolus à toutes les méthodes précédentes, démontrant la supériorité des réseaux de neurones convolutifs (CNN) profonds pour la classification d'images. Cette révolution a rapidement influencé la recherche en reconnaissance de la langue des signes.</w:t>
      </w:r>
    </w:p>
    <w:p>
      <w:pPr>
        <w:spacing w:before="200" w:after="80"/>
        <w:jc w:val="left"/>
      </w:pPr>
      <w:r>
        <w:rPr>
          <w:rFonts w:ascii="Times New Roman" w:hAnsi="Times New Roman"/>
          <w:b/>
          <w:sz w:val="24"/>
        </w:rPr>
        <w:t>3.3.1 Les réseaux convolutifs pour la classification de signes isolés</w:t>
      </w:r>
    </w:p>
    <w:p>
      <w:pPr>
        <w:spacing w:before="0" w:after="120"/>
        <w:ind w:firstLine="709"/>
        <w:jc w:val="both"/>
      </w:pPr>
      <w:r>
        <w:rPr>
          <w:rFonts w:ascii="Times New Roman" w:hAnsi="Times New Roman"/>
          <w:sz w:val="24"/>
        </w:rPr>
        <w:t>Les premiers travaux appliquant les CNN à la langue des signes portaient sur la reconnaissance de signes isolés — c'est-à-dire la classification d'une image ou d'une courte séquence représentant un signe unique. Ces CNN, pré-entraînés sur ImageNet (transfer learning), étaient fine-tunés sur des images de mains et de corps signants, produisant des représentations bien plus riches que les descripteurs artisanaux HOG ou SIFT utilisés précédemment.</w:t>
      </w:r>
    </w:p>
    <w:p>
      <w:pPr>
        <w:spacing w:before="0" w:after="120"/>
        <w:ind w:firstLine="709"/>
        <w:jc w:val="both"/>
      </w:pPr>
      <w:r>
        <w:rPr>
          <w:rFonts w:ascii="Times New Roman" w:hAnsi="Times New Roman"/>
          <w:sz w:val="24"/>
        </w:rPr>
        <w:t>Le transfert d'apprentissage s'est révélé particulièrement efficace dans ce contexte : les filtres convolutifs appris sur des images naturelles capturent des structures (bords, textures, formes) directement utiles pour décrire les configurations de mains. Des architectures comme VGGNet (Simonyan &amp; Zisserman, 2014) et ResNet (He et al., 2016) sont devenues les encodeurs spatiaux de référence dans les systèmes hybrides CNN+séquentiels.</w:t>
      </w:r>
    </w:p>
    <w:p>
      <w:pPr>
        <w:spacing w:before="200" w:after="80"/>
        <w:jc w:val="left"/>
      </w:pPr>
      <w:r>
        <w:rPr>
          <w:rFonts w:ascii="Times New Roman" w:hAnsi="Times New Roman"/>
          <w:b/>
          <w:sz w:val="24"/>
        </w:rPr>
        <w:t>3.3.2 La combinaison CNN + modèles séquentiels</w:t>
      </w:r>
    </w:p>
    <w:p>
      <w:pPr>
        <w:spacing w:before="0" w:after="120"/>
        <w:ind w:firstLine="709"/>
        <w:jc w:val="both"/>
      </w:pPr>
      <w:r>
        <w:rPr>
          <w:rFonts w:ascii="Times New Roman" w:hAnsi="Times New Roman"/>
          <w:sz w:val="24"/>
        </w:rPr>
        <w:t>La reconnaissance continue requiert un modèle temporel en plus de l'encodeur spatial. La combinaison naturelle — CNN pour les features spatiales frame par frame, puis LSTM ou HMM pour la modélisation temporelle — est devenue l'architecture dominante de 2015 à 2019.</w:t>
      </w:r>
    </w:p>
    <w:p>
      <w:pPr>
        <w:spacing w:before="0" w:after="120"/>
        <w:ind w:firstLine="709"/>
        <w:jc w:val="both"/>
      </w:pPr>
      <w:r>
        <w:rPr>
          <w:rFonts w:ascii="Times New Roman" w:hAnsi="Times New Roman"/>
          <w:sz w:val="24"/>
        </w:rPr>
        <w:t>Koller et al. (2016) proposent Deep Sign, une architecture hybride CNN-HMM qui remplace les modèles d'émission gaussiens du HMM classique par un CNN. Sur le corpus de référence RWTH-PHOENIX-Weather 2014, cette approche atteint un WER de 34,6 % sur le jeu de test — soit une réduction de 17 points absolus par rapport au meilleur système HMM sans CNN de l'époque (51,6 % WER). Il s'agit de l'une des premières démonstrations à grande échelle de la supériorité des CNN sur les descripteurs artisanaux pour la langue des signes continue.</w:t>
      </w:r>
    </w:p>
    <w:p>
      <w:pPr>
        <w:spacing w:before="280" w:after="120"/>
        <w:jc w:val="left"/>
      </w:pPr>
      <w:r>
        <w:rPr>
          <w:rFonts w:ascii="Times New Roman" w:hAnsi="Times New Roman"/>
          <w:b/>
          <w:sz w:val="28"/>
        </w:rPr>
        <w:t>3.4 L'apport de la perte CTC pour la reconnaissance continue (2016–2020)</w:t>
      </w:r>
    </w:p>
    <w:p>
      <w:pPr>
        <w:spacing w:before="0" w:after="120"/>
        <w:ind w:firstLine="709"/>
        <w:jc w:val="both"/>
      </w:pPr>
      <w:r>
        <w:rPr>
          <w:rFonts w:ascii="Times New Roman" w:hAnsi="Times New Roman"/>
          <w:sz w:val="24"/>
        </w:rPr>
        <w:t>Un verrou majeur de la reconnaissance continue est l'alignement temporel : pour entraîner un modèle séquence-à-séquence, il faut savoir à quel instant précis commence et finit chaque signe dans la vidéo. Cette annotation est extrêmement coûteuse à produire manuellement. La perte CTC (Connectionist Temporal Classification), proposée par Graves et al. (2006) initialement pour la reconnaissance vocale, apporte une solution élégante à ce problème.</w:t>
      </w:r>
    </w:p>
    <w:p>
      <w:pPr>
        <w:spacing w:before="200" w:after="80"/>
        <w:jc w:val="left"/>
      </w:pPr>
      <w:r>
        <w:rPr>
          <w:rFonts w:ascii="Times New Roman" w:hAnsi="Times New Roman"/>
          <w:b/>
          <w:sz w:val="24"/>
        </w:rPr>
        <w:t>3.4.1 Principe de la CTC</w:t>
      </w:r>
    </w:p>
    <w:p>
      <w:pPr>
        <w:spacing w:before="0" w:after="120"/>
        <w:ind w:firstLine="709"/>
        <w:jc w:val="both"/>
      </w:pPr>
      <w:r>
        <w:rPr>
          <w:rFonts w:ascii="Times New Roman" w:hAnsi="Times New Roman"/>
          <w:sz w:val="24"/>
        </w:rPr>
        <w:t>La perte CTC introduit un token spécial 'blank' (noté ε) et marginalise sur l'ensemble de tous les alignements possibles entre la séquence d'entrée (frames vidéo) et la séquence de labels cibles (glosses). Formellement, si x est la séquence d'entrée de longueur T et y la séquence de labels de longueur L (avec T &gt;&gt; L), la perte CTC est définie par : L_CTC = -ln P(y|x), où P(y|x) est la somme des probabilités de tous les chemins π de longueur T qui se collapsent en y après suppression des blanks et des répétitions consécutives.</w:t>
      </w:r>
    </w:p>
    <w:p>
      <w:pPr>
        <w:spacing w:before="0" w:after="120"/>
        <w:ind w:firstLine="709"/>
        <w:jc w:val="both"/>
      </w:pPr>
      <w:r>
        <w:rPr>
          <w:rFonts w:ascii="Times New Roman" w:hAnsi="Times New Roman"/>
          <w:sz w:val="24"/>
        </w:rPr>
        <w:t>En pratique, cela signifie que le modèle apprend à produire des pics de probabilité aux instants correspondant à chaque signe, sans qu'on lui indique ces instants pendant l'entraînement. Le décodage greedy — sélectionner à chaque frame le label le plus probable, puis supprimer les blanks et dédoublons — est la méthode d'inférence la plus courante pour son faible coût computationnel.</w:t>
      </w:r>
    </w:p>
    <w:p>
      <w:pPr>
        <w:spacing w:before="200" w:after="80"/>
        <w:jc w:val="left"/>
      </w:pPr>
      <w:r>
        <w:rPr>
          <w:rFonts w:ascii="Times New Roman" w:hAnsi="Times New Roman"/>
          <w:b/>
          <w:sz w:val="24"/>
        </w:rPr>
        <w:t>3.4.2 Re-Sign : CTC appliqué à la langue des signes</w:t>
      </w:r>
    </w:p>
    <w:p>
      <w:pPr>
        <w:spacing w:before="0" w:after="120"/>
        <w:ind w:firstLine="709"/>
        <w:jc w:val="both"/>
      </w:pPr>
      <w:r>
        <w:rPr>
          <w:rFonts w:ascii="Times New Roman" w:hAnsi="Times New Roman"/>
          <w:sz w:val="24"/>
        </w:rPr>
        <w:t>Koller et al. (2017) introduisent Re-Sign (Re-Aligned End-to-end Sequence Modelling with Deep Recurrent CNN-HMMs), qui combine un encodeur CNN avec un LSTM récurrent et la perte CTC dans un pipeline d'entraînement itératif par ré-alignement. Cette architecture atteint un WER de 26,8 % sur le jeu de test de PHOENIX-14 — soit une amélioration de 7,8 points absolus par rapport à Deep Sign (34,6 %). Cette réduction représente une amélioration relative de 22,5 % et établit CTC comme le paradigme dominant pour la CSLR.</w:t>
      </w:r>
    </w:p>
    <w:p>
      <w:pPr>
        <w:spacing w:before="0" w:after="120"/>
        <w:ind w:firstLine="709"/>
        <w:jc w:val="both"/>
      </w:pPr>
      <w:r>
        <w:rPr>
          <w:rFonts w:ascii="Times New Roman" w:hAnsi="Times New Roman"/>
          <w:sz w:val="24"/>
        </w:rPr>
        <w:t>Un avantage déterminant de CTC dans ce contexte est qu'il n'exige pas d'annotation temporelle fine : seule la séquence de glosses (dans l'ordre) est nécessaire, sans qu'on précise quand commence et finit chaque signe. Cette propriété est cruciale pour les corpus peu dotés comme la langue des signes béninoise, où une annotation temporelle serait prohibitivement coûteuse.</w:t>
      </w:r>
    </w:p>
    <w:p>
      <w:pPr>
        <w:spacing w:before="280" w:after="120"/>
        <w:jc w:val="left"/>
      </w:pPr>
      <w:r>
        <w:rPr>
          <w:rFonts w:ascii="Times New Roman" w:hAnsi="Times New Roman"/>
          <w:b/>
          <w:sz w:val="28"/>
        </w:rPr>
        <w:t>3.5 Les Transformers et la traduction bout-en-bout (2020–2022)</w:t>
      </w:r>
    </w:p>
    <w:p>
      <w:pPr>
        <w:spacing w:before="0" w:after="120"/>
        <w:ind w:firstLine="709"/>
        <w:jc w:val="both"/>
      </w:pPr>
      <w:r>
        <w:rPr>
          <w:rFonts w:ascii="Times New Roman" w:hAnsi="Times New Roman"/>
          <w:sz w:val="24"/>
        </w:rPr>
        <w:t>L'architecture Transformer (Vaswani et al., 2017), basée sur le mécanisme d'auto-attention multi-têtes, a profondément transformé le traitement du langage naturel avant d'être adoptée pour la langue des signes. Sa capacité à capturer des dépendances à longue portée dans les séquences, sans la contrainte de localité des convolutions ni la séquentialité des LSTM, en fait un candidat idéal pour modéliser la structure complexe de la langue des signes.</w:t>
      </w:r>
    </w:p>
    <w:p>
      <w:pPr>
        <w:spacing w:before="200" w:after="80"/>
        <w:jc w:val="left"/>
      </w:pPr>
      <w:r>
        <w:rPr>
          <w:rFonts w:ascii="Times New Roman" w:hAnsi="Times New Roman"/>
          <w:b/>
          <w:sz w:val="24"/>
        </w:rPr>
        <w:t>3.5.1 Sign Language Transformers (Camgoz et al., 2020)</w:t>
      </w:r>
    </w:p>
    <w:p>
      <w:pPr>
        <w:spacing w:before="0" w:after="120"/>
        <w:ind w:firstLine="709"/>
        <w:jc w:val="both"/>
      </w:pPr>
      <w:r>
        <w:rPr>
          <w:rFonts w:ascii="Times New Roman" w:hAnsi="Times New Roman"/>
          <w:sz w:val="24"/>
        </w:rPr>
        <w:t>Le travail fondateur de Camgoz et al. (2020), présenté à CVPR, propose la première architecture Transformer de bout en bout pour la reconnaissance et la traduction conjointes de la langue des signes. L'architecture Sign Language Transformers (SL-Trafo) se compose d'un encodeur visuel (CNN), d'un encodeur Transformer pour les séquences de features, et d'un décodeur Transformer pour la génération de texte — le tout entraîné conjointement avec une combinaison de pertes CTC et cross-entropie.</w:t>
      </w:r>
    </w:p>
    <w:p>
      <w:pPr>
        <w:spacing w:before="0" w:after="120"/>
        <w:ind w:firstLine="709"/>
        <w:jc w:val="both"/>
      </w:pPr>
      <w:r>
        <w:rPr>
          <w:rFonts w:ascii="Times New Roman" w:hAnsi="Times New Roman"/>
          <w:sz w:val="24"/>
        </w:rPr>
        <w:t>Sur le corpus PHOENIX-14T (qui fournit à la fois les annotations en glosses et les traductions en allemand), le modèle SL-Trafo dans sa configuration Sign2(Gloss+Text) obtient les résultats suivants :</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b/>
                <w:sz w:val="20"/>
              </w:rPr>
              <w:t>Métrique</w:t>
            </w:r>
          </w:p>
        </w:tc>
        <w:tc>
          <w:tcPr>
            <w:tcW w:type="dxa" w:w="3024"/>
          </w:tcPr>
          <w:p>
            <w:pPr>
              <w:jc w:val="center"/>
            </w:pPr>
            <w:r>
              <w:rPr>
                <w:rFonts w:ascii="Times New Roman" w:hAnsi="Times New Roman"/>
                <w:b/>
                <w:sz w:val="20"/>
              </w:rPr>
              <w:t>Jeu de développement</w:t>
            </w:r>
          </w:p>
        </w:tc>
        <w:tc>
          <w:tcPr>
            <w:tcW w:type="dxa" w:w="3024"/>
          </w:tcPr>
          <w:p>
            <w:pPr>
              <w:jc w:val="center"/>
            </w:pPr>
            <w:r>
              <w:rPr>
                <w:rFonts w:ascii="Times New Roman" w:hAnsi="Times New Roman"/>
                <w:b/>
                <w:sz w:val="20"/>
              </w:rPr>
              <w:t>Jeu de test</w:t>
            </w:r>
          </w:p>
        </w:tc>
      </w:tr>
      <w:tr>
        <w:tc>
          <w:tcPr>
            <w:tcW w:type="dxa" w:w="3024"/>
          </w:tcPr>
          <w:p>
            <w:r>
              <w:rPr>
                <w:rFonts w:ascii="Times New Roman" w:hAnsi="Times New Roman"/>
                <w:sz w:val="20"/>
              </w:rPr>
              <w:t>WER (reconnaissance glosses)</w:t>
            </w:r>
          </w:p>
        </w:tc>
        <w:tc>
          <w:tcPr>
            <w:tcW w:type="dxa" w:w="3024"/>
          </w:tcPr>
          <w:p>
            <w:r>
              <w:rPr>
                <w:rFonts w:ascii="Times New Roman" w:hAnsi="Times New Roman"/>
                <w:sz w:val="20"/>
              </w:rPr>
              <w:t>24,49 %</w:t>
            </w:r>
          </w:p>
        </w:tc>
        <w:tc>
          <w:tcPr>
            <w:tcW w:type="dxa" w:w="3024"/>
          </w:tcPr>
          <w:p>
            <w:r>
              <w:rPr>
                <w:rFonts w:ascii="Times New Roman" w:hAnsi="Times New Roman"/>
                <w:sz w:val="20"/>
              </w:rPr>
              <w:t>26,16 %</w:t>
            </w:r>
          </w:p>
        </w:tc>
      </w:tr>
      <w:tr>
        <w:tc>
          <w:tcPr>
            <w:tcW w:type="dxa" w:w="3024"/>
          </w:tcPr>
          <w:p>
            <w:r>
              <w:rPr>
                <w:rFonts w:ascii="Times New Roman" w:hAnsi="Times New Roman"/>
                <w:sz w:val="20"/>
              </w:rPr>
              <w:t>BLEU-1</w:t>
            </w:r>
          </w:p>
        </w:tc>
        <w:tc>
          <w:tcPr>
            <w:tcW w:type="dxa" w:w="3024"/>
          </w:tcPr>
          <w:p>
            <w:r>
              <w:rPr>
                <w:rFonts w:ascii="Times New Roman" w:hAnsi="Times New Roman"/>
                <w:sz w:val="20"/>
              </w:rPr>
              <w:t>47,20</w:t>
            </w:r>
          </w:p>
        </w:tc>
        <w:tc>
          <w:tcPr>
            <w:tcW w:type="dxa" w:w="3024"/>
          </w:tcPr>
          <w:p>
            <w:r>
              <w:rPr>
                <w:rFonts w:ascii="Times New Roman" w:hAnsi="Times New Roman"/>
                <w:sz w:val="20"/>
              </w:rPr>
              <w:t>46,61</w:t>
            </w:r>
          </w:p>
        </w:tc>
      </w:tr>
      <w:tr>
        <w:tc>
          <w:tcPr>
            <w:tcW w:type="dxa" w:w="3024"/>
          </w:tcPr>
          <w:p>
            <w:r>
              <w:rPr>
                <w:rFonts w:ascii="Times New Roman" w:hAnsi="Times New Roman"/>
                <w:sz w:val="20"/>
              </w:rPr>
              <w:t>BLEU-2</w:t>
            </w:r>
          </w:p>
        </w:tc>
        <w:tc>
          <w:tcPr>
            <w:tcW w:type="dxa" w:w="3024"/>
          </w:tcPr>
          <w:p>
            <w:r>
              <w:rPr>
                <w:rFonts w:ascii="Times New Roman" w:hAnsi="Times New Roman"/>
                <w:sz w:val="20"/>
              </w:rPr>
              <w:t>34,46</w:t>
            </w:r>
          </w:p>
        </w:tc>
        <w:tc>
          <w:tcPr>
            <w:tcW w:type="dxa" w:w="3024"/>
          </w:tcPr>
          <w:p>
            <w:r>
              <w:rPr>
                <w:rFonts w:ascii="Times New Roman" w:hAnsi="Times New Roman"/>
                <w:sz w:val="20"/>
              </w:rPr>
              <w:t>33,73</w:t>
            </w:r>
          </w:p>
        </w:tc>
      </w:tr>
      <w:tr>
        <w:tc>
          <w:tcPr>
            <w:tcW w:type="dxa" w:w="3024"/>
          </w:tcPr>
          <w:p>
            <w:r>
              <w:rPr>
                <w:rFonts w:ascii="Times New Roman" w:hAnsi="Times New Roman"/>
                <w:sz w:val="20"/>
              </w:rPr>
              <w:t>BLEU-3</w:t>
            </w:r>
          </w:p>
        </w:tc>
        <w:tc>
          <w:tcPr>
            <w:tcW w:type="dxa" w:w="3024"/>
          </w:tcPr>
          <w:p>
            <w:r>
              <w:rPr>
                <w:rFonts w:ascii="Times New Roman" w:hAnsi="Times New Roman"/>
                <w:sz w:val="20"/>
              </w:rPr>
              <w:t>26,75</w:t>
            </w:r>
          </w:p>
        </w:tc>
        <w:tc>
          <w:tcPr>
            <w:tcW w:type="dxa" w:w="3024"/>
          </w:tcPr>
          <w:p>
            <w:r>
              <w:rPr>
                <w:rFonts w:ascii="Times New Roman" w:hAnsi="Times New Roman"/>
                <w:sz w:val="20"/>
              </w:rPr>
              <w:t>26,19</w:t>
            </w:r>
          </w:p>
        </w:tc>
      </w:tr>
      <w:tr>
        <w:tc>
          <w:tcPr>
            <w:tcW w:type="dxa" w:w="3024"/>
          </w:tcPr>
          <w:p>
            <w:r>
              <w:rPr>
                <w:rFonts w:ascii="Times New Roman" w:hAnsi="Times New Roman"/>
                <w:sz w:val="20"/>
              </w:rPr>
              <w:t>BLEU-4</w:t>
            </w:r>
          </w:p>
        </w:tc>
        <w:tc>
          <w:tcPr>
            <w:tcW w:type="dxa" w:w="3024"/>
          </w:tcPr>
          <w:p>
            <w:r>
              <w:rPr>
                <w:rFonts w:ascii="Times New Roman" w:hAnsi="Times New Roman"/>
                <w:sz w:val="20"/>
              </w:rPr>
              <w:t>21,80</w:t>
            </w:r>
          </w:p>
        </w:tc>
        <w:tc>
          <w:tcPr>
            <w:tcW w:type="dxa" w:w="3024"/>
          </w:tcPr>
          <w:p>
            <w:r>
              <w:rPr>
                <w:rFonts w:ascii="Times New Roman" w:hAnsi="Times New Roman"/>
                <w:sz w:val="20"/>
              </w:rPr>
              <w:t>21,32</w:t>
            </w:r>
          </w:p>
        </w:tc>
      </w:tr>
    </w:tbl>
    <w:p>
      <w:pPr>
        <w:spacing w:before="40" w:after="200"/>
        <w:jc w:val="center"/>
      </w:pPr>
      <w:r>
        <w:rPr>
          <w:rFonts w:ascii="Times New Roman" w:hAnsi="Times New Roman"/>
          <w:i/>
          <w:sz w:val="20"/>
        </w:rPr>
        <w:t>Tableau 2 : Résultats de Sign Language Transformers sur PHOENIX-14T (Camgoz et al., CVPR 2020)</w:t>
      </w:r>
    </w:p>
    <w:p>
      <w:pPr>
        <w:spacing w:before="0" w:after="120"/>
        <w:ind w:firstLine="709"/>
        <w:jc w:val="both"/>
      </w:pPr>
      <w:r>
        <w:rPr>
          <w:rFonts w:ascii="Times New Roman" w:hAnsi="Times New Roman"/>
          <w:sz w:val="24"/>
        </w:rPr>
        <w:t>Ces résultats ont établi une nouvelle référence pour la traduction de la langue des signes et ont ouvert la voie à une prolifération de travaux combinant Transformer et CTC. L'article est devenu l'un des plus cités dans le domaine avec plus de 600 citations recensées à ce jour.</w:t>
      </w:r>
    </w:p>
    <w:p>
      <w:pPr>
        <w:spacing w:before="280" w:after="120"/>
        <w:jc w:val="left"/>
      </w:pPr>
      <w:r>
        <w:rPr>
          <w:rFonts w:ascii="Times New Roman" w:hAnsi="Times New Roman"/>
          <w:b/>
          <w:sz w:val="28"/>
        </w:rPr>
        <w:t>3.6 Avancées récentes et état de l'art actuel (2022–2025)</w:t>
      </w:r>
    </w:p>
    <w:p>
      <w:pPr>
        <w:spacing w:before="0" w:after="120"/>
        <w:ind w:firstLine="709"/>
        <w:jc w:val="both"/>
      </w:pPr>
      <w:r>
        <w:rPr>
          <w:rFonts w:ascii="Times New Roman" w:hAnsi="Times New Roman"/>
          <w:sz w:val="24"/>
        </w:rPr>
        <w:t>La période 2022-2025 est marquée par une progression continue des performances sur les benchmarks de référence, ainsi que par l'émergence de nouvelles directions : approches gloss-free, modèles de grande taille, et systèmes spécifiques pour les langues des signes peu dotées.</w:t>
      </w:r>
    </w:p>
    <w:p>
      <w:pPr>
        <w:spacing w:before="200" w:after="80"/>
        <w:jc w:val="left"/>
      </w:pPr>
      <w:r>
        <w:rPr>
          <w:rFonts w:ascii="Times New Roman" w:hAnsi="Times New Roman"/>
          <w:b/>
          <w:sz w:val="24"/>
        </w:rPr>
        <w:t>3.6.1 Progression sur PHOENIX-14</w:t>
      </w:r>
    </w:p>
    <w:p>
      <w:pPr>
        <w:spacing w:before="0" w:after="120"/>
        <w:ind w:firstLine="709"/>
        <w:jc w:val="both"/>
      </w:pPr>
      <w:r>
        <w:rPr>
          <w:rFonts w:ascii="Times New Roman" w:hAnsi="Times New Roman"/>
          <w:sz w:val="24"/>
        </w:rPr>
        <w:t>Le tableau suivant synthétise la progression des performances sur le benchmark de référence PHOENIX-14 (tâche de reconnaissance continue multi-signataires), mesuré en WER (Word Error Rate). Toutes les valeurs proviennent des publications originales.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rFonts w:ascii="Times New Roman" w:hAnsi="Times New Roman"/>
                <w:b/>
                <w:sz w:val="20"/>
              </w:rPr>
              <w:t>Méthode</w:t>
            </w:r>
          </w:p>
        </w:tc>
        <w:tc>
          <w:tcPr>
            <w:tcW w:type="dxa" w:w="1814"/>
          </w:tcPr>
          <w:p>
            <w:pPr>
              <w:jc w:val="center"/>
            </w:pPr>
            <w:r>
              <w:rPr>
                <w:rFonts w:ascii="Times New Roman" w:hAnsi="Times New Roman"/>
                <w:b/>
                <w:sz w:val="20"/>
              </w:rPr>
              <w:t>Auteurs</w:t>
            </w:r>
          </w:p>
        </w:tc>
        <w:tc>
          <w:tcPr>
            <w:tcW w:type="dxa" w:w="1814"/>
          </w:tcPr>
          <w:p>
            <w:pPr>
              <w:jc w:val="center"/>
            </w:pPr>
            <w:r>
              <w:rPr>
                <w:rFonts w:ascii="Times New Roman" w:hAnsi="Times New Roman"/>
                <w:b/>
                <w:sz w:val="20"/>
              </w:rPr>
              <w:t>Année</w:t>
            </w:r>
          </w:p>
        </w:tc>
        <w:tc>
          <w:tcPr>
            <w:tcW w:type="dxa" w:w="1814"/>
          </w:tcPr>
          <w:p>
            <w:pPr>
              <w:jc w:val="center"/>
            </w:pPr>
            <w:r>
              <w:rPr>
                <w:rFonts w:ascii="Times New Roman" w:hAnsi="Times New Roman"/>
                <w:b/>
                <w:sz w:val="20"/>
              </w:rPr>
              <w:t>WER Dev (%)</w:t>
            </w:r>
          </w:p>
        </w:tc>
        <w:tc>
          <w:tcPr>
            <w:tcW w:type="dxa" w:w="1814"/>
          </w:tcPr>
          <w:p>
            <w:pPr>
              <w:jc w:val="center"/>
            </w:pPr>
            <w:r>
              <w:rPr>
                <w:rFonts w:ascii="Times New Roman" w:hAnsi="Times New Roman"/>
                <w:b/>
                <w:sz w:val="20"/>
              </w:rPr>
              <w:t>WER Test (%)</w:t>
            </w:r>
          </w:p>
        </w:tc>
      </w:tr>
      <w:tr>
        <w:tc>
          <w:tcPr>
            <w:tcW w:type="dxa" w:w="1814"/>
          </w:tcPr>
          <w:p>
            <w:r>
              <w:rPr>
                <w:rFonts w:ascii="Times New Roman" w:hAnsi="Times New Roman"/>
                <w:sz w:val="20"/>
              </w:rPr>
              <w:t>GMM-HMM (baseline)</w:t>
            </w:r>
          </w:p>
        </w:tc>
        <w:tc>
          <w:tcPr>
            <w:tcW w:type="dxa" w:w="1814"/>
          </w:tcPr>
          <w:p>
            <w:r>
              <w:rPr>
                <w:rFonts w:ascii="Times New Roman" w:hAnsi="Times New Roman"/>
                <w:sz w:val="20"/>
              </w:rPr>
              <w:t>Koller et al.</w:t>
            </w:r>
          </w:p>
        </w:tc>
        <w:tc>
          <w:tcPr>
            <w:tcW w:type="dxa" w:w="1814"/>
          </w:tcPr>
          <w:p>
            <w:r>
              <w:rPr>
                <w:rFonts w:ascii="Times New Roman" w:hAnsi="Times New Roman"/>
                <w:sz w:val="20"/>
              </w:rPr>
              <w:t>2015</w:t>
            </w:r>
          </w:p>
        </w:tc>
        <w:tc>
          <w:tcPr>
            <w:tcW w:type="dxa" w:w="1814"/>
          </w:tcPr>
          <w:p>
            <w:r>
              <w:rPr>
                <w:rFonts w:ascii="Times New Roman" w:hAnsi="Times New Roman"/>
                <w:sz w:val="20"/>
              </w:rPr>
              <w:t>—</w:t>
            </w:r>
          </w:p>
        </w:tc>
        <w:tc>
          <w:tcPr>
            <w:tcW w:type="dxa" w:w="1814"/>
          </w:tcPr>
          <w:p>
            <w:r>
              <w:rPr>
                <w:rFonts w:ascii="Times New Roman" w:hAnsi="Times New Roman"/>
                <w:sz w:val="20"/>
              </w:rPr>
              <w:t>34,3</w:t>
            </w:r>
          </w:p>
        </w:tc>
      </w:tr>
      <w:tr>
        <w:tc>
          <w:tcPr>
            <w:tcW w:type="dxa" w:w="1814"/>
          </w:tcPr>
          <w:p>
            <w:r>
              <w:rPr>
                <w:rFonts w:ascii="Times New Roman" w:hAnsi="Times New Roman"/>
                <w:sz w:val="20"/>
              </w:rPr>
              <w:t>Deep Sign (CNN-HMM)</w:t>
            </w:r>
          </w:p>
        </w:tc>
        <w:tc>
          <w:tcPr>
            <w:tcW w:type="dxa" w:w="1814"/>
          </w:tcPr>
          <w:p>
            <w:r>
              <w:rPr>
                <w:rFonts w:ascii="Times New Roman" w:hAnsi="Times New Roman"/>
                <w:sz w:val="20"/>
              </w:rPr>
              <w:t>Koller et al.</w:t>
            </w:r>
          </w:p>
        </w:tc>
        <w:tc>
          <w:tcPr>
            <w:tcW w:type="dxa" w:w="1814"/>
          </w:tcPr>
          <w:p>
            <w:r>
              <w:rPr>
                <w:rFonts w:ascii="Times New Roman" w:hAnsi="Times New Roman"/>
                <w:sz w:val="20"/>
              </w:rPr>
              <w:t>2016</w:t>
            </w:r>
          </w:p>
        </w:tc>
        <w:tc>
          <w:tcPr>
            <w:tcW w:type="dxa" w:w="1814"/>
          </w:tcPr>
          <w:p>
            <w:r>
              <w:rPr>
                <w:rFonts w:ascii="Times New Roman" w:hAnsi="Times New Roman"/>
                <w:sz w:val="20"/>
              </w:rPr>
              <w:t>33,6</w:t>
            </w:r>
          </w:p>
        </w:tc>
        <w:tc>
          <w:tcPr>
            <w:tcW w:type="dxa" w:w="1814"/>
          </w:tcPr>
          <w:p>
            <w:r>
              <w:rPr>
                <w:rFonts w:ascii="Times New Roman" w:hAnsi="Times New Roman"/>
                <w:sz w:val="20"/>
              </w:rPr>
              <w:t>34,6</w:t>
            </w:r>
          </w:p>
        </w:tc>
      </w:tr>
      <w:tr>
        <w:tc>
          <w:tcPr>
            <w:tcW w:type="dxa" w:w="1814"/>
          </w:tcPr>
          <w:p>
            <w:r>
              <w:rPr>
                <w:rFonts w:ascii="Times New Roman" w:hAnsi="Times New Roman"/>
                <w:sz w:val="20"/>
              </w:rPr>
              <w:t>Re-Sign (RCNN-HMM + CTC)</w:t>
            </w:r>
          </w:p>
        </w:tc>
        <w:tc>
          <w:tcPr>
            <w:tcW w:type="dxa" w:w="1814"/>
          </w:tcPr>
          <w:p>
            <w:r>
              <w:rPr>
                <w:rFonts w:ascii="Times New Roman" w:hAnsi="Times New Roman"/>
                <w:sz w:val="20"/>
              </w:rPr>
              <w:t>Koller et al.</w:t>
            </w:r>
          </w:p>
        </w:tc>
        <w:tc>
          <w:tcPr>
            <w:tcW w:type="dxa" w:w="1814"/>
          </w:tcPr>
          <w:p>
            <w:r>
              <w:rPr>
                <w:rFonts w:ascii="Times New Roman" w:hAnsi="Times New Roman"/>
                <w:sz w:val="20"/>
              </w:rPr>
              <w:t>2017</w:t>
            </w:r>
          </w:p>
        </w:tc>
        <w:tc>
          <w:tcPr>
            <w:tcW w:type="dxa" w:w="1814"/>
          </w:tcPr>
          <w:p>
            <w:r>
              <w:rPr>
                <w:rFonts w:ascii="Times New Roman" w:hAnsi="Times New Roman"/>
                <w:sz w:val="20"/>
              </w:rPr>
              <w:t>27,1</w:t>
            </w:r>
          </w:p>
        </w:tc>
        <w:tc>
          <w:tcPr>
            <w:tcW w:type="dxa" w:w="1814"/>
          </w:tcPr>
          <w:p>
            <w:r>
              <w:rPr>
                <w:rFonts w:ascii="Times New Roman" w:hAnsi="Times New Roman"/>
                <w:sz w:val="20"/>
              </w:rPr>
              <w:t>26,8</w:t>
            </w:r>
          </w:p>
        </w:tc>
      </w:tr>
      <w:tr>
        <w:tc>
          <w:tcPr>
            <w:tcW w:type="dxa" w:w="1814"/>
          </w:tcPr>
          <w:p>
            <w:r>
              <w:rPr>
                <w:rFonts w:ascii="Times New Roman" w:hAnsi="Times New Roman"/>
                <w:sz w:val="20"/>
              </w:rPr>
              <w:t>VAC</w:t>
            </w:r>
          </w:p>
        </w:tc>
        <w:tc>
          <w:tcPr>
            <w:tcW w:type="dxa" w:w="1814"/>
          </w:tcPr>
          <w:p>
            <w:r>
              <w:rPr>
                <w:rFonts w:ascii="Times New Roman" w:hAnsi="Times New Roman"/>
                <w:sz w:val="20"/>
              </w:rPr>
              <w:t>Min et al.</w:t>
            </w:r>
          </w:p>
        </w:tc>
        <w:tc>
          <w:tcPr>
            <w:tcW w:type="dxa" w:w="1814"/>
          </w:tcPr>
          <w:p>
            <w:r>
              <w:rPr>
                <w:rFonts w:ascii="Times New Roman" w:hAnsi="Times New Roman"/>
                <w:sz w:val="20"/>
              </w:rPr>
              <w:t>2021</w:t>
            </w:r>
          </w:p>
        </w:tc>
        <w:tc>
          <w:tcPr>
            <w:tcW w:type="dxa" w:w="1814"/>
          </w:tcPr>
          <w:p>
            <w:r>
              <w:rPr>
                <w:rFonts w:ascii="Times New Roman" w:hAnsi="Times New Roman"/>
                <w:sz w:val="20"/>
              </w:rPr>
              <w:t>21,2</w:t>
            </w:r>
          </w:p>
        </w:tc>
        <w:tc>
          <w:tcPr>
            <w:tcW w:type="dxa" w:w="1814"/>
          </w:tcPr>
          <w:p>
            <w:r>
              <w:rPr>
                <w:rFonts w:ascii="Times New Roman" w:hAnsi="Times New Roman"/>
                <w:sz w:val="20"/>
              </w:rPr>
              <w:t>23,9</w:t>
            </w:r>
          </w:p>
        </w:tc>
      </w:tr>
      <w:tr>
        <w:tc>
          <w:tcPr>
            <w:tcW w:type="dxa" w:w="1814"/>
          </w:tcPr>
          <w:p>
            <w:r>
              <w:rPr>
                <w:rFonts w:ascii="Times New Roman" w:hAnsi="Times New Roman"/>
                <w:sz w:val="20"/>
              </w:rPr>
              <w:t>C2SLR</w:t>
            </w:r>
          </w:p>
        </w:tc>
        <w:tc>
          <w:tcPr>
            <w:tcW w:type="dxa" w:w="1814"/>
          </w:tcPr>
          <w:p>
            <w:r>
              <w:rPr>
                <w:rFonts w:ascii="Times New Roman" w:hAnsi="Times New Roman"/>
                <w:sz w:val="20"/>
              </w:rPr>
              <w:t>Zuo &amp; Mak (CVPR)</w:t>
            </w:r>
          </w:p>
        </w:tc>
        <w:tc>
          <w:tcPr>
            <w:tcW w:type="dxa" w:w="1814"/>
          </w:tcPr>
          <w:p>
            <w:r>
              <w:rPr>
                <w:rFonts w:ascii="Times New Roman" w:hAnsi="Times New Roman"/>
                <w:sz w:val="20"/>
              </w:rPr>
              <w:t>2022</w:t>
            </w:r>
          </w:p>
        </w:tc>
        <w:tc>
          <w:tcPr>
            <w:tcW w:type="dxa" w:w="1814"/>
          </w:tcPr>
          <w:p>
            <w:r>
              <w:rPr>
                <w:rFonts w:ascii="Times New Roman" w:hAnsi="Times New Roman"/>
                <w:sz w:val="20"/>
              </w:rPr>
              <w:t>20,5</w:t>
            </w:r>
          </w:p>
        </w:tc>
        <w:tc>
          <w:tcPr>
            <w:tcW w:type="dxa" w:w="1814"/>
          </w:tcPr>
          <w:p>
            <w:r>
              <w:rPr>
                <w:rFonts w:ascii="Times New Roman" w:hAnsi="Times New Roman"/>
                <w:sz w:val="20"/>
              </w:rPr>
              <w:t>20,4</w:t>
            </w:r>
          </w:p>
        </w:tc>
      </w:tr>
      <w:tr>
        <w:tc>
          <w:tcPr>
            <w:tcW w:type="dxa" w:w="1814"/>
          </w:tcPr>
          <w:p>
            <w:r>
              <w:rPr>
                <w:rFonts w:ascii="Times New Roman" w:hAnsi="Times New Roman"/>
                <w:sz w:val="20"/>
              </w:rPr>
              <w:t>CorrNet</w:t>
            </w:r>
          </w:p>
        </w:tc>
        <w:tc>
          <w:tcPr>
            <w:tcW w:type="dxa" w:w="1814"/>
          </w:tcPr>
          <w:p>
            <w:r>
              <w:rPr>
                <w:rFonts w:ascii="Times New Roman" w:hAnsi="Times New Roman"/>
                <w:sz w:val="20"/>
              </w:rPr>
              <w:t>Hu et al. (CVPR)</w:t>
            </w:r>
          </w:p>
        </w:tc>
        <w:tc>
          <w:tcPr>
            <w:tcW w:type="dxa" w:w="1814"/>
          </w:tcPr>
          <w:p>
            <w:r>
              <w:rPr>
                <w:rFonts w:ascii="Times New Roman" w:hAnsi="Times New Roman"/>
                <w:sz w:val="20"/>
              </w:rPr>
              <w:t>2023</w:t>
            </w:r>
          </w:p>
        </w:tc>
        <w:tc>
          <w:tcPr>
            <w:tcW w:type="dxa" w:w="1814"/>
          </w:tcPr>
          <w:p>
            <w:r>
              <w:rPr>
                <w:rFonts w:ascii="Times New Roman" w:hAnsi="Times New Roman"/>
                <w:sz w:val="20"/>
              </w:rPr>
              <w:t>18,8</w:t>
            </w:r>
          </w:p>
        </w:tc>
        <w:tc>
          <w:tcPr>
            <w:tcW w:type="dxa" w:w="1814"/>
          </w:tcPr>
          <w:p>
            <w:r>
              <w:rPr>
                <w:rFonts w:ascii="Times New Roman" w:hAnsi="Times New Roman"/>
                <w:sz w:val="20"/>
              </w:rPr>
              <w:t>19,4</w:t>
            </w:r>
          </w:p>
        </w:tc>
      </w:tr>
      <w:tr>
        <w:tc>
          <w:tcPr>
            <w:tcW w:type="dxa" w:w="1814"/>
          </w:tcPr>
          <w:p>
            <w:r>
              <w:rPr>
                <w:rFonts w:ascii="Times New Roman" w:hAnsi="Times New Roman"/>
                <w:sz w:val="20"/>
              </w:rPr>
              <w:t>TCNet</w:t>
            </w:r>
          </w:p>
        </w:tc>
        <w:tc>
          <w:tcPr>
            <w:tcW w:type="dxa" w:w="1814"/>
          </w:tcPr>
          <w:p>
            <w:r>
              <w:rPr>
                <w:rFonts w:ascii="Times New Roman" w:hAnsi="Times New Roman"/>
                <w:sz w:val="20"/>
              </w:rPr>
              <w:t>Lu et al. (AAAI)</w:t>
            </w:r>
          </w:p>
        </w:tc>
        <w:tc>
          <w:tcPr>
            <w:tcW w:type="dxa" w:w="1814"/>
          </w:tcPr>
          <w:p>
            <w:r>
              <w:rPr>
                <w:rFonts w:ascii="Times New Roman" w:hAnsi="Times New Roman"/>
                <w:sz w:val="20"/>
              </w:rPr>
              <w:t>2024</w:t>
            </w:r>
          </w:p>
        </w:tc>
        <w:tc>
          <w:tcPr>
            <w:tcW w:type="dxa" w:w="1814"/>
          </w:tcPr>
          <w:p>
            <w:r>
              <w:rPr>
                <w:rFonts w:ascii="Times New Roman" w:hAnsi="Times New Roman"/>
                <w:sz w:val="20"/>
              </w:rPr>
              <w:t>18,1</w:t>
            </w:r>
          </w:p>
        </w:tc>
        <w:tc>
          <w:tcPr>
            <w:tcW w:type="dxa" w:w="1814"/>
          </w:tcPr>
          <w:p>
            <w:r>
              <w:rPr>
                <w:rFonts w:ascii="Times New Roman" w:hAnsi="Times New Roman"/>
                <w:sz w:val="20"/>
              </w:rPr>
              <w:t>18,9</w:t>
            </w:r>
          </w:p>
        </w:tc>
      </w:tr>
    </w:tbl>
    <w:p>
      <w:pPr>
        <w:spacing w:before="40" w:after="200"/>
        <w:jc w:val="center"/>
      </w:pPr>
      <w:r>
        <w:rPr>
          <w:rFonts w:ascii="Times New Roman" w:hAnsi="Times New Roman"/>
          <w:i/>
          <w:sz w:val="20"/>
        </w:rPr>
        <w:t>Tableau 3 : Progression du WER sur PHOENIX-14 multi-signataires (2015–2024)</w:t>
      </w:r>
    </w:p>
    <w:p>
      <w:pPr>
        <w:spacing w:before="0" w:after="120"/>
        <w:ind w:firstLine="709"/>
        <w:jc w:val="both"/>
      </w:pPr>
      <w:r>
        <w:rPr>
          <w:rFonts w:ascii="Times New Roman" w:hAnsi="Times New Roman"/>
          <w:sz w:val="24"/>
        </w:rPr>
        <w:t>Cette progression de 34,3 % à 18,9 % en moins de dix ans représente une réduction de 44,9 % du taux d'erreur relatif. Elle s'explique par trois facteurs principaux : (1) l'amélioration des encodeurs visuels (de CNN classiques vers des Transformers visuels), (2) le renforcement de la modélisation des corrélations spatiotemporelles entre les parties du corps (mains, poignets, visage), et (3) l'affinement des procédures d'entraînement (pseudo-labelling, augmentation de données, ré-alignement itératif).</w:t>
      </w:r>
    </w:p>
    <w:p>
      <w:pPr>
        <w:spacing w:before="200" w:after="80"/>
        <w:jc w:val="left"/>
      </w:pPr>
      <w:r>
        <w:rPr>
          <w:rFonts w:ascii="Times New Roman" w:hAnsi="Times New Roman"/>
          <w:b/>
          <w:sz w:val="24"/>
        </w:rPr>
        <w:t>3.6.2 CorrNet (CVPR 2023)</w:t>
      </w:r>
    </w:p>
    <w:p>
      <w:pPr>
        <w:spacing w:before="0" w:after="120"/>
        <w:ind w:firstLine="709"/>
        <w:jc w:val="both"/>
      </w:pPr>
      <w:r>
        <w:rPr>
          <w:rFonts w:ascii="Times New Roman" w:hAnsi="Times New Roman"/>
          <w:sz w:val="24"/>
        </w:rPr>
        <w:t>CorrNet (Hu et al., CVPR 2023) introduit un module de corrélation spatiotemporelle explicite qui établit des correspondances entre les trajectoires des différentes parties du corps (mains, poignets, épaules) au fil du temps. L'intuition est qu'un signe est souvent défini par une relation spatiale précise entre plusieurs landmarks corporels plutôt que par chaque partie prise isolément. Cette approche atteint un WER de 18,8 % / 19,4 % sur PHOENIX-14 dev/test, représentant l'état de l'art à la date de publication.</w:t>
      </w:r>
    </w:p>
    <w:p>
      <w:pPr>
        <w:spacing w:before="200" w:after="80"/>
        <w:jc w:val="left"/>
      </w:pPr>
      <w:r>
        <w:rPr>
          <w:rFonts w:ascii="Times New Roman" w:hAnsi="Times New Roman"/>
          <w:b/>
          <w:sz w:val="24"/>
        </w:rPr>
        <w:t>3.6.3 TCNet (AAAI 2024)</w:t>
      </w:r>
    </w:p>
    <w:p>
      <w:pPr>
        <w:spacing w:before="0" w:after="120"/>
        <w:ind w:firstLine="709"/>
        <w:jc w:val="both"/>
      </w:pPr>
      <w:r>
        <w:rPr>
          <w:rFonts w:ascii="Times New Roman" w:hAnsi="Times New Roman"/>
          <w:sz w:val="24"/>
        </w:rPr>
        <w:t>TCNet (Lu et al., AAAI 2024) étend CorrNet en ajoutant un module de trajectoires temporelles explicitant les mouvements entre frames consécutives, en plus des corrélations spatiales. Le modèle atteint 18,1 % / 18,9 % de WER sur PHOENIX-14 dev/test, établissant l'état de l'art actuel sur ce benchmark.</w:t>
      </w:r>
    </w:p>
    <w:p>
      <w:pPr>
        <w:spacing w:before="200" w:after="80"/>
        <w:jc w:val="left"/>
      </w:pPr>
      <w:r>
        <w:rPr>
          <w:rFonts w:ascii="Times New Roman" w:hAnsi="Times New Roman"/>
          <w:b/>
          <w:sz w:val="24"/>
        </w:rPr>
        <w:t>3.6.4 Approches gloss-free : vers la traduction directe</w:t>
      </w:r>
    </w:p>
    <w:p>
      <w:pPr>
        <w:spacing w:before="0" w:after="120"/>
        <w:ind w:firstLine="709"/>
        <w:jc w:val="both"/>
      </w:pPr>
      <w:r>
        <w:rPr>
          <w:rFonts w:ascii="Times New Roman" w:hAnsi="Times New Roman"/>
          <w:sz w:val="24"/>
        </w:rPr>
        <w:t>Une tendance forte depuis 2023 est l'élimination des annotations en glosses, qui représentent un coût de collecte considérable. Les approches dites gloss-free tentent de traduire directement de la vidéo vers le texte sans passer par une représentation intermédiaire en glosses.</w:t>
      </w:r>
    </w:p>
    <w:p>
      <w:pPr>
        <w:spacing w:before="0" w:after="120"/>
        <w:ind w:firstLine="709"/>
        <w:jc w:val="both"/>
      </w:pPr>
      <w:r>
        <w:rPr>
          <w:rFonts w:ascii="Times New Roman" w:hAnsi="Times New Roman"/>
          <w:sz w:val="24"/>
        </w:rPr>
        <w:t>GFSLT-VLP (Zhou et al., ICCV 2023) propose un préentraînement visuel-linguistique sur de grandes quantités de données non annotées, suivi d'un fine-tuning sur PHOENIX-14T. Le modèle atteint un score BLEU-4 de 22,05 sur le jeu de test — surpassant la plupart des approches gloss-based antérieures et démontrant que les annotations en glosses ne sont pas indispensables avec suffisamment de données préentraînées.</w:t>
      </w:r>
    </w:p>
    <w:p>
      <w:pPr>
        <w:spacing w:before="0" w:after="120"/>
        <w:ind w:firstLine="709"/>
        <w:jc w:val="both"/>
      </w:pPr>
      <w:r>
        <w:rPr>
          <w:rFonts w:ascii="Times New Roman" w:hAnsi="Times New Roman"/>
          <w:sz w:val="24"/>
        </w:rPr>
        <w:t>Sign2GPT (2024) pousse cette logique plus loin en intégrant un modèle de langage de type GPT pour la génération de texte en langue cible. Ces approches de grande taille, bien que prometteuses, nécessitent d'importants volumes de données d'entraînement et une puissance de calcul considérable, les rendant difficilement applicables en contexte de faibles ressources.</w:t>
      </w:r>
    </w:p>
    <w:p>
      <w:pPr>
        <w:spacing w:before="280" w:after="120"/>
        <w:jc w:val="left"/>
      </w:pPr>
      <w:r>
        <w:rPr>
          <w:rFonts w:ascii="Times New Roman" w:hAnsi="Times New Roman"/>
          <w:b/>
          <w:sz w:val="28"/>
        </w:rPr>
        <w:t>3.7 Approches basées sur l'estimation de pose</w:t>
      </w:r>
    </w:p>
    <w:p>
      <w:pPr>
        <w:spacing w:before="0" w:after="120"/>
        <w:ind w:firstLine="709"/>
        <w:jc w:val="both"/>
      </w:pPr>
      <w:r>
        <w:rPr>
          <w:rFonts w:ascii="Times New Roman" w:hAnsi="Times New Roman"/>
          <w:sz w:val="24"/>
        </w:rPr>
        <w:t>Parallèlement aux architectures travaillant sur les pixels bruts, une autre famille d'approches utilise l'estimation de pose comme représentation intermédiaire : au lieu de traiter les frames vidéo directement, on extrait d'abord les coordonnées des points anatomiques clés (landmarks) du corps et des mains, puis on entraîne un modèle sur ces coordonnées normalisées.</w:t>
      </w:r>
    </w:p>
    <w:p>
      <w:pPr>
        <w:spacing w:before="200" w:after="80"/>
        <w:jc w:val="left"/>
      </w:pPr>
      <w:r>
        <w:rPr>
          <w:rFonts w:ascii="Times New Roman" w:hAnsi="Times New Roman"/>
          <w:b/>
          <w:sz w:val="24"/>
        </w:rPr>
        <w:t>3.7.1 Avantages et inconvénients</w:t>
      </w:r>
    </w:p>
    <w:p>
      <w:pPr>
        <w:spacing w:before="0" w:after="120"/>
        <w:ind w:firstLine="709"/>
        <w:jc w:val="both"/>
      </w:pPr>
      <w:r>
        <w:rPr>
          <w:rFonts w:ascii="Times New Roman" w:hAnsi="Times New Roman"/>
          <w:sz w:val="24"/>
        </w:rPr>
        <w:t>Cette famille d'approches présente plusieurs avantages significatifs :</w:t>
      </w:r>
    </w:p>
    <w:p>
      <w:pPr>
        <w:pStyle w:val="ListBullet"/>
        <w:spacing w:after="80"/>
      </w:pPr>
      <w:r>
        <w:rPr>
          <w:rFonts w:ascii="Times New Roman" w:hAnsi="Times New Roman"/>
          <w:sz w:val="24"/>
        </w:rPr>
        <w:t>Invariance à l'apparence : les coordonnées des landmarks ne dépendent pas de la couleur de la peau, des vêtements ou de l'éclairage, rendant le modèle plus robuste aux variations inter-individus ;</w:t>
      </w:r>
    </w:p>
    <w:p>
      <w:pPr>
        <w:pStyle w:val="ListBullet"/>
        <w:spacing w:after="80"/>
      </w:pPr>
      <w:r>
        <w:rPr>
          <w:rFonts w:ascii="Times New Roman" w:hAnsi="Times New Roman"/>
          <w:sz w:val="24"/>
        </w:rPr>
        <w:t>Réduction dimensionnelle drastique : un vecteur de 171 features par frame remplace un patch vidéo de plusieurs centaines de pixels, permettant des modèles plus légers et une inférence plus rapide ;</w:t>
      </w:r>
    </w:p>
    <w:p>
      <w:pPr>
        <w:pStyle w:val="ListBullet"/>
        <w:spacing w:after="80"/>
      </w:pPr>
      <w:r>
        <w:rPr>
          <w:rFonts w:ascii="Times New Roman" w:hAnsi="Times New Roman"/>
          <w:sz w:val="24"/>
        </w:rPr>
        <w:t>Compatibilité temps réel : les outils d'estimation de pose modernes comme MediaPipe (Lugaresi et al., 2019) fonctionnent directement dans le navigateur web sans GPU, à 30 fps sur un smartphone standard ;</w:t>
      </w:r>
    </w:p>
    <w:p>
      <w:pPr>
        <w:pStyle w:val="ListBullet"/>
        <w:spacing w:after="80"/>
      </w:pPr>
      <w:r>
        <w:rPr>
          <w:rFonts w:ascii="Times New Roman" w:hAnsi="Times New Roman"/>
          <w:sz w:val="24"/>
        </w:rPr>
        <w:t>Pas d'équipement spécialisé : une simple webcam RGB suffit, contrairement aux capteurs de profondeur ou aux gants de données.</w:t>
      </w:r>
    </w:p>
    <w:p>
      <w:pPr>
        <w:spacing w:before="0" w:after="120"/>
        <w:ind w:firstLine="709"/>
        <w:jc w:val="both"/>
      </w:pPr>
      <w:r>
        <w:rPr>
          <w:rFonts w:ascii="Times New Roman" w:hAnsi="Times New Roman"/>
          <w:sz w:val="24"/>
        </w:rPr>
        <w:t>La principale limitation est la perte d'information liée à la réduction dimensionnelle : les détails texturaux des mains (utiles pour certains signes très similaires en configuration) sont perdus. Par conséquent, les approches pose-based atteignent généralement des performances légèrement inférieures aux méthodes travaillant sur les pixels bruts pour les grands vocabulaires (1 000+ signes), mais restent compétitives pour des vocabulaires de taille réduite à modérée.</w:t>
      </w:r>
    </w:p>
    <w:p>
      <w:pPr>
        <w:spacing w:before="200" w:after="80"/>
        <w:jc w:val="left"/>
      </w:pPr>
      <w:r>
        <w:rPr>
          <w:rFonts w:ascii="Times New Roman" w:hAnsi="Times New Roman"/>
          <w:b/>
          <w:sz w:val="24"/>
        </w:rPr>
        <w:t>3.7.2 MediaPipe Holistic</w:t>
      </w:r>
    </w:p>
    <w:p>
      <w:pPr>
        <w:spacing w:before="0" w:after="120"/>
        <w:ind w:firstLine="709"/>
        <w:jc w:val="both"/>
      </w:pPr>
      <w:r>
        <w:rPr>
          <w:rFonts w:ascii="Times New Roman" w:hAnsi="Times New Roman"/>
          <w:sz w:val="24"/>
        </w:rPr>
        <w:t>MediaPipe Holistic (Lugaresi et al., 2019), développé par Google, est devenu l'outil de référence pour l'extraction de landmarks en temps réel dans les applications de reconnaissance de gestes. Il fournit simultanément 33 points de pose corporelle, 21 points de landmarks par main (gauche et droite) et 468 points pour le visage, tous normalisés spatialement et inférés à 30 fps dans un navigateur web standard.</w:t>
      </w:r>
    </w:p>
    <w:p>
      <w:pPr>
        <w:spacing w:before="0" w:after="120"/>
        <w:ind w:firstLine="709"/>
        <w:jc w:val="both"/>
      </w:pPr>
      <w:r>
        <w:rPr>
          <w:rFonts w:ascii="Times New Roman" w:hAnsi="Times New Roman"/>
          <w:sz w:val="24"/>
        </w:rPr>
        <w:t>La solution MediaPipe a été adoptée dans de nombreux travaux récents sur la langue des signes, notamment pour les langues peu dotées en ressources où des corpus vidéo bruts de grande taille ne sont pas disponibles.</w:t>
      </w:r>
    </w:p>
    <w:p>
      <w:pPr>
        <w:spacing w:before="200" w:after="80"/>
        <w:jc w:val="left"/>
      </w:pPr>
      <w:r>
        <w:rPr>
          <w:rFonts w:ascii="Times New Roman" w:hAnsi="Times New Roman"/>
          <w:b/>
          <w:sz w:val="24"/>
        </w:rPr>
        <w:t>3.7.3 Résultats publiés : MediaPipe + LSTM</w:t>
      </w:r>
    </w:p>
    <w:p>
      <w:pPr>
        <w:spacing w:before="0" w:after="120"/>
        <w:ind w:firstLine="709"/>
        <w:jc w:val="both"/>
      </w:pPr>
      <w:r>
        <w:rPr>
          <w:rFonts w:ascii="Times New Roman" w:hAnsi="Times New Roman"/>
          <w:sz w:val="24"/>
        </w:rPr>
        <w:t>Plusieurs travaux ont évalué la combinaison MediaPipe + LSTM sur différentes langues des signes :</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rFonts w:ascii="Times New Roman" w:hAnsi="Times New Roman"/>
                <w:b/>
                <w:sz w:val="20"/>
              </w:rPr>
              <w:t>Étude</w:t>
            </w:r>
          </w:p>
        </w:tc>
        <w:tc>
          <w:tcPr>
            <w:tcW w:type="dxa" w:w="1512"/>
          </w:tcPr>
          <w:p>
            <w:pPr>
              <w:jc w:val="center"/>
            </w:pPr>
            <w:r>
              <w:rPr>
                <w:rFonts w:ascii="Times New Roman" w:hAnsi="Times New Roman"/>
                <w:b/>
                <w:sz w:val="20"/>
              </w:rPr>
              <w:t>Langue</w:t>
            </w:r>
          </w:p>
        </w:tc>
        <w:tc>
          <w:tcPr>
            <w:tcW w:type="dxa" w:w="1512"/>
          </w:tcPr>
          <w:p>
            <w:pPr>
              <w:jc w:val="center"/>
            </w:pPr>
            <w:r>
              <w:rPr>
                <w:rFonts w:ascii="Times New Roman" w:hAnsi="Times New Roman"/>
                <w:b/>
                <w:sz w:val="20"/>
              </w:rPr>
              <w:t>Vocabulaire</w:t>
            </w:r>
          </w:p>
        </w:tc>
        <w:tc>
          <w:tcPr>
            <w:tcW w:type="dxa" w:w="1512"/>
          </w:tcPr>
          <w:p>
            <w:pPr>
              <w:jc w:val="center"/>
            </w:pPr>
            <w:r>
              <w:rPr>
                <w:rFonts w:ascii="Times New Roman" w:hAnsi="Times New Roman"/>
                <w:b/>
                <w:sz w:val="20"/>
              </w:rPr>
              <w:t>Modèle</w:t>
            </w:r>
          </w:p>
        </w:tc>
        <w:tc>
          <w:tcPr>
            <w:tcW w:type="dxa" w:w="1512"/>
          </w:tcPr>
          <w:p>
            <w:pPr>
              <w:jc w:val="center"/>
            </w:pPr>
            <w:r>
              <w:rPr>
                <w:rFonts w:ascii="Times New Roman" w:hAnsi="Times New Roman"/>
                <w:b/>
                <w:sz w:val="20"/>
              </w:rPr>
              <w:t>Précision</w:t>
            </w:r>
          </w:p>
        </w:tc>
        <w:tc>
          <w:tcPr>
            <w:tcW w:type="dxa" w:w="1512"/>
          </w:tcPr>
          <w:p>
            <w:pPr>
              <w:jc w:val="center"/>
            </w:pPr>
            <w:r>
              <w:rPr>
                <w:rFonts w:ascii="Times New Roman" w:hAnsi="Times New Roman"/>
                <w:b/>
                <w:sz w:val="20"/>
              </w:rPr>
              <w:t>Source</w:t>
            </w:r>
          </w:p>
        </w:tc>
      </w:tr>
      <w:tr>
        <w:tc>
          <w:tcPr>
            <w:tcW w:type="dxa" w:w="1512"/>
          </w:tcPr>
          <w:p>
            <w:r>
              <w:rPr>
                <w:rFonts w:ascii="Times New Roman" w:hAnsi="Times New Roman"/>
                <w:sz w:val="20"/>
              </w:rPr>
              <w:t>Arxiv 2411.04517 (2024)</w:t>
            </w:r>
          </w:p>
        </w:tc>
        <w:tc>
          <w:tcPr>
            <w:tcW w:type="dxa" w:w="1512"/>
          </w:tcPr>
          <w:p>
            <w:r>
              <w:rPr>
                <w:rFonts w:ascii="Times New Roman" w:hAnsi="Times New Roman"/>
                <w:sz w:val="20"/>
              </w:rPr>
              <w:t>Indian SL (ISL)</w:t>
            </w:r>
          </w:p>
        </w:tc>
        <w:tc>
          <w:tcPr>
            <w:tcW w:type="dxa" w:w="1512"/>
          </w:tcPr>
          <w:p>
            <w:r>
              <w:rPr>
                <w:rFonts w:ascii="Times New Roman" w:hAnsi="Times New Roman"/>
                <w:sz w:val="20"/>
              </w:rPr>
              <w:t>Mots courants</w:t>
            </w:r>
          </w:p>
        </w:tc>
        <w:tc>
          <w:tcPr>
            <w:tcW w:type="dxa" w:w="1512"/>
          </w:tcPr>
          <w:p>
            <w:r>
              <w:rPr>
                <w:rFonts w:ascii="Times New Roman" w:hAnsi="Times New Roman"/>
                <w:sz w:val="20"/>
              </w:rPr>
              <w:t>MediaPipe + LSTM</w:t>
            </w:r>
          </w:p>
        </w:tc>
        <w:tc>
          <w:tcPr>
            <w:tcW w:type="dxa" w:w="1512"/>
          </w:tcPr>
          <w:p>
            <w:r>
              <w:rPr>
                <w:rFonts w:ascii="Times New Roman" w:hAnsi="Times New Roman"/>
                <w:sz w:val="20"/>
              </w:rPr>
              <w:t>88,23 %</w:t>
            </w:r>
          </w:p>
        </w:tc>
        <w:tc>
          <w:tcPr>
            <w:tcW w:type="dxa" w:w="1512"/>
          </w:tcPr>
          <w:p>
            <w:r>
              <w:rPr>
                <w:rFonts w:ascii="Times New Roman" w:hAnsi="Times New Roman"/>
                <w:sz w:val="20"/>
              </w:rPr>
              <w:t>Wireless Pers. Comm., 2024</w:t>
            </w:r>
          </w:p>
        </w:tc>
      </w:tr>
      <w:tr>
        <w:tc>
          <w:tcPr>
            <w:tcW w:type="dxa" w:w="1512"/>
          </w:tcPr>
          <w:p>
            <w:r>
              <w:rPr>
                <w:rFonts w:ascii="Times New Roman" w:hAnsi="Times New Roman"/>
                <w:sz w:val="20"/>
              </w:rPr>
              <w:t>MDPI Multimodal Tech. (2025)</w:t>
            </w:r>
          </w:p>
        </w:tc>
        <w:tc>
          <w:tcPr>
            <w:tcW w:type="dxa" w:w="1512"/>
          </w:tcPr>
          <w:p>
            <w:r>
              <w:rPr>
                <w:rFonts w:ascii="Times New Roman" w:hAnsi="Times New Roman"/>
                <w:sz w:val="20"/>
              </w:rPr>
              <w:t>Norwegian SL</w:t>
            </w:r>
          </w:p>
        </w:tc>
        <w:tc>
          <w:tcPr>
            <w:tcW w:type="dxa" w:w="1512"/>
          </w:tcPr>
          <w:p>
            <w:r>
              <w:rPr>
                <w:rFonts w:ascii="Times New Roman" w:hAnsi="Times New Roman"/>
                <w:sz w:val="20"/>
              </w:rPr>
              <w:t>11 signes (chiffres)</w:t>
            </w:r>
          </w:p>
        </w:tc>
        <w:tc>
          <w:tcPr>
            <w:tcW w:type="dxa" w:w="1512"/>
          </w:tcPr>
          <w:p>
            <w:r>
              <w:rPr>
                <w:rFonts w:ascii="Times New Roman" w:hAnsi="Times New Roman"/>
                <w:sz w:val="20"/>
              </w:rPr>
              <w:t>MediaPipe + LSTM</w:t>
            </w:r>
          </w:p>
        </w:tc>
        <w:tc>
          <w:tcPr>
            <w:tcW w:type="dxa" w:w="1512"/>
          </w:tcPr>
          <w:p>
            <w:r>
              <w:rPr>
                <w:rFonts w:ascii="Times New Roman" w:hAnsi="Times New Roman"/>
                <w:sz w:val="20"/>
              </w:rPr>
              <w:t>95,0 %</w:t>
            </w:r>
          </w:p>
        </w:tc>
        <w:tc>
          <w:tcPr>
            <w:tcW w:type="dxa" w:w="1512"/>
          </w:tcPr>
          <w:p>
            <w:r>
              <w:rPr>
                <w:rFonts w:ascii="Times New Roman" w:hAnsi="Times New Roman"/>
                <w:sz w:val="20"/>
              </w:rPr>
              <w:t>MDPI, 2025</w:t>
            </w:r>
          </w:p>
        </w:tc>
      </w:tr>
      <w:tr>
        <w:tc>
          <w:tcPr>
            <w:tcW w:type="dxa" w:w="1512"/>
          </w:tcPr>
          <w:p>
            <w:r>
              <w:rPr>
                <w:rFonts w:ascii="Times New Roman" w:hAnsi="Times New Roman"/>
                <w:sz w:val="20"/>
              </w:rPr>
              <w:t>Procedia Comp. Sci. (2022)</w:t>
            </w:r>
          </w:p>
        </w:tc>
        <w:tc>
          <w:tcPr>
            <w:tcW w:type="dxa" w:w="1512"/>
          </w:tcPr>
          <w:p>
            <w:r>
              <w:rPr>
                <w:rFonts w:ascii="Times New Roman" w:hAnsi="Times New Roman"/>
                <w:sz w:val="20"/>
              </w:rPr>
              <w:t>ASL alphabet</w:t>
            </w:r>
          </w:p>
        </w:tc>
        <w:tc>
          <w:tcPr>
            <w:tcW w:type="dxa" w:w="1512"/>
          </w:tcPr>
          <w:p>
            <w:r>
              <w:rPr>
                <w:rFonts w:ascii="Times New Roman" w:hAnsi="Times New Roman"/>
                <w:sz w:val="20"/>
              </w:rPr>
              <w:t>26 lettres</w:t>
            </w:r>
          </w:p>
        </w:tc>
        <w:tc>
          <w:tcPr>
            <w:tcW w:type="dxa" w:w="1512"/>
          </w:tcPr>
          <w:p>
            <w:r>
              <w:rPr>
                <w:rFonts w:ascii="Times New Roman" w:hAnsi="Times New Roman"/>
                <w:sz w:val="20"/>
              </w:rPr>
              <w:t>MediaPipe + LSTM</w:t>
            </w:r>
          </w:p>
        </w:tc>
        <w:tc>
          <w:tcPr>
            <w:tcW w:type="dxa" w:w="1512"/>
          </w:tcPr>
          <w:p>
            <w:r>
              <w:rPr>
                <w:rFonts w:ascii="Times New Roman" w:hAnsi="Times New Roman"/>
                <w:sz w:val="20"/>
              </w:rPr>
              <w:t>99,0 %</w:t>
            </w:r>
          </w:p>
        </w:tc>
        <w:tc>
          <w:tcPr>
            <w:tcW w:type="dxa" w:w="1512"/>
          </w:tcPr>
          <w:p>
            <w:r>
              <w:rPr>
                <w:rFonts w:ascii="Times New Roman" w:hAnsi="Times New Roman"/>
                <w:sz w:val="20"/>
              </w:rPr>
              <w:t>ScienceDirect, 2022</w:t>
            </w:r>
          </w:p>
        </w:tc>
      </w:tr>
      <w:tr>
        <w:tc>
          <w:tcPr>
            <w:tcW w:type="dxa" w:w="1512"/>
          </w:tcPr>
          <w:p>
            <w:r>
              <w:rPr>
                <w:rFonts w:ascii="Times New Roman" w:hAnsi="Times New Roman"/>
                <w:sz w:val="20"/>
              </w:rPr>
              <w:t>Notre approche (V11)</w:t>
            </w:r>
          </w:p>
        </w:tc>
        <w:tc>
          <w:tcPr>
            <w:tcW w:type="dxa" w:w="1512"/>
          </w:tcPr>
          <w:p>
            <w:r>
              <w:rPr>
                <w:rFonts w:ascii="Times New Roman" w:hAnsi="Times New Roman"/>
                <w:sz w:val="20"/>
              </w:rPr>
              <w:t>Signes béninois</w:t>
            </w:r>
          </w:p>
        </w:tc>
        <w:tc>
          <w:tcPr>
            <w:tcW w:type="dxa" w:w="1512"/>
          </w:tcPr>
          <w:p>
            <w:r>
              <w:rPr>
                <w:rFonts w:ascii="Times New Roman" w:hAnsi="Times New Roman"/>
                <w:sz w:val="20"/>
              </w:rPr>
              <w:t>30 signes</w:t>
            </w:r>
          </w:p>
        </w:tc>
        <w:tc>
          <w:tcPr>
            <w:tcW w:type="dxa" w:w="1512"/>
          </w:tcPr>
          <w:p>
            <w:r>
              <w:rPr>
                <w:rFonts w:ascii="Times New Roman" w:hAnsi="Times New Roman"/>
                <w:sz w:val="20"/>
              </w:rPr>
              <w:t>MediaPipe + BiLSTM-CTC</w:t>
            </w:r>
          </w:p>
        </w:tc>
        <w:tc>
          <w:tcPr>
            <w:tcW w:type="dxa" w:w="1512"/>
          </w:tcPr>
          <w:p>
            <w:r>
              <w:rPr>
                <w:rFonts w:ascii="Times New Roman" w:hAnsi="Times New Roman"/>
                <w:sz w:val="20"/>
              </w:rPr>
              <w:t>99,97 %</w:t>
            </w:r>
          </w:p>
        </w:tc>
        <w:tc>
          <w:tcPr>
            <w:tcW w:type="dxa" w:w="1512"/>
          </w:tcPr>
          <w:p>
            <w:r>
              <w:rPr>
                <w:rFonts w:ascii="Times New Roman" w:hAnsi="Times New Roman"/>
                <w:sz w:val="20"/>
              </w:rPr>
              <w:t>Ce mémoire</w:t>
            </w:r>
          </w:p>
        </w:tc>
      </w:tr>
    </w:tbl>
    <w:p>
      <w:pPr>
        <w:spacing w:before="40" w:after="200"/>
        <w:jc w:val="center"/>
      </w:pPr>
      <w:r>
        <w:rPr>
          <w:rFonts w:ascii="Times New Roman" w:hAnsi="Times New Roman"/>
          <w:i/>
          <w:sz w:val="20"/>
        </w:rPr>
        <w:t>Tableau 4 : Résultats comparatifs des approches MediaPipe + LSTM</w:t>
      </w:r>
    </w:p>
    <w:p>
      <w:pPr>
        <w:spacing w:before="0" w:after="120"/>
        <w:ind w:firstLine="709"/>
        <w:jc w:val="both"/>
      </w:pPr>
      <w:r>
        <w:rPr>
          <w:rFonts w:ascii="Times New Roman" w:hAnsi="Times New Roman"/>
          <w:sz w:val="24"/>
        </w:rPr>
        <w:t>On observe que les approches MediaPipe + LSTM atteignent des performances très élevées (88–99 %) sur des vocabulaires réduits (10 à 100 signes), ce qui valide l'adéquation de cette approche pour notre cas d'usage. La précision décroît généralement lorsque le vocabulaire s'élargit, en raison de la confusion entre signes phonologiquement proches. Notre résultat de 99,97 % sur 30 classes s'inscrit dans cette tendance.</w:t>
      </w:r>
    </w:p>
    <w:p>
      <w:pPr>
        <w:spacing w:before="280" w:after="120"/>
        <w:jc w:val="left"/>
      </w:pPr>
      <w:r>
        <w:rPr>
          <w:rFonts w:ascii="Times New Roman" w:hAnsi="Times New Roman"/>
          <w:b/>
          <w:sz w:val="28"/>
        </w:rPr>
        <w:t>3.8 Les corpus de référence</w:t>
      </w:r>
    </w:p>
    <w:p>
      <w:pPr>
        <w:spacing w:before="0" w:after="120"/>
        <w:ind w:firstLine="709"/>
        <w:jc w:val="both"/>
      </w:pPr>
      <w:r>
        <w:rPr>
          <w:rFonts w:ascii="Times New Roman" w:hAnsi="Times New Roman"/>
          <w:sz w:val="24"/>
        </w:rPr>
        <w:t>L'avancement du domaine est étroitement lié à la disponibilité de corpus annotés de grande taille. Les données qui suivent sont issues des pages officielles des corpus et des publications originales.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Times New Roman" w:hAnsi="Times New Roman"/>
                <w:b/>
                <w:sz w:val="20"/>
              </w:rPr>
              <w:t>Corpus</w:t>
            </w:r>
          </w:p>
        </w:tc>
        <w:tc>
          <w:tcPr>
            <w:tcW w:type="dxa" w:w="1296"/>
          </w:tcPr>
          <w:p>
            <w:pPr>
              <w:jc w:val="center"/>
            </w:pPr>
            <w:r>
              <w:rPr>
                <w:rFonts w:ascii="Times New Roman" w:hAnsi="Times New Roman"/>
                <w:b/>
                <w:sz w:val="20"/>
              </w:rPr>
              <w:t>Langue</w:t>
            </w:r>
          </w:p>
        </w:tc>
        <w:tc>
          <w:tcPr>
            <w:tcW w:type="dxa" w:w="1296"/>
          </w:tcPr>
          <w:p>
            <w:pPr>
              <w:jc w:val="center"/>
            </w:pPr>
            <w:r>
              <w:rPr>
                <w:rFonts w:ascii="Times New Roman" w:hAnsi="Times New Roman"/>
                <w:b/>
                <w:sz w:val="20"/>
              </w:rPr>
              <w:t>Séquences</w:t>
            </w:r>
          </w:p>
        </w:tc>
        <w:tc>
          <w:tcPr>
            <w:tcW w:type="dxa" w:w="1296"/>
          </w:tcPr>
          <w:p>
            <w:pPr>
              <w:jc w:val="center"/>
            </w:pPr>
            <w:r>
              <w:rPr>
                <w:rFonts w:ascii="Times New Roman" w:hAnsi="Times New Roman"/>
                <w:b/>
                <w:sz w:val="20"/>
              </w:rPr>
              <w:t>Vocabulaire</w:t>
            </w:r>
          </w:p>
        </w:tc>
        <w:tc>
          <w:tcPr>
            <w:tcW w:type="dxa" w:w="1296"/>
          </w:tcPr>
          <w:p>
            <w:pPr>
              <w:jc w:val="center"/>
            </w:pPr>
            <w:r>
              <w:rPr>
                <w:rFonts w:ascii="Times New Roman" w:hAnsi="Times New Roman"/>
                <w:b/>
                <w:sz w:val="20"/>
              </w:rPr>
              <w:t>Signataires</w:t>
            </w:r>
          </w:p>
        </w:tc>
        <w:tc>
          <w:tcPr>
            <w:tcW w:type="dxa" w:w="1296"/>
          </w:tcPr>
          <w:p>
            <w:pPr>
              <w:jc w:val="center"/>
            </w:pPr>
            <w:r>
              <w:rPr>
                <w:rFonts w:ascii="Times New Roman" w:hAnsi="Times New Roman"/>
                <w:b/>
                <w:sz w:val="20"/>
              </w:rPr>
              <w:t>Tâche</w:t>
            </w:r>
          </w:p>
        </w:tc>
        <w:tc>
          <w:tcPr>
            <w:tcW w:type="dxa" w:w="1296"/>
          </w:tcPr>
          <w:p>
            <w:pPr>
              <w:jc w:val="center"/>
            </w:pPr>
            <w:r>
              <w:rPr>
                <w:rFonts w:ascii="Times New Roman" w:hAnsi="Times New Roman"/>
                <w:b/>
                <w:sz w:val="20"/>
              </w:rPr>
              <w:t>Référence</w:t>
            </w:r>
          </w:p>
        </w:tc>
      </w:tr>
      <w:tr>
        <w:tc>
          <w:tcPr>
            <w:tcW w:type="dxa" w:w="1296"/>
          </w:tcPr>
          <w:p>
            <w:r>
              <w:rPr>
                <w:rFonts w:ascii="Times New Roman" w:hAnsi="Times New Roman"/>
                <w:sz w:val="20"/>
              </w:rPr>
              <w:t>RWTH-PHOENIX-14</w:t>
            </w:r>
          </w:p>
        </w:tc>
        <w:tc>
          <w:tcPr>
            <w:tcW w:type="dxa" w:w="1296"/>
          </w:tcPr>
          <w:p>
            <w:r>
              <w:rPr>
                <w:rFonts w:ascii="Times New Roman" w:hAnsi="Times New Roman"/>
                <w:sz w:val="20"/>
              </w:rPr>
              <w:t>DGS (allemand)</w:t>
            </w:r>
          </w:p>
        </w:tc>
        <w:tc>
          <w:tcPr>
            <w:tcW w:type="dxa" w:w="1296"/>
          </w:tcPr>
          <w:p>
            <w:r>
              <w:rPr>
                <w:rFonts w:ascii="Times New Roman" w:hAnsi="Times New Roman"/>
                <w:sz w:val="20"/>
              </w:rPr>
              <w:t>6 841</w:t>
            </w:r>
          </w:p>
        </w:tc>
        <w:tc>
          <w:tcPr>
            <w:tcW w:type="dxa" w:w="1296"/>
          </w:tcPr>
          <w:p>
            <w:r>
              <w:rPr>
                <w:rFonts w:ascii="Times New Roman" w:hAnsi="Times New Roman"/>
                <w:sz w:val="20"/>
              </w:rPr>
              <w:t>1 295 glosses</w:t>
            </w:r>
          </w:p>
        </w:tc>
        <w:tc>
          <w:tcPr>
            <w:tcW w:type="dxa" w:w="1296"/>
          </w:tcPr>
          <w:p>
            <w:r>
              <w:rPr>
                <w:rFonts w:ascii="Times New Roman" w:hAnsi="Times New Roman"/>
                <w:sz w:val="20"/>
              </w:rPr>
              <w:t>9</w:t>
            </w:r>
          </w:p>
        </w:tc>
        <w:tc>
          <w:tcPr>
            <w:tcW w:type="dxa" w:w="1296"/>
          </w:tcPr>
          <w:p>
            <w:r>
              <w:rPr>
                <w:rFonts w:ascii="Times New Roman" w:hAnsi="Times New Roman"/>
                <w:sz w:val="20"/>
              </w:rPr>
              <w:t>CSLR</w:t>
            </w:r>
          </w:p>
        </w:tc>
        <w:tc>
          <w:tcPr>
            <w:tcW w:type="dxa" w:w="1296"/>
          </w:tcPr>
          <w:p>
            <w:r>
              <w:rPr>
                <w:rFonts w:ascii="Times New Roman" w:hAnsi="Times New Roman"/>
                <w:sz w:val="20"/>
              </w:rPr>
              <w:t>Koller et al., 2015</w:t>
            </w:r>
          </w:p>
        </w:tc>
      </w:tr>
      <w:tr>
        <w:tc>
          <w:tcPr>
            <w:tcW w:type="dxa" w:w="1296"/>
          </w:tcPr>
          <w:p>
            <w:r>
              <w:rPr>
                <w:rFonts w:ascii="Times New Roman" w:hAnsi="Times New Roman"/>
                <w:sz w:val="20"/>
              </w:rPr>
              <w:t>RWTH-PHOENIX-14T</w:t>
            </w:r>
          </w:p>
        </w:tc>
        <w:tc>
          <w:tcPr>
            <w:tcW w:type="dxa" w:w="1296"/>
          </w:tcPr>
          <w:p>
            <w:r>
              <w:rPr>
                <w:rFonts w:ascii="Times New Roman" w:hAnsi="Times New Roman"/>
                <w:sz w:val="20"/>
              </w:rPr>
              <w:t>DGS (allemand)</w:t>
            </w:r>
          </w:p>
        </w:tc>
        <w:tc>
          <w:tcPr>
            <w:tcW w:type="dxa" w:w="1296"/>
          </w:tcPr>
          <w:p>
            <w:r>
              <w:rPr>
                <w:rFonts w:ascii="Times New Roman" w:hAnsi="Times New Roman"/>
                <w:sz w:val="20"/>
              </w:rPr>
              <w:t>8 247</w:t>
            </w:r>
          </w:p>
        </w:tc>
        <w:tc>
          <w:tcPr>
            <w:tcW w:type="dxa" w:w="1296"/>
          </w:tcPr>
          <w:p>
            <w:r>
              <w:rPr>
                <w:rFonts w:ascii="Times New Roman" w:hAnsi="Times New Roman"/>
                <w:sz w:val="20"/>
              </w:rPr>
              <w:t>1 066 glosses / 2 887 mots</w:t>
            </w:r>
          </w:p>
        </w:tc>
        <w:tc>
          <w:tcPr>
            <w:tcW w:type="dxa" w:w="1296"/>
          </w:tcPr>
          <w:p>
            <w:r>
              <w:rPr>
                <w:rFonts w:ascii="Times New Roman" w:hAnsi="Times New Roman"/>
                <w:sz w:val="20"/>
              </w:rPr>
              <w:t>9</w:t>
            </w:r>
          </w:p>
        </w:tc>
        <w:tc>
          <w:tcPr>
            <w:tcW w:type="dxa" w:w="1296"/>
          </w:tcPr>
          <w:p>
            <w:r>
              <w:rPr>
                <w:rFonts w:ascii="Times New Roman" w:hAnsi="Times New Roman"/>
                <w:sz w:val="20"/>
              </w:rPr>
              <w:t>CSLR + SLT</w:t>
            </w:r>
          </w:p>
        </w:tc>
        <w:tc>
          <w:tcPr>
            <w:tcW w:type="dxa" w:w="1296"/>
          </w:tcPr>
          <w:p>
            <w:r>
              <w:rPr>
                <w:rFonts w:ascii="Times New Roman" w:hAnsi="Times New Roman"/>
                <w:sz w:val="20"/>
              </w:rPr>
              <w:t>Camgoz et al., 2018</w:t>
            </w:r>
          </w:p>
        </w:tc>
      </w:tr>
      <w:tr>
        <w:tc>
          <w:tcPr>
            <w:tcW w:type="dxa" w:w="1296"/>
          </w:tcPr>
          <w:p>
            <w:r>
              <w:rPr>
                <w:rFonts w:ascii="Times New Roman" w:hAnsi="Times New Roman"/>
                <w:sz w:val="20"/>
              </w:rPr>
              <w:t>WLASL2000</w:t>
            </w:r>
          </w:p>
        </w:tc>
        <w:tc>
          <w:tcPr>
            <w:tcW w:type="dxa" w:w="1296"/>
          </w:tcPr>
          <w:p>
            <w:r>
              <w:rPr>
                <w:rFonts w:ascii="Times New Roman" w:hAnsi="Times New Roman"/>
                <w:sz w:val="20"/>
              </w:rPr>
              <w:t>ASL (anglais)</w:t>
            </w:r>
          </w:p>
        </w:tc>
        <w:tc>
          <w:tcPr>
            <w:tcW w:type="dxa" w:w="1296"/>
          </w:tcPr>
          <w:p>
            <w:r>
              <w:rPr>
                <w:rFonts w:ascii="Times New Roman" w:hAnsi="Times New Roman"/>
                <w:sz w:val="20"/>
              </w:rPr>
              <w:t>21 000+</w:t>
            </w:r>
          </w:p>
        </w:tc>
        <w:tc>
          <w:tcPr>
            <w:tcW w:type="dxa" w:w="1296"/>
          </w:tcPr>
          <w:p>
            <w:r>
              <w:rPr>
                <w:rFonts w:ascii="Times New Roman" w:hAnsi="Times New Roman"/>
                <w:sz w:val="20"/>
              </w:rPr>
              <w:t>2 000 mots</w:t>
            </w:r>
          </w:p>
        </w:tc>
        <w:tc>
          <w:tcPr>
            <w:tcW w:type="dxa" w:w="1296"/>
          </w:tcPr>
          <w:p>
            <w:r>
              <w:rPr>
                <w:rFonts w:ascii="Times New Roman" w:hAnsi="Times New Roman"/>
                <w:sz w:val="20"/>
              </w:rPr>
              <w:t>100+</w:t>
            </w:r>
          </w:p>
        </w:tc>
        <w:tc>
          <w:tcPr>
            <w:tcW w:type="dxa" w:w="1296"/>
          </w:tcPr>
          <w:p>
            <w:r>
              <w:rPr>
                <w:rFonts w:ascii="Times New Roman" w:hAnsi="Times New Roman"/>
                <w:sz w:val="20"/>
              </w:rPr>
              <w:t>SLR isolé</w:t>
            </w:r>
          </w:p>
        </w:tc>
        <w:tc>
          <w:tcPr>
            <w:tcW w:type="dxa" w:w="1296"/>
          </w:tcPr>
          <w:p>
            <w:r>
              <w:rPr>
                <w:rFonts w:ascii="Times New Roman" w:hAnsi="Times New Roman"/>
                <w:sz w:val="20"/>
              </w:rPr>
              <w:t>Li et al., WACV 2020</w:t>
            </w:r>
          </w:p>
        </w:tc>
      </w:tr>
      <w:tr>
        <w:tc>
          <w:tcPr>
            <w:tcW w:type="dxa" w:w="1296"/>
          </w:tcPr>
          <w:p>
            <w:r>
              <w:rPr>
                <w:rFonts w:ascii="Times New Roman" w:hAnsi="Times New Roman"/>
                <w:sz w:val="20"/>
              </w:rPr>
              <w:t>MS-ASL</w:t>
            </w:r>
          </w:p>
        </w:tc>
        <w:tc>
          <w:tcPr>
            <w:tcW w:type="dxa" w:w="1296"/>
          </w:tcPr>
          <w:p>
            <w:r>
              <w:rPr>
                <w:rFonts w:ascii="Times New Roman" w:hAnsi="Times New Roman"/>
                <w:sz w:val="20"/>
              </w:rPr>
              <w:t>ASL (anglais)</w:t>
            </w:r>
          </w:p>
        </w:tc>
        <w:tc>
          <w:tcPr>
            <w:tcW w:type="dxa" w:w="1296"/>
          </w:tcPr>
          <w:p>
            <w:r>
              <w:rPr>
                <w:rFonts w:ascii="Times New Roman" w:hAnsi="Times New Roman"/>
                <w:sz w:val="20"/>
              </w:rPr>
              <w:t>25 000+</w:t>
            </w:r>
          </w:p>
        </w:tc>
        <w:tc>
          <w:tcPr>
            <w:tcW w:type="dxa" w:w="1296"/>
          </w:tcPr>
          <w:p>
            <w:r>
              <w:rPr>
                <w:rFonts w:ascii="Times New Roman" w:hAnsi="Times New Roman"/>
                <w:sz w:val="20"/>
              </w:rPr>
              <w:t>1 000 signes</w:t>
            </w:r>
          </w:p>
        </w:tc>
        <w:tc>
          <w:tcPr>
            <w:tcW w:type="dxa" w:w="1296"/>
          </w:tcPr>
          <w:p>
            <w:r>
              <w:rPr>
                <w:rFonts w:ascii="Times New Roman" w:hAnsi="Times New Roman"/>
                <w:sz w:val="20"/>
              </w:rPr>
              <w:t>200+</w:t>
            </w:r>
          </w:p>
        </w:tc>
        <w:tc>
          <w:tcPr>
            <w:tcW w:type="dxa" w:w="1296"/>
          </w:tcPr>
          <w:p>
            <w:r>
              <w:rPr>
                <w:rFonts w:ascii="Times New Roman" w:hAnsi="Times New Roman"/>
                <w:sz w:val="20"/>
              </w:rPr>
              <w:t>SLR isolé</w:t>
            </w:r>
          </w:p>
        </w:tc>
        <w:tc>
          <w:tcPr>
            <w:tcW w:type="dxa" w:w="1296"/>
          </w:tcPr>
          <w:p>
            <w:r>
              <w:rPr>
                <w:rFonts w:ascii="Times New Roman" w:hAnsi="Times New Roman"/>
                <w:sz w:val="20"/>
              </w:rPr>
              <w:t>Joze &amp; Koller, BMVC 2019</w:t>
            </w:r>
          </w:p>
        </w:tc>
      </w:tr>
      <w:tr>
        <w:tc>
          <w:tcPr>
            <w:tcW w:type="dxa" w:w="1296"/>
          </w:tcPr>
          <w:p>
            <w:r>
              <w:rPr>
                <w:rFonts w:ascii="Times New Roman" w:hAnsi="Times New Roman"/>
                <w:sz w:val="20"/>
              </w:rPr>
              <w:t>CSL (2015)</w:t>
            </w:r>
          </w:p>
        </w:tc>
        <w:tc>
          <w:tcPr>
            <w:tcW w:type="dxa" w:w="1296"/>
          </w:tcPr>
          <w:p>
            <w:r>
              <w:rPr>
                <w:rFonts w:ascii="Times New Roman" w:hAnsi="Times New Roman"/>
                <w:sz w:val="20"/>
              </w:rPr>
              <w:t>CSL (chinois)</w:t>
            </w:r>
          </w:p>
        </w:tc>
        <w:tc>
          <w:tcPr>
            <w:tcW w:type="dxa" w:w="1296"/>
          </w:tcPr>
          <w:p>
            <w:r>
              <w:rPr>
                <w:rFonts w:ascii="Times New Roman" w:hAnsi="Times New Roman"/>
                <w:sz w:val="20"/>
              </w:rPr>
              <w:t>250 × 500</w:t>
            </w:r>
          </w:p>
        </w:tc>
        <w:tc>
          <w:tcPr>
            <w:tcW w:type="dxa" w:w="1296"/>
          </w:tcPr>
          <w:p>
            <w:r>
              <w:rPr>
                <w:rFonts w:ascii="Times New Roman" w:hAnsi="Times New Roman"/>
                <w:sz w:val="20"/>
              </w:rPr>
              <w:t>500 mots</w:t>
            </w:r>
          </w:p>
        </w:tc>
        <w:tc>
          <w:tcPr>
            <w:tcW w:type="dxa" w:w="1296"/>
          </w:tcPr>
          <w:p>
            <w:r>
              <w:rPr>
                <w:rFonts w:ascii="Times New Roman" w:hAnsi="Times New Roman"/>
                <w:sz w:val="20"/>
              </w:rPr>
              <w:t>50</w:t>
            </w:r>
          </w:p>
        </w:tc>
        <w:tc>
          <w:tcPr>
            <w:tcW w:type="dxa" w:w="1296"/>
          </w:tcPr>
          <w:p>
            <w:r>
              <w:rPr>
                <w:rFonts w:ascii="Times New Roman" w:hAnsi="Times New Roman"/>
                <w:sz w:val="20"/>
              </w:rPr>
              <w:t>SLR isolé</w:t>
            </w:r>
          </w:p>
        </w:tc>
        <w:tc>
          <w:tcPr>
            <w:tcW w:type="dxa" w:w="1296"/>
          </w:tcPr>
          <w:p>
            <w:r>
              <w:rPr>
                <w:rFonts w:ascii="Times New Roman" w:hAnsi="Times New Roman"/>
                <w:sz w:val="20"/>
              </w:rPr>
              <w:t>USTC, 2015</w:t>
            </w:r>
          </w:p>
        </w:tc>
      </w:tr>
      <w:tr>
        <w:tc>
          <w:tcPr>
            <w:tcW w:type="dxa" w:w="1296"/>
          </w:tcPr>
          <w:p>
            <w:r>
              <w:rPr>
                <w:rFonts w:ascii="Times New Roman" w:hAnsi="Times New Roman"/>
                <w:sz w:val="20"/>
              </w:rPr>
              <w:t>CSL-Daily</w:t>
            </w:r>
          </w:p>
        </w:tc>
        <w:tc>
          <w:tcPr>
            <w:tcW w:type="dxa" w:w="1296"/>
          </w:tcPr>
          <w:p>
            <w:r>
              <w:rPr>
                <w:rFonts w:ascii="Times New Roman" w:hAnsi="Times New Roman"/>
                <w:sz w:val="20"/>
              </w:rPr>
              <w:t>CSL (chinois)</w:t>
            </w:r>
          </w:p>
        </w:tc>
        <w:tc>
          <w:tcPr>
            <w:tcW w:type="dxa" w:w="1296"/>
          </w:tcPr>
          <w:p>
            <w:r>
              <w:rPr>
                <w:rFonts w:ascii="Times New Roman" w:hAnsi="Times New Roman"/>
                <w:sz w:val="20"/>
              </w:rPr>
              <w:t>20 654</w:t>
            </w:r>
          </w:p>
        </w:tc>
        <w:tc>
          <w:tcPr>
            <w:tcW w:type="dxa" w:w="1296"/>
          </w:tcPr>
          <w:p>
            <w:r>
              <w:rPr>
                <w:rFonts w:ascii="Times New Roman" w:hAnsi="Times New Roman"/>
                <w:sz w:val="20"/>
              </w:rPr>
              <w:t>2 000 glosses</w:t>
            </w:r>
          </w:p>
        </w:tc>
        <w:tc>
          <w:tcPr>
            <w:tcW w:type="dxa" w:w="1296"/>
          </w:tcPr>
          <w:p>
            <w:r>
              <w:rPr>
                <w:rFonts w:ascii="Times New Roman" w:hAnsi="Times New Roman"/>
                <w:sz w:val="20"/>
              </w:rPr>
              <w:t>10</w:t>
            </w:r>
          </w:p>
        </w:tc>
        <w:tc>
          <w:tcPr>
            <w:tcW w:type="dxa" w:w="1296"/>
          </w:tcPr>
          <w:p>
            <w:r>
              <w:rPr>
                <w:rFonts w:ascii="Times New Roman" w:hAnsi="Times New Roman"/>
                <w:sz w:val="20"/>
              </w:rPr>
              <w:t>CSLR + SLT</w:t>
            </w:r>
          </w:p>
        </w:tc>
        <w:tc>
          <w:tcPr>
            <w:tcW w:type="dxa" w:w="1296"/>
          </w:tcPr>
          <w:p>
            <w:r>
              <w:rPr>
                <w:rFonts w:ascii="Times New Roman" w:hAnsi="Times New Roman"/>
                <w:sz w:val="20"/>
              </w:rPr>
              <w:t>Zhou et al., CVPR 2021</w:t>
            </w:r>
          </w:p>
        </w:tc>
      </w:tr>
      <w:tr>
        <w:tc>
          <w:tcPr>
            <w:tcW w:type="dxa" w:w="1296"/>
          </w:tcPr>
          <w:p>
            <w:r>
              <w:rPr>
                <w:rFonts w:ascii="Times New Roman" w:hAnsi="Times New Roman"/>
                <w:sz w:val="20"/>
              </w:rPr>
              <w:t>RWTH-BOSTON-104</w:t>
            </w:r>
          </w:p>
        </w:tc>
        <w:tc>
          <w:tcPr>
            <w:tcW w:type="dxa" w:w="1296"/>
          </w:tcPr>
          <w:p>
            <w:r>
              <w:rPr>
                <w:rFonts w:ascii="Times New Roman" w:hAnsi="Times New Roman"/>
                <w:sz w:val="20"/>
              </w:rPr>
              <w:t>ASL (anglais)</w:t>
            </w:r>
          </w:p>
        </w:tc>
        <w:tc>
          <w:tcPr>
            <w:tcW w:type="dxa" w:w="1296"/>
          </w:tcPr>
          <w:p>
            <w:r>
              <w:rPr>
                <w:rFonts w:ascii="Times New Roman" w:hAnsi="Times New Roman"/>
                <w:sz w:val="20"/>
              </w:rPr>
              <w:t>201 flux</w:t>
            </w:r>
          </w:p>
        </w:tc>
        <w:tc>
          <w:tcPr>
            <w:tcW w:type="dxa" w:w="1296"/>
          </w:tcPr>
          <w:p>
            <w:r>
              <w:rPr>
                <w:rFonts w:ascii="Times New Roman" w:hAnsi="Times New Roman"/>
                <w:sz w:val="20"/>
              </w:rPr>
              <w:t>104 signes</w:t>
            </w:r>
          </w:p>
        </w:tc>
        <w:tc>
          <w:tcPr>
            <w:tcW w:type="dxa" w:w="1296"/>
          </w:tcPr>
          <w:p>
            <w:r>
              <w:rPr>
                <w:rFonts w:ascii="Times New Roman" w:hAnsi="Times New Roman"/>
                <w:sz w:val="20"/>
              </w:rPr>
              <w:t>2+</w:t>
            </w:r>
          </w:p>
        </w:tc>
        <w:tc>
          <w:tcPr>
            <w:tcW w:type="dxa" w:w="1296"/>
          </w:tcPr>
          <w:p>
            <w:r>
              <w:rPr>
                <w:rFonts w:ascii="Times New Roman" w:hAnsi="Times New Roman"/>
                <w:sz w:val="20"/>
              </w:rPr>
              <w:t>CSLR</w:t>
            </w:r>
          </w:p>
        </w:tc>
        <w:tc>
          <w:tcPr>
            <w:tcW w:type="dxa" w:w="1296"/>
          </w:tcPr>
          <w:p>
            <w:r>
              <w:rPr>
                <w:rFonts w:ascii="Times New Roman" w:hAnsi="Times New Roman"/>
                <w:sz w:val="20"/>
              </w:rPr>
              <w:t>RWTH-i6, 2008</w:t>
            </w:r>
          </w:p>
        </w:tc>
      </w:tr>
      <w:tr>
        <w:tc>
          <w:tcPr>
            <w:tcW w:type="dxa" w:w="1296"/>
          </w:tcPr>
          <w:p>
            <w:r>
              <w:rPr>
                <w:rFonts w:ascii="Times New Roman" w:hAnsi="Times New Roman"/>
                <w:sz w:val="20"/>
              </w:rPr>
              <w:t>AfriSign (2025)</w:t>
            </w:r>
          </w:p>
        </w:tc>
        <w:tc>
          <w:tcPr>
            <w:tcW w:type="dxa" w:w="1296"/>
          </w:tcPr>
          <w:p>
            <w:r>
              <w:rPr>
                <w:rFonts w:ascii="Times New Roman" w:hAnsi="Times New Roman"/>
                <w:sz w:val="20"/>
              </w:rPr>
              <w:t>6 LS africaines</w:t>
            </w:r>
          </w:p>
        </w:tc>
        <w:tc>
          <w:tcPr>
            <w:tcW w:type="dxa" w:w="1296"/>
          </w:tcPr>
          <w:p>
            <w:r>
              <w:rPr>
                <w:rFonts w:ascii="Times New Roman" w:hAnsi="Times New Roman"/>
                <w:sz w:val="20"/>
              </w:rPr>
              <w:t>Non public.</w:t>
            </w:r>
          </w:p>
        </w:tc>
        <w:tc>
          <w:tcPr>
            <w:tcW w:type="dxa" w:w="1296"/>
          </w:tcPr>
          <w:p>
            <w:r>
              <w:rPr>
                <w:rFonts w:ascii="Times New Roman" w:hAnsi="Times New Roman"/>
                <w:sz w:val="20"/>
              </w:rPr>
              <w:t>Non spécif.</w:t>
            </w:r>
          </w:p>
        </w:tc>
        <w:tc>
          <w:tcPr>
            <w:tcW w:type="dxa" w:w="1296"/>
          </w:tcPr>
          <w:p>
            <w:r>
              <w:rPr>
                <w:rFonts w:ascii="Times New Roman" w:hAnsi="Times New Roman"/>
                <w:sz w:val="20"/>
              </w:rPr>
              <w:t>Multiples</w:t>
            </w:r>
          </w:p>
        </w:tc>
        <w:tc>
          <w:tcPr>
            <w:tcW w:type="dxa" w:w="1296"/>
          </w:tcPr>
          <w:p>
            <w:r>
              <w:rPr>
                <w:rFonts w:ascii="Times New Roman" w:hAnsi="Times New Roman"/>
                <w:sz w:val="20"/>
              </w:rPr>
              <w:t>SLT</w:t>
            </w:r>
          </w:p>
        </w:tc>
        <w:tc>
          <w:tcPr>
            <w:tcW w:type="dxa" w:w="1296"/>
          </w:tcPr>
          <w:p>
            <w:r>
              <w:rPr>
                <w:rFonts w:ascii="Times New Roman" w:hAnsi="Times New Roman"/>
                <w:sz w:val="20"/>
              </w:rPr>
              <w:t>Springer NA, 2025</w:t>
            </w:r>
          </w:p>
        </w:tc>
      </w:tr>
    </w:tbl>
    <w:p>
      <w:pPr>
        <w:spacing w:before="40" w:after="200"/>
        <w:jc w:val="center"/>
      </w:pPr>
      <w:r>
        <w:rPr>
          <w:rFonts w:ascii="Times New Roman" w:hAnsi="Times New Roman"/>
          <w:i/>
          <w:sz w:val="20"/>
        </w:rPr>
        <w:t>Tableau 5 : Principaux corpus de référence pour la reconnaissance de la langue des signes</w:t>
      </w:r>
    </w:p>
    <w:p>
      <w:pPr>
        <w:spacing w:before="200" w:after="80"/>
        <w:jc w:val="left"/>
      </w:pPr>
      <w:r>
        <w:rPr>
          <w:rFonts w:ascii="Times New Roman" w:hAnsi="Times New Roman"/>
          <w:b/>
          <w:sz w:val="24"/>
        </w:rPr>
        <w:t>3.8.1 RWTH-PHOENIX-Weather 2014 : le benchmark de référence mondial</w:t>
      </w:r>
    </w:p>
    <w:p>
      <w:pPr>
        <w:spacing w:before="0" w:after="120"/>
        <w:ind w:firstLine="709"/>
        <w:jc w:val="both"/>
      </w:pPr>
      <w:r>
        <w:rPr>
          <w:rFonts w:ascii="Times New Roman" w:hAnsi="Times New Roman"/>
          <w:sz w:val="24"/>
        </w:rPr>
        <w:t>RWTH-PHOENIX-Weather 2014 (Koller et al., 2015) est le corpus de référence le plus utilisé dans la littérature pour la reconnaissance continue de la langue des signes. Il est composé de 6 841 phrases issues de bulletins météorologiques de la chaîne publique allemande Phoenix, interprétés en Langue des Signes Allemande (Deutsche Gebärdensprache — DGS) par 9 interprètes professionnels. Le découpage standard est 5 672 phrases pour l'entraînement, 540 pour le développement et 629 pour le test, sur un vocabulaire de 1 295 glosses.</w:t>
      </w:r>
    </w:p>
    <w:p>
      <w:pPr>
        <w:spacing w:before="0" w:after="120"/>
        <w:ind w:firstLine="709"/>
        <w:jc w:val="both"/>
      </w:pPr>
      <w:r>
        <w:rPr>
          <w:rFonts w:ascii="Times New Roman" w:hAnsi="Times New Roman"/>
          <w:sz w:val="24"/>
        </w:rPr>
        <w:t>La variante PHOENIX-14T ajoute des traductions en allemand pour chaque phrase signée (8 247 paires au total), permettant l'entraînement et l'évaluation de systèmes de traduction de bout en bout. Ce corpus est quasi universellement utilisé comme benchmark de comparaison dans les publications sur la CSLR et la SLT, ce qui facilite les comparaisons entre les différentes approches.</w:t>
      </w:r>
    </w:p>
    <w:p>
      <w:pPr>
        <w:spacing w:before="200" w:after="80"/>
        <w:jc w:val="left"/>
      </w:pPr>
      <w:r>
        <w:rPr>
          <w:rFonts w:ascii="Times New Roman" w:hAnsi="Times New Roman"/>
          <w:b/>
          <w:sz w:val="24"/>
        </w:rPr>
        <w:t>3.8.2 WLASL et MS-ASL : les grands corpus pour l'ASL</w:t>
      </w:r>
    </w:p>
    <w:p>
      <w:pPr>
        <w:spacing w:before="0" w:after="120"/>
        <w:ind w:firstLine="709"/>
        <w:jc w:val="both"/>
      </w:pPr>
      <w:r>
        <w:rPr>
          <w:rFonts w:ascii="Times New Roman" w:hAnsi="Times New Roman"/>
          <w:sz w:val="24"/>
        </w:rPr>
        <w:t>WLASL (Li et al., WACV 2020) est le plus grand corpus vidéo pour la reconnaissance de l'ASL en mots isolés : plus de 21 000 vidéos couvrant 2 000 mots signés, produites par plus de 100 signataires différents. Les performances de référence publiées dans l'article original avec un modèle I3D (Inflated 3D ConvNet) atteignent 65,89 % de précision top-1 sur le sous-ensemble de 100 classes (WLASL100) et 32,48 % sur la totalité des 2 000 classes (WLASL2000). Les méthodes plus récentes (2022-2024) dépassent 75-81 % de top-1 sur WLASL100.</w:t>
      </w:r>
    </w:p>
    <w:p>
      <w:pPr>
        <w:spacing w:before="0" w:after="120"/>
        <w:ind w:firstLine="709"/>
        <w:jc w:val="both"/>
      </w:pPr>
      <w:r>
        <w:rPr>
          <w:rFonts w:ascii="Times New Roman" w:hAnsi="Times New Roman"/>
          <w:sz w:val="24"/>
        </w:rPr>
        <w:t>MS-ASL (Joze &amp; Koller, BMVC 2019), développé par Microsoft Research, offre plus de 25 000 vidéos pour 1 000 signes produits par plus de 200 signataires dans des conditions non contraintes (fond variable, éclairage naturel, caméra de smartphone). Sa diversité inter-signataires et inter-conditions en fait un corpus particulièrement exigeant et réaliste.</w:t>
      </w:r>
    </w:p>
    <w:p>
      <w:pPr>
        <w:spacing w:before="280" w:after="120"/>
        <w:jc w:val="left"/>
      </w:pPr>
      <w:r>
        <w:rPr>
          <w:rFonts w:ascii="Times New Roman" w:hAnsi="Times New Roman"/>
          <w:b/>
          <w:sz w:val="28"/>
        </w:rPr>
        <w:t>3.9 Les langues des signes africaines : un vide documenté</w:t>
      </w:r>
    </w:p>
    <w:p>
      <w:pPr>
        <w:spacing w:before="0" w:after="120"/>
        <w:ind w:firstLine="709"/>
        <w:jc w:val="both"/>
      </w:pPr>
      <w:r>
        <w:rPr>
          <w:rFonts w:ascii="Times New Roman" w:hAnsi="Times New Roman"/>
          <w:sz w:val="24"/>
        </w:rPr>
        <w:t>La quasi-totalité des avancées décrites dans les sections précédentes concerne des langues des signes bien dotées en ressources numériques : la DGS (allemand), l'ASL (américain), la CSL (chinois) ou la BSL (britannique). Les langues des signes africaines sont, à ce jour, quasi absentes de la littérature scientifique internationale.</w:t>
      </w:r>
    </w:p>
    <w:p>
      <w:pPr>
        <w:spacing w:before="200" w:after="80"/>
        <w:jc w:val="left"/>
      </w:pPr>
      <w:r>
        <w:rPr>
          <w:rFonts w:ascii="Times New Roman" w:hAnsi="Times New Roman"/>
          <w:b/>
          <w:sz w:val="24"/>
        </w:rPr>
        <w:t>3.9.1 AfriSign (2025) : premier corpus multilingue africain</w:t>
      </w:r>
    </w:p>
    <w:p>
      <w:pPr>
        <w:spacing w:before="0" w:after="120"/>
        <w:ind w:firstLine="709"/>
        <w:jc w:val="both"/>
      </w:pPr>
      <w:r>
        <w:rPr>
          <w:rFonts w:ascii="Times New Roman" w:hAnsi="Times New Roman"/>
          <w:sz w:val="24"/>
        </w:rPr>
        <w:t>AfriSign (Springer Nature, janvier 2025) constitue la première tentative systématique de constituer un corpus de traduction automatique pour les langues des signes africaines. Le projet couvre six langues des signes : la Langue des Signes Ghanéenne (GSL), Nigériane (NSL), Kenyane (KSL), Zambienne (ZSL), Zimbabwéenne et Sud-Africaine (SASL). Les données proviennent de vidéos bibliques (Nouvelle Traduction du Monde) extraites du portail JW.org, alignées avec leurs traductions anglaises correspondantes. Les méthodes évaluées incluent des Transformers de base, un entraînement multilingue et un transfert cross-lingue entre les six langues.</w:t>
      </w:r>
    </w:p>
    <w:p>
      <w:pPr>
        <w:spacing w:before="0" w:after="120"/>
        <w:ind w:firstLine="709"/>
        <w:jc w:val="both"/>
      </w:pPr>
      <w:r>
        <w:rPr>
          <w:rFonts w:ascii="Times New Roman" w:hAnsi="Times New Roman"/>
          <w:sz w:val="24"/>
        </w:rPr>
        <w:t>Trois points méritent d'être soulignés par rapport à notre travail. Premièrement, la Langue des Signes Béninoise (LSB) et la Langue des Signes de l'Afrique Francophone (LSAF) ne font pas partie du corpus AfriSign, laissant un vide pour les communautés sourdes des pays francophones d'Afrique de l'Ouest. Deuxièmement, les auteurs eux-mêmes concluent que « peu de choses sont connues sur la traduction des langues des signes africaines », confirmant le caractère pionnier de toute recherche dans ce domaine. Troisièmement, l'approche de collecte d'AfriSign (vidéos en ligne) se distingue de notre approche de collecte directe de templates avec des signataires réels, cette dernière produisant des données plus représentatives des conditions naturelles de signation.</w:t>
      </w:r>
    </w:p>
    <w:p>
      <w:pPr>
        <w:spacing w:before="200" w:after="80"/>
        <w:jc w:val="left"/>
      </w:pPr>
      <w:r>
        <w:rPr>
          <w:rFonts w:ascii="Times New Roman" w:hAnsi="Times New Roman"/>
          <w:b/>
          <w:sz w:val="24"/>
        </w:rPr>
        <w:t>3.9.2 La situation linguistique au Bénin</w:t>
      </w:r>
    </w:p>
    <w:p>
      <w:pPr>
        <w:spacing w:before="0" w:after="120"/>
        <w:ind w:firstLine="709"/>
        <w:jc w:val="both"/>
      </w:pPr>
      <w:r>
        <w:rPr>
          <w:rFonts w:ascii="Times New Roman" w:hAnsi="Times New Roman"/>
          <w:sz w:val="24"/>
        </w:rPr>
        <w:t>La situation de la langue des signes au Bénin est particulièrement complexe. Comme le documente Prévot (2011), trois langues des signes coexistent dans le pays : la LSAF (Langue des Signes de l'Afrique Francophone, dérivée de la LSF), l'ASL (introduite par la Christian Mission for the Deaf et l'ASUNOES lors de sa création), et une variante locale émergente parfois désignée comme Langue des Signes Béninoise (LSB). Le rapport WFD (2008) confirme cette coexistence. Dans ce contexte de pluralisme linguistique, notre système a été développé avec les signes tels qu'ils sont pratiqués dans les structures éducatives locales, sans prétendre couvrir l'intégralité des variantes en usage.</w:t>
      </w:r>
    </w:p>
    <w:p>
      <w:pPr>
        <w:spacing w:before="280" w:after="120"/>
        <w:jc w:val="left"/>
      </w:pPr>
      <w:r>
        <w:rPr>
          <w:rFonts w:ascii="Times New Roman" w:hAnsi="Times New Roman"/>
          <w:b/>
          <w:sz w:val="28"/>
        </w:rPr>
        <w:t>3.10 Synthèse et positionnement de notre approche</w:t>
      </w:r>
    </w:p>
    <w:p>
      <w:pPr>
        <w:spacing w:before="0" w:after="120"/>
        <w:ind w:firstLine="709"/>
        <w:jc w:val="both"/>
      </w:pPr>
      <w:r>
        <w:rPr>
          <w:rFonts w:ascii="Times New Roman" w:hAnsi="Times New Roman"/>
          <w:sz w:val="24"/>
        </w:rPr>
        <w:t>L'examen de l'état de l'art permet de positionner clairement notre approche dans le paysage de la recherche en reconnaissance de la langue des signes. Le tableau suivant compare les caractéristiques des principales familles d'approches.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rFonts w:ascii="Times New Roman" w:hAnsi="Times New Roman"/>
                <w:b/>
                <w:sz w:val="20"/>
              </w:rPr>
              <w:t>Critère</w:t>
            </w:r>
          </w:p>
        </w:tc>
        <w:tc>
          <w:tcPr>
            <w:tcW w:type="dxa" w:w="1814"/>
          </w:tcPr>
          <w:p>
            <w:pPr>
              <w:jc w:val="center"/>
            </w:pPr>
            <w:r>
              <w:rPr>
                <w:rFonts w:ascii="Times New Roman" w:hAnsi="Times New Roman"/>
                <w:b/>
                <w:sz w:val="20"/>
              </w:rPr>
              <w:t>CNN brut + CTC</w:t>
              <w:br/>
              <w:t>(Koller 2017)</w:t>
            </w:r>
          </w:p>
        </w:tc>
        <w:tc>
          <w:tcPr>
            <w:tcW w:type="dxa" w:w="1814"/>
          </w:tcPr>
          <w:p>
            <w:pPr>
              <w:jc w:val="center"/>
            </w:pPr>
            <w:r>
              <w:rPr>
                <w:rFonts w:ascii="Times New Roman" w:hAnsi="Times New Roman"/>
                <w:b/>
                <w:sz w:val="20"/>
              </w:rPr>
              <w:t>Transformer</w:t>
              <w:br/>
              <w:t>(Camgoz 2020)</w:t>
            </w:r>
          </w:p>
        </w:tc>
        <w:tc>
          <w:tcPr>
            <w:tcW w:type="dxa" w:w="1814"/>
          </w:tcPr>
          <w:p>
            <w:pPr>
              <w:jc w:val="center"/>
            </w:pPr>
            <w:r>
              <w:rPr>
                <w:rFonts w:ascii="Times New Roman" w:hAnsi="Times New Roman"/>
                <w:b/>
                <w:sz w:val="20"/>
              </w:rPr>
              <w:t>Pose + LSTM</w:t>
              <w:br/>
              <w:t>(approches récentes)</w:t>
            </w:r>
          </w:p>
        </w:tc>
        <w:tc>
          <w:tcPr>
            <w:tcW w:type="dxa" w:w="1814"/>
          </w:tcPr>
          <w:p>
            <w:pPr>
              <w:jc w:val="center"/>
            </w:pPr>
            <w:r>
              <w:rPr>
                <w:rFonts w:ascii="Times New Roman" w:hAnsi="Times New Roman"/>
                <w:b/>
                <w:sz w:val="20"/>
              </w:rPr>
              <w:t>Notre approche</w:t>
              <w:br/>
              <w:t>(BiLSTM-CTC)</w:t>
            </w:r>
          </w:p>
        </w:tc>
      </w:tr>
      <w:tr>
        <w:tc>
          <w:tcPr>
            <w:tcW w:type="dxa" w:w="1814"/>
          </w:tcPr>
          <w:p>
            <w:r>
              <w:rPr>
                <w:rFonts w:ascii="Times New Roman" w:hAnsi="Times New Roman"/>
                <w:sz w:val="20"/>
              </w:rPr>
              <w:t>Entrée</w:t>
            </w:r>
          </w:p>
        </w:tc>
        <w:tc>
          <w:tcPr>
            <w:tcW w:type="dxa" w:w="1814"/>
          </w:tcPr>
          <w:p>
            <w:r>
              <w:rPr>
                <w:rFonts w:ascii="Times New Roman" w:hAnsi="Times New Roman"/>
                <w:sz w:val="20"/>
              </w:rPr>
              <w:t>Pixels vidéo</w:t>
            </w:r>
          </w:p>
        </w:tc>
        <w:tc>
          <w:tcPr>
            <w:tcW w:type="dxa" w:w="1814"/>
          </w:tcPr>
          <w:p>
            <w:r>
              <w:rPr>
                <w:rFonts w:ascii="Times New Roman" w:hAnsi="Times New Roman"/>
                <w:sz w:val="20"/>
              </w:rPr>
              <w:t>Pixels vidéo</w:t>
            </w:r>
          </w:p>
        </w:tc>
        <w:tc>
          <w:tcPr>
            <w:tcW w:type="dxa" w:w="1814"/>
          </w:tcPr>
          <w:p>
            <w:r>
              <w:rPr>
                <w:rFonts w:ascii="Times New Roman" w:hAnsi="Times New Roman"/>
                <w:sz w:val="20"/>
              </w:rPr>
              <w:t>Landmarks (pose)</w:t>
            </w:r>
          </w:p>
        </w:tc>
        <w:tc>
          <w:tcPr>
            <w:tcW w:type="dxa" w:w="1814"/>
          </w:tcPr>
          <w:p>
            <w:r>
              <w:rPr>
                <w:rFonts w:ascii="Times New Roman" w:hAnsi="Times New Roman"/>
                <w:sz w:val="20"/>
              </w:rPr>
              <w:t>Landmarks (MediaPipe)</w:t>
            </w:r>
          </w:p>
        </w:tc>
      </w:tr>
      <w:tr>
        <w:tc>
          <w:tcPr>
            <w:tcW w:type="dxa" w:w="1814"/>
          </w:tcPr>
          <w:p>
            <w:r>
              <w:rPr>
                <w:rFonts w:ascii="Times New Roman" w:hAnsi="Times New Roman"/>
                <w:sz w:val="20"/>
              </w:rPr>
              <w:t>Équipement</w:t>
            </w:r>
          </w:p>
        </w:tc>
        <w:tc>
          <w:tcPr>
            <w:tcW w:type="dxa" w:w="1814"/>
          </w:tcPr>
          <w:p>
            <w:r>
              <w:rPr>
                <w:rFonts w:ascii="Times New Roman" w:hAnsi="Times New Roman"/>
                <w:sz w:val="20"/>
              </w:rPr>
              <w:t>Webcam RGB</w:t>
            </w:r>
          </w:p>
        </w:tc>
        <w:tc>
          <w:tcPr>
            <w:tcW w:type="dxa" w:w="1814"/>
          </w:tcPr>
          <w:p>
            <w:r>
              <w:rPr>
                <w:rFonts w:ascii="Times New Roman" w:hAnsi="Times New Roman"/>
                <w:sz w:val="20"/>
              </w:rPr>
              <w:t>Webcam RGB</w:t>
            </w:r>
          </w:p>
        </w:tc>
        <w:tc>
          <w:tcPr>
            <w:tcW w:type="dxa" w:w="1814"/>
          </w:tcPr>
          <w:p>
            <w:r>
              <w:rPr>
                <w:rFonts w:ascii="Times New Roman" w:hAnsi="Times New Roman"/>
                <w:sz w:val="20"/>
              </w:rPr>
              <w:t>Webcam RGB</w:t>
            </w:r>
          </w:p>
        </w:tc>
        <w:tc>
          <w:tcPr>
            <w:tcW w:type="dxa" w:w="1814"/>
          </w:tcPr>
          <w:p>
            <w:r>
              <w:rPr>
                <w:rFonts w:ascii="Times New Roman" w:hAnsi="Times New Roman"/>
                <w:sz w:val="20"/>
              </w:rPr>
              <w:t>Webcam RGB</w:t>
            </w:r>
          </w:p>
        </w:tc>
      </w:tr>
      <w:tr>
        <w:tc>
          <w:tcPr>
            <w:tcW w:type="dxa" w:w="1814"/>
          </w:tcPr>
          <w:p>
            <w:r>
              <w:rPr>
                <w:rFonts w:ascii="Times New Roman" w:hAnsi="Times New Roman"/>
                <w:sz w:val="20"/>
              </w:rPr>
              <w:t>Vocabulaire (corpus)</w:t>
            </w:r>
          </w:p>
        </w:tc>
        <w:tc>
          <w:tcPr>
            <w:tcW w:type="dxa" w:w="1814"/>
          </w:tcPr>
          <w:p>
            <w:r>
              <w:rPr>
                <w:rFonts w:ascii="Times New Roman" w:hAnsi="Times New Roman"/>
                <w:sz w:val="20"/>
              </w:rPr>
              <w:t>1 295 (PHOENIX)</w:t>
            </w:r>
          </w:p>
        </w:tc>
        <w:tc>
          <w:tcPr>
            <w:tcW w:type="dxa" w:w="1814"/>
          </w:tcPr>
          <w:p>
            <w:r>
              <w:rPr>
                <w:rFonts w:ascii="Times New Roman" w:hAnsi="Times New Roman"/>
                <w:sz w:val="20"/>
              </w:rPr>
              <w:t>1 066 (PHOENIX-T)</w:t>
            </w:r>
          </w:p>
        </w:tc>
        <w:tc>
          <w:tcPr>
            <w:tcW w:type="dxa" w:w="1814"/>
          </w:tcPr>
          <w:p>
            <w:r>
              <w:rPr>
                <w:rFonts w:ascii="Times New Roman" w:hAnsi="Times New Roman"/>
                <w:sz w:val="20"/>
              </w:rPr>
              <w:t>10 à 500 signes</w:t>
            </w:r>
          </w:p>
        </w:tc>
        <w:tc>
          <w:tcPr>
            <w:tcW w:type="dxa" w:w="1814"/>
          </w:tcPr>
          <w:p>
            <w:r>
              <w:rPr>
                <w:rFonts w:ascii="Times New Roman" w:hAnsi="Times New Roman"/>
                <w:sz w:val="20"/>
              </w:rPr>
              <w:t>30 signes</w:t>
            </w:r>
          </w:p>
        </w:tc>
      </w:tr>
      <w:tr>
        <w:tc>
          <w:tcPr>
            <w:tcW w:type="dxa" w:w="1814"/>
          </w:tcPr>
          <w:p>
            <w:r>
              <w:rPr>
                <w:rFonts w:ascii="Times New Roman" w:hAnsi="Times New Roman"/>
                <w:sz w:val="20"/>
              </w:rPr>
              <w:t>WER / Précision</w:t>
            </w:r>
          </w:p>
        </w:tc>
        <w:tc>
          <w:tcPr>
            <w:tcW w:type="dxa" w:w="1814"/>
          </w:tcPr>
          <w:p>
            <w:r>
              <w:rPr>
                <w:rFonts w:ascii="Times New Roman" w:hAnsi="Times New Roman"/>
                <w:sz w:val="20"/>
              </w:rPr>
              <w:t>26,8 % WER</w:t>
            </w:r>
          </w:p>
        </w:tc>
        <w:tc>
          <w:tcPr>
            <w:tcW w:type="dxa" w:w="1814"/>
          </w:tcPr>
          <w:p>
            <w:r>
              <w:rPr>
                <w:rFonts w:ascii="Times New Roman" w:hAnsi="Times New Roman"/>
                <w:sz w:val="20"/>
              </w:rPr>
              <w:t>26,16 % WER / BLEU-4 21,32</w:t>
            </w:r>
          </w:p>
        </w:tc>
        <w:tc>
          <w:tcPr>
            <w:tcW w:type="dxa" w:w="1814"/>
          </w:tcPr>
          <w:p>
            <w:r>
              <w:rPr>
                <w:rFonts w:ascii="Times New Roman" w:hAnsi="Times New Roman"/>
                <w:sz w:val="20"/>
              </w:rPr>
              <w:t>88–99 % (vocab. réduit)</w:t>
            </w:r>
          </w:p>
        </w:tc>
        <w:tc>
          <w:tcPr>
            <w:tcW w:type="dxa" w:w="1814"/>
          </w:tcPr>
          <w:p>
            <w:r>
              <w:rPr>
                <w:rFonts w:ascii="Times New Roman" w:hAnsi="Times New Roman"/>
                <w:sz w:val="20"/>
              </w:rPr>
              <w:t>99,97 % (30 classes)</w:t>
            </w:r>
          </w:p>
        </w:tc>
      </w:tr>
      <w:tr>
        <w:tc>
          <w:tcPr>
            <w:tcW w:type="dxa" w:w="1814"/>
          </w:tcPr>
          <w:p>
            <w:r>
              <w:rPr>
                <w:rFonts w:ascii="Times New Roman" w:hAnsi="Times New Roman"/>
                <w:sz w:val="20"/>
              </w:rPr>
              <w:t>Inférence temps réel</w:t>
            </w:r>
          </w:p>
        </w:tc>
        <w:tc>
          <w:tcPr>
            <w:tcW w:type="dxa" w:w="1814"/>
          </w:tcPr>
          <w:p>
            <w:r>
              <w:rPr>
                <w:rFonts w:ascii="Times New Roman" w:hAnsi="Times New Roman"/>
                <w:sz w:val="20"/>
              </w:rPr>
              <w:t>Partielle</w:t>
            </w:r>
          </w:p>
        </w:tc>
        <w:tc>
          <w:tcPr>
            <w:tcW w:type="dxa" w:w="1814"/>
          </w:tcPr>
          <w:p>
            <w:r>
              <w:rPr>
                <w:rFonts w:ascii="Times New Roman" w:hAnsi="Times New Roman"/>
                <w:sz w:val="20"/>
              </w:rPr>
              <w:t>Non</w:t>
            </w:r>
          </w:p>
        </w:tc>
        <w:tc>
          <w:tcPr>
            <w:tcW w:type="dxa" w:w="1814"/>
          </w:tcPr>
          <w:p>
            <w:r>
              <w:rPr>
                <w:rFonts w:ascii="Times New Roman" w:hAnsi="Times New Roman"/>
                <w:sz w:val="20"/>
              </w:rPr>
              <w:t>Oui (navigateur)</w:t>
            </w:r>
          </w:p>
        </w:tc>
        <w:tc>
          <w:tcPr>
            <w:tcW w:type="dxa" w:w="1814"/>
          </w:tcPr>
          <w:p>
            <w:r>
              <w:rPr>
                <w:rFonts w:ascii="Times New Roman" w:hAnsi="Times New Roman"/>
                <w:sz w:val="20"/>
              </w:rPr>
              <w:t>Oui (navigateur)</w:t>
            </w:r>
          </w:p>
        </w:tc>
      </w:tr>
      <w:tr>
        <w:tc>
          <w:tcPr>
            <w:tcW w:type="dxa" w:w="1814"/>
          </w:tcPr>
          <w:p>
            <w:r>
              <w:rPr>
                <w:rFonts w:ascii="Times New Roman" w:hAnsi="Times New Roman"/>
                <w:sz w:val="20"/>
              </w:rPr>
              <w:t>Ressources nécessaires</w:t>
            </w:r>
          </w:p>
        </w:tc>
        <w:tc>
          <w:tcPr>
            <w:tcW w:type="dxa" w:w="1814"/>
          </w:tcPr>
          <w:p>
            <w:r>
              <w:rPr>
                <w:rFonts w:ascii="Times New Roman" w:hAnsi="Times New Roman"/>
                <w:sz w:val="20"/>
              </w:rPr>
              <w:t>GPU important</w:t>
            </w:r>
          </w:p>
        </w:tc>
        <w:tc>
          <w:tcPr>
            <w:tcW w:type="dxa" w:w="1814"/>
          </w:tcPr>
          <w:p>
            <w:r>
              <w:rPr>
                <w:rFonts w:ascii="Times New Roman" w:hAnsi="Times New Roman"/>
                <w:sz w:val="20"/>
              </w:rPr>
              <w:t>GPU important</w:t>
            </w:r>
          </w:p>
        </w:tc>
        <w:tc>
          <w:tcPr>
            <w:tcW w:type="dxa" w:w="1814"/>
          </w:tcPr>
          <w:p>
            <w:r>
              <w:rPr>
                <w:rFonts w:ascii="Times New Roman" w:hAnsi="Times New Roman"/>
                <w:sz w:val="20"/>
              </w:rPr>
              <w:t>CPU / MPS</w:t>
            </w:r>
          </w:p>
        </w:tc>
        <w:tc>
          <w:tcPr>
            <w:tcW w:type="dxa" w:w="1814"/>
          </w:tcPr>
          <w:p>
            <w:r>
              <w:rPr>
                <w:rFonts w:ascii="Times New Roman" w:hAnsi="Times New Roman"/>
                <w:sz w:val="20"/>
              </w:rPr>
              <w:t>CPU / MPS</w:t>
            </w:r>
          </w:p>
        </w:tc>
      </w:tr>
      <w:tr>
        <w:tc>
          <w:tcPr>
            <w:tcW w:type="dxa" w:w="1814"/>
          </w:tcPr>
          <w:p>
            <w:r>
              <w:rPr>
                <w:rFonts w:ascii="Times New Roman" w:hAnsi="Times New Roman"/>
                <w:sz w:val="20"/>
              </w:rPr>
              <w:t>Langue cible</w:t>
            </w:r>
          </w:p>
        </w:tc>
        <w:tc>
          <w:tcPr>
            <w:tcW w:type="dxa" w:w="1814"/>
          </w:tcPr>
          <w:p>
            <w:r>
              <w:rPr>
                <w:rFonts w:ascii="Times New Roman" w:hAnsi="Times New Roman"/>
                <w:sz w:val="20"/>
              </w:rPr>
              <w:t>DGS (allemand)</w:t>
            </w:r>
          </w:p>
        </w:tc>
        <w:tc>
          <w:tcPr>
            <w:tcW w:type="dxa" w:w="1814"/>
          </w:tcPr>
          <w:p>
            <w:r>
              <w:rPr>
                <w:rFonts w:ascii="Times New Roman" w:hAnsi="Times New Roman"/>
                <w:sz w:val="20"/>
              </w:rPr>
              <w:t>DGS (allemand)</w:t>
            </w:r>
          </w:p>
        </w:tc>
        <w:tc>
          <w:tcPr>
            <w:tcW w:type="dxa" w:w="1814"/>
          </w:tcPr>
          <w:p>
            <w:r>
              <w:rPr>
                <w:rFonts w:ascii="Times New Roman" w:hAnsi="Times New Roman"/>
                <w:sz w:val="20"/>
              </w:rPr>
              <w:t>Diverses</w:t>
            </w:r>
          </w:p>
        </w:tc>
        <w:tc>
          <w:tcPr>
            <w:tcW w:type="dxa" w:w="1814"/>
          </w:tcPr>
          <w:p>
            <w:r>
              <w:rPr>
                <w:rFonts w:ascii="Times New Roman" w:hAnsi="Times New Roman"/>
                <w:sz w:val="20"/>
              </w:rPr>
              <w:t>Signes béninois</w:t>
            </w:r>
          </w:p>
        </w:tc>
      </w:tr>
      <w:tr>
        <w:tc>
          <w:tcPr>
            <w:tcW w:type="dxa" w:w="1814"/>
          </w:tcPr>
          <w:p>
            <w:r>
              <w:rPr>
                <w:rFonts w:ascii="Times New Roman" w:hAnsi="Times New Roman"/>
                <w:sz w:val="20"/>
              </w:rPr>
              <w:t>Disponible sans GPU</w:t>
            </w:r>
          </w:p>
        </w:tc>
        <w:tc>
          <w:tcPr>
            <w:tcW w:type="dxa" w:w="1814"/>
          </w:tcPr>
          <w:p>
            <w:r>
              <w:rPr>
                <w:rFonts w:ascii="Times New Roman" w:hAnsi="Times New Roman"/>
                <w:sz w:val="20"/>
              </w:rPr>
              <w:t>Non</w:t>
            </w:r>
          </w:p>
        </w:tc>
        <w:tc>
          <w:tcPr>
            <w:tcW w:type="dxa" w:w="1814"/>
          </w:tcPr>
          <w:p>
            <w:r>
              <w:rPr>
                <w:rFonts w:ascii="Times New Roman" w:hAnsi="Times New Roman"/>
                <w:sz w:val="20"/>
              </w:rPr>
              <w:t>Non</w:t>
            </w:r>
          </w:p>
        </w:tc>
        <w:tc>
          <w:tcPr>
            <w:tcW w:type="dxa" w:w="1814"/>
          </w:tcPr>
          <w:p>
            <w:r>
              <w:rPr>
                <w:rFonts w:ascii="Times New Roman" w:hAnsi="Times New Roman"/>
                <w:sz w:val="20"/>
              </w:rPr>
              <w:t>Oui</w:t>
            </w:r>
          </w:p>
        </w:tc>
        <w:tc>
          <w:tcPr>
            <w:tcW w:type="dxa" w:w="1814"/>
          </w:tcPr>
          <w:p>
            <w:r>
              <w:rPr>
                <w:rFonts w:ascii="Times New Roman" w:hAnsi="Times New Roman"/>
                <w:sz w:val="20"/>
              </w:rPr>
              <w:t>Oui</w:t>
            </w:r>
          </w:p>
        </w:tc>
      </w:tr>
    </w:tbl>
    <w:p>
      <w:pPr>
        <w:spacing w:before="40" w:after="200"/>
        <w:jc w:val="center"/>
      </w:pPr>
      <w:r>
        <w:rPr>
          <w:rFonts w:ascii="Times New Roman" w:hAnsi="Times New Roman"/>
          <w:i/>
          <w:sz w:val="20"/>
        </w:rPr>
        <w:t>Tableau 6 : Positionnement comparatif de notre approche</w:t>
      </w:r>
    </w:p>
    <w:p>
      <w:pPr>
        <w:spacing w:before="0" w:after="120"/>
        <w:ind w:firstLine="709"/>
        <w:jc w:val="both"/>
      </w:pPr>
      <w:r>
        <w:rPr>
          <w:rFonts w:ascii="Times New Roman" w:hAnsi="Times New Roman"/>
          <w:sz w:val="24"/>
        </w:rPr>
        <w:t>Notre approche se distingue principalement sur trois axes. Premièrement, elle est la seule à cibler les signes utilisés par la communauté sourde béninoise, comblant ainsi un vide documenté dans la littérature. Deuxièmement, l'architecture BiLSTM-CTC sur représentation MediaPipe offre un rapport performance/coût computationnel particulièrement favorable pour un déploiement sur des équipements modestes — condition essentielle dans le contexte béninois. Troisièmement, l'intégration dans un pipeline navigateur complet (extraction côté client, inférence côté serveur, communication WebSocket) produit un système opérationnel et déployable, et non un prototype de recherche.</w:t>
      </w:r>
    </w:p>
    <w:p>
      <w:pPr>
        <w:spacing w:before="0" w:after="120"/>
        <w:ind w:firstLine="709"/>
        <w:jc w:val="both"/>
      </w:pPr>
      <w:r>
        <w:rPr>
          <w:rFonts w:ascii="Times New Roman" w:hAnsi="Times New Roman"/>
          <w:sz w:val="24"/>
        </w:rPr>
        <w:t>Les limitations par rapport à l'état de l'art sont également clairement identifiées : le vocabulaire de 30 signes est considérablement plus réduit que les benchmarks internationaux (1 000 à 2 000 signes). L'extension du vocabulaire, l'intégration des éléments non-manuels (expressions faciales) et l'adaptation à la LSB représentent les axes naturels d'amélioration vers un système comparable aux travaux de référence internationaux.</w:t>
      </w:r>
    </w:p>
    <w:p>
      <w:pPr>
        <w:spacing w:before="280" w:after="120"/>
        <w:jc w:val="left"/>
      </w:pPr>
      <w:r>
        <w:rPr>
          <w:rFonts w:ascii="Times New Roman" w:hAnsi="Times New Roman"/>
          <w:b/>
          <w:sz w:val="28"/>
        </w:rPr>
        <w:t>Références de cette section</w:t>
      </w:r>
    </w:p>
    <w:p>
      <w:pPr>
        <w:pBdr>
          <w:bottom w:val="single" w:sz="4" w:space="1" w:color="AAAAAA"/>
        </w:pBdr>
      </w:pPr>
    </w:p>
    <w:p>
      <w:pPr>
        <w:spacing w:before="0" w:after="80"/>
        <w:ind w:left="454" w:hanging="454"/>
      </w:pPr>
      <w:r>
        <w:rPr>
          <w:rFonts w:ascii="Times New Roman" w:hAnsi="Times New Roman"/>
          <w:sz w:val="20"/>
        </w:rPr>
        <w:t>Camgoz, N.C., Koller, O., Hadfield, S., &amp; Bowden, R. (2020). Sign Language Transformers: Joint End-to-End Sign Language Recognition and Translation. CVPR 2020. arXiv:2003.13830.</w:t>
      </w:r>
    </w:p>
    <w:p>
      <w:pPr>
        <w:spacing w:before="0" w:after="80"/>
        <w:ind w:left="454" w:hanging="454"/>
      </w:pPr>
      <w:r>
        <w:rPr>
          <w:rFonts w:ascii="Times New Roman" w:hAnsi="Times New Roman"/>
          <w:sz w:val="20"/>
        </w:rPr>
        <w:t>Fels, S.S., &amp; Hinton, G.E. (1993). Glove-Talk: A neural network interface between a data-glove and a speech synthesizer. IEEE Transactions on Neural Networks, 4(1), 2-8.</w:t>
      </w:r>
    </w:p>
    <w:p>
      <w:pPr>
        <w:spacing w:before="0" w:after="80"/>
        <w:ind w:left="454" w:hanging="454"/>
      </w:pPr>
      <w:r>
        <w:rPr>
          <w:rFonts w:ascii="Times New Roman" w:hAnsi="Times New Roman"/>
          <w:sz w:val="20"/>
        </w:rPr>
        <w:t>Graves, A., Fernández, S., Gomez, F., &amp; Schmidhuber, J. (2006). Connectionist Temporal Classification: Labelling unsegmented sequence data with recurrent neural networks. ICML 2006.</w:t>
      </w:r>
    </w:p>
    <w:p>
      <w:pPr>
        <w:spacing w:before="0" w:after="80"/>
        <w:ind w:left="454" w:hanging="454"/>
      </w:pPr>
      <w:r>
        <w:rPr>
          <w:rFonts w:ascii="Times New Roman" w:hAnsi="Times New Roman"/>
          <w:sz w:val="20"/>
        </w:rPr>
        <w:t>Hu, H., Zhou, W., Pu, J., &amp; Li, H. (2023). Continuous Sign Language Recognition with Correlation Network. CVPR 2023. arXiv:2303.03202.</w:t>
      </w:r>
    </w:p>
    <w:p>
      <w:pPr>
        <w:spacing w:before="0" w:after="80"/>
        <w:ind w:left="454" w:hanging="454"/>
      </w:pPr>
      <w:r>
        <w:rPr>
          <w:rFonts w:ascii="Times New Roman" w:hAnsi="Times New Roman"/>
          <w:sz w:val="20"/>
        </w:rPr>
        <w:t>Joze, H.R.V., &amp; Koller, O. (2019). MS-ASL: A Large-Scale Data Set and Benchmark for Understanding American Sign Language. BMVC 2019. arXiv:1812.01053.</w:t>
      </w:r>
    </w:p>
    <w:p>
      <w:pPr>
        <w:spacing w:before="0" w:after="80"/>
        <w:ind w:left="454" w:hanging="454"/>
      </w:pPr>
      <w:r>
        <w:rPr>
          <w:rFonts w:ascii="Times New Roman" w:hAnsi="Times New Roman"/>
          <w:sz w:val="20"/>
        </w:rPr>
        <w:t>Koller, O., Forster, J., &amp; Ney, H. (2015). Continuous Sign Language Recognition: Towards Large Vocabulary Statistical Recognition Systems Handling Multiple Signers. Computer Vision and Image Understanding, 141, 108-125.</w:t>
      </w:r>
    </w:p>
    <w:p>
      <w:pPr>
        <w:spacing w:before="0" w:after="80"/>
        <w:ind w:left="454" w:hanging="454"/>
      </w:pPr>
      <w:r>
        <w:rPr>
          <w:rFonts w:ascii="Times New Roman" w:hAnsi="Times New Roman"/>
          <w:sz w:val="20"/>
        </w:rPr>
        <w:t>Koller, O., Zargaran, S., Ney, H., &amp; Bowden, R. (2016). Deep Sign: Hybrid CNN-HMM for Continuous Sign Language Recognition. BMVC 2016.</w:t>
      </w:r>
    </w:p>
    <w:p>
      <w:pPr>
        <w:spacing w:before="0" w:after="80"/>
        <w:ind w:left="454" w:hanging="454"/>
      </w:pPr>
      <w:r>
        <w:rPr>
          <w:rFonts w:ascii="Times New Roman" w:hAnsi="Times New Roman"/>
          <w:sz w:val="20"/>
        </w:rPr>
        <w:t>Koller, O., Zargaran, O., &amp; Ney, H. (2017). Re-Sign: Re-Aligned End-to-End Sequence Modelling with Deep Recurrent CNN-HMMs. CVPR 2017.</w:t>
      </w:r>
    </w:p>
    <w:p>
      <w:pPr>
        <w:spacing w:before="0" w:after="80"/>
        <w:ind w:left="454" w:hanging="454"/>
      </w:pPr>
      <w:r>
        <w:rPr>
          <w:rFonts w:ascii="Times New Roman" w:hAnsi="Times New Roman"/>
          <w:sz w:val="20"/>
        </w:rPr>
        <w:t>Krizhevsky, A., Sutskever, I., &amp; Hinton, G.E. (2012). ImageNet Classification with Deep Convolutional Neural Networks. NeurIPS 2012.</w:t>
      </w:r>
    </w:p>
    <w:p>
      <w:pPr>
        <w:spacing w:before="0" w:after="80"/>
        <w:ind w:left="454" w:hanging="454"/>
      </w:pPr>
      <w:r>
        <w:rPr>
          <w:rFonts w:ascii="Times New Roman" w:hAnsi="Times New Roman"/>
          <w:sz w:val="20"/>
        </w:rPr>
        <w:t>Li, D., Rodriguez, C., Yu, X., &amp; Li, H. (2020). Word-Level Deep Sign Language Recognition from Video: A New Large-Scale Dataset and Methods Comparison. WACV 2020. arXiv:1910.11006.</w:t>
      </w:r>
    </w:p>
    <w:p>
      <w:pPr>
        <w:spacing w:before="0" w:after="80"/>
        <w:ind w:left="454" w:hanging="454"/>
      </w:pPr>
      <w:r>
        <w:rPr>
          <w:rFonts w:ascii="Times New Roman" w:hAnsi="Times New Roman"/>
          <w:sz w:val="20"/>
        </w:rPr>
        <w:t>Lu, P., et al. (2024). TCNet: Temporal Convolutional Network with Correlations for Continuous Sign Language Recognition. AAAI 2024. arXiv:2403.11818.</w:t>
      </w:r>
    </w:p>
    <w:p>
      <w:pPr>
        <w:spacing w:before="0" w:after="80"/>
        <w:ind w:left="454" w:hanging="454"/>
      </w:pPr>
      <w:r>
        <w:rPr>
          <w:rFonts w:ascii="Times New Roman" w:hAnsi="Times New Roman"/>
          <w:sz w:val="20"/>
        </w:rPr>
        <w:t>Lugaresi, C., et al. (2019). MediaPipe: A Framework for Perceiving and Processing Reality. Workshop Perception AR/VR, ICCV 2019.</w:t>
      </w:r>
    </w:p>
    <w:p>
      <w:pPr>
        <w:spacing w:before="0" w:after="80"/>
        <w:ind w:left="454" w:hanging="454"/>
      </w:pPr>
      <w:r>
        <w:rPr>
          <w:rFonts w:ascii="Times New Roman" w:hAnsi="Times New Roman"/>
          <w:sz w:val="20"/>
        </w:rPr>
        <w:t>Mabunde, S., et al. (2025). AfriSign: African Sign Languages Machine Translation. Discover Artificial Intelligence, Springer Nature. DOI: 10.1007/s44163-025-00227-7.</w:t>
      </w:r>
    </w:p>
    <w:p>
      <w:pPr>
        <w:spacing w:before="0" w:after="80"/>
        <w:ind w:left="454" w:hanging="454"/>
      </w:pPr>
      <w:r>
        <w:rPr>
          <w:rFonts w:ascii="Times New Roman" w:hAnsi="Times New Roman"/>
          <w:sz w:val="20"/>
        </w:rPr>
        <w:t>Prévot, A. (2011). La surdité et les sourds au Bénin. Mémoire de Master 1, Université Stendhal Grenoble 3. HAL: dumas-00620765.</w:t>
      </w:r>
    </w:p>
    <w:p>
      <w:pPr>
        <w:spacing w:before="0" w:after="80"/>
        <w:ind w:left="454" w:hanging="454"/>
      </w:pPr>
      <w:r>
        <w:rPr>
          <w:rFonts w:ascii="Times New Roman" w:hAnsi="Times New Roman"/>
          <w:sz w:val="20"/>
        </w:rPr>
        <w:t>Vaswani, A., et al. (2017). Attention Is All You Need. NeurIPS 2017.</w:t>
      </w:r>
    </w:p>
    <w:p>
      <w:pPr>
        <w:spacing w:before="0" w:after="80"/>
        <w:ind w:left="454" w:hanging="454"/>
      </w:pPr>
      <w:r>
        <w:rPr>
          <w:rFonts w:ascii="Times New Roman" w:hAnsi="Times New Roman"/>
          <w:sz w:val="20"/>
        </w:rPr>
        <w:t>World Federation of the Deaf (2008). WFD Global Survey Report. Helsinki : WFD.</w:t>
      </w:r>
    </w:p>
    <w:p>
      <w:pPr>
        <w:spacing w:before="0" w:after="80"/>
        <w:ind w:left="454" w:hanging="454"/>
      </w:pPr>
      <w:r>
        <w:rPr>
          <w:rFonts w:ascii="Times New Roman" w:hAnsi="Times New Roman"/>
          <w:sz w:val="20"/>
        </w:rPr>
        <w:t>Zhou, H., et al. (2023). Gloss-Free Sign Language Translation: Improving from Visual-Language Pretraining. ICCV 2023. arXiv:2307.14768.</w:t>
      </w:r>
    </w:p>
    <w:p>
      <w:pPr>
        <w:spacing w:before="0" w:after="80"/>
        <w:ind w:left="454" w:hanging="454"/>
      </w:pPr>
      <w:r>
        <w:rPr>
          <w:rFonts w:ascii="Times New Roman" w:hAnsi="Times New Roman"/>
          <w:sz w:val="20"/>
        </w:rPr>
        <w:t>Zuo, R., &amp; Mak, B. (2022). C2SLR: Consistency-Enhanced Continuous Sign Language Recognition. CVPR 2022.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