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F3864"/>
          <w:sz w:val="32"/>
        </w:rPr>
        <w:t>2.8  Protocole d'entraînement</w:t>
      </w:r>
    </w:p>
    <w:p>
      <w:pPr>
        <w:spacing w:before="80" w:after="160"/>
        <w:pBdr>
          <w:bottom w:val="single" w:sz="4" w:space="1" w:color="2E4057"/>
        </w:pBdr>
      </w:pPr>
    </w:p>
    <w:p>
      <w:pPr>
        <w:spacing w:before="80" w:after="120"/>
        <w:ind w:firstLine="709"/>
        <w:jc w:val="both"/>
      </w:pPr>
      <w:r>
        <w:rPr>
          <w:rFonts w:ascii="Times New Roman" w:hAnsi="Times New Roman"/>
          <w:sz w:val="24"/>
        </w:rPr>
        <w:t>Cette section décrit les protocoles d'entraînement des deux modèles séquentiels principaux du système : le modèle CTC BiLSTM pour la reconnaissance continue des signes, et le modèle Seq2Seq à attention pour la traduction. Pour chaque modèle, nous précisons les contraintes techniques spécifiques rencontrées, les choix d'hyperparamètres et leurs justifications, ainsi que les résultats obtenus.</w:t>
      </w:r>
    </w:p>
    <w:p>
      <w:pPr>
        <w:spacing w:before="400" w:after="160"/>
      </w:pPr>
      <w:r>
        <w:rPr>
          <w:rFonts w:ascii="Times New Roman" w:hAnsi="Times New Roman"/>
          <w:b/>
          <w:color w:val="1F3864"/>
          <w:sz w:val="28"/>
        </w:rPr>
        <w:t>2.8.1  Entraînement du modèle CTC BiLSTM</w:t>
      </w:r>
    </w:p>
    <w:p>
      <w:pPr>
        <w:spacing w:before="0" w:after="120"/>
        <w:ind w:firstLine="709"/>
        <w:jc w:val="both"/>
      </w:pPr>
      <w:r>
        <w:rPr>
          <w:rFonts w:ascii="Times New Roman" w:hAnsi="Times New Roman"/>
          <w:sz w:val="24"/>
        </w:rPr>
        <w:t>L'entraînement d'un modèle CTC diffère d'un entraînement supervisé classique sur deux aspects fondamentaux : la nature de la fonction de perte et la contrainte sur les longueurs de séquence.</w:t>
      </w:r>
    </w:p>
    <w:p>
      <w:pPr>
        <w:spacing w:before="280" w:after="100"/>
      </w:pPr>
      <w:r>
        <w:rPr>
          <w:rFonts w:ascii="Times New Roman" w:hAnsi="Times New Roman"/>
          <w:b/>
          <w:color w:val="2E4057"/>
          <w:sz w:val="24"/>
        </w:rPr>
        <w:t>Contrainte de longueur CTC</w:t>
      </w:r>
    </w:p>
    <w:p>
      <w:pPr>
        <w:spacing w:before="0" w:after="120"/>
        <w:ind w:firstLine="709"/>
        <w:jc w:val="both"/>
      </w:pPr>
      <w:r>
        <w:rPr>
          <w:rFonts w:ascii="Times New Roman" w:hAnsi="Times New Roman"/>
          <w:sz w:val="24"/>
        </w:rPr>
        <w:t>La perte CTC (Connectionist Temporal Classification) calcule la vraisemblance d'une séquence cible en marginalisant sur tous les alignements temporels possibles entre la séquence d'entrée et la séquence de signes cible. Cette marginalisation impose une contrainte stricte sur les longueurs : la séquence d'entrée de T images doit satisfaire :</w:t>
      </w:r>
    </w:p>
    <w:tbl>
      <w:tblPr>
        <w:tblStyle w:val="TableGrid"/>
        <w:tblW w:type="auto" w:w="0"/>
        <w:tblLook w:firstColumn="1" w:firstRow="1" w:lastColumn="0" w:lastRow="0" w:noHBand="0" w:noVBand="1" w:val="04A0"/>
      </w:tblPr>
      <w:tblGrid>
        <w:gridCol w:w="9072"/>
      </w:tblGrid>
      <w:tr>
        <w:tc>
          <w:tcPr>
            <w:tcW w:type="dxa" w:w="9072"/>
            <w:shd w:val="clear" w:color="auto" w:fill="EBF0F7"/>
          </w:tcPr>
          <w:p>
            <w:pPr>
              <w:spacing w:before="80" w:after="40"/>
            </w:pPr>
            <w:r>
              <w:rPr>
                <w:rFonts w:ascii="Times New Roman" w:hAnsi="Times New Roman"/>
                <w:b/>
                <w:color w:val="1F3864"/>
                <w:sz w:val="20"/>
              </w:rPr>
              <w:t>Contrainte CTC :</w:t>
            </w:r>
          </w:p>
          <w:p>
            <w:pPr>
              <w:spacing w:before="0" w:after="40"/>
            </w:pPr>
            <w:r>
              <w:rPr>
                <w:rFonts w:ascii="Courier New" w:hAnsi="Courier New"/>
                <w:sz w:val="19"/>
              </w:rPr>
              <w:t>T  ≥  2 × S − 1</w:t>
            </w:r>
          </w:p>
          <w:p>
            <w:pPr>
              <w:spacing w:before="0" w:after="40"/>
            </w:pPr>
            <w:r>
              <w:rPr>
                <w:rFonts w:ascii="Courier New" w:hAnsi="Courier New"/>
                <w:sz w:val="19"/>
              </w:rPr>
            </w:r>
          </w:p>
          <w:p>
            <w:pPr>
              <w:spacing w:before="0" w:after="40"/>
            </w:pPr>
            <w:r>
              <w:rPr>
                <w:rFonts w:ascii="Courier New" w:hAnsi="Courier New"/>
                <w:sz w:val="19"/>
              </w:rPr>
              <w:t>où  T = nombre d'images de la séquence d'entrée</w:t>
            </w:r>
          </w:p>
          <w:p>
            <w:pPr>
              <w:spacing w:before="0" w:after="40"/>
            </w:pPr>
            <w:r>
              <w:rPr>
                <w:rFonts w:ascii="Courier New" w:hAnsi="Courier New"/>
                <w:sz w:val="19"/>
              </w:rPr>
              <w:t xml:space="preserve">     S = nombre de signes dans la séquence cible</w:t>
            </w:r>
          </w:p>
          <w:p>
            <w:pPr>
              <w:spacing w:before="0" w:after="40"/>
            </w:pPr>
            <w:r>
              <w:rPr>
                <w:rFonts w:ascii="Courier New" w:hAnsi="Courier New"/>
                <w:sz w:val="19"/>
              </w:rPr>
            </w:r>
          </w:p>
          <w:p>
            <w:pPr>
              <w:spacing w:before="0" w:after="40"/>
            </w:pPr>
            <w:r>
              <w:rPr>
                <w:rFonts w:ascii="Courier New" w:hAnsi="Courier New"/>
                <w:sz w:val="19"/>
              </w:rPr>
              <w:t>Exemple : S = 5 signes  →  T ≥ 9 images minimum</w:t>
            </w:r>
          </w:p>
          <w:p>
            <w:pPr>
              <w:spacing w:before="0" w:after="40"/>
            </w:pPr>
            <w:r>
              <w:rPr>
                <w:rFonts w:ascii="Courier New" w:hAnsi="Courier New"/>
                <w:sz w:val="19"/>
              </w:rPr>
              <w:t>(intercaler un blank entre chaque signe : s₁ _ s₂ _ s₃ _ s₄ _ s₅)</w:t>
            </w:r>
          </w:p>
        </w:tc>
      </w:tr>
    </w:tbl>
    <w:p>
      <w:pPr>
        <w:spacing w:after="80"/>
      </w:pPr>
    </w:p>
    <w:p>
      <w:pPr>
        <w:spacing w:before="0" w:after="120"/>
        <w:ind w:firstLine="709"/>
        <w:jc w:val="both"/>
      </w:pPr>
      <w:r>
        <w:rPr>
          <w:rFonts w:ascii="Times New Roman" w:hAnsi="Times New Roman"/>
          <w:sz w:val="24"/>
        </w:rPr>
        <w:t>Dans le corpus synthétique, certaines séquences générées avec un facteur de tempo faible (0.50×) peuvent ne pas satisfaire cette contrainte pour des séquences cibles longues. Le paramètre zero_infinity=True de CTCLoss gère ces cas en remplaçant les pertes infinies par zéro plutôt que d'interrompre l'entraînement :</w:t>
      </w:r>
    </w:p>
    <w:p>
      <w:pPr>
        <w:spacing w:before="80" w:after="160"/>
        <w:ind w:left="850"/>
      </w:pPr>
      <w:r>
        <w:rPr>
          <w:rFonts w:ascii="Courier New" w:hAnsi="Courier New"/>
          <w:sz w:val="19"/>
        </w:rPr>
        <w:t>criterion = nn.CTCLoss(</w:t>
        <w:br/>
        <w:t xml:space="preserve">    blank        = N_CLASSES,    # index 30 (= nombre de classes)</w:t>
        <w:br/>
        <w:t xml:space="preserve">    reduction    = 'mean',</w:t>
        <w:br/>
        <w:t xml:space="preserve">    zero_infinity = True          # ignore les pertes infinies (contrainte violée)</w:t>
        <w:br/>
        <w:t>)</w:t>
      </w:r>
    </w:p>
    <w:p>
      <w:pPr>
        <w:spacing w:before="280" w:after="100"/>
      </w:pPr>
      <w:r>
        <w:rPr>
          <w:rFonts w:ascii="Times New Roman" w:hAnsi="Times New Roman"/>
          <w:b/>
          <w:color w:val="2E4057"/>
          <w:sz w:val="24"/>
        </w:rPr>
        <w:t>Stratégie de calcul sur Apple Silicon (MPS)</w:t>
      </w:r>
    </w:p>
    <w:p>
      <w:pPr>
        <w:spacing w:before="0" w:after="120"/>
        <w:ind w:firstLine="709"/>
        <w:jc w:val="both"/>
      </w:pPr>
      <w:r>
        <w:rPr>
          <w:rFonts w:ascii="Times New Roman" w:hAnsi="Times New Roman"/>
          <w:sz w:val="24"/>
        </w:rPr>
        <w:t>PyTorch ne supporte pas l'opération CTCLoss sur le backend MPS d'Apple Silicon. La stratégie adoptée consiste à effectuer le calcul de la perte sur CPU, tandis que les paramètres du modèle et les passes forward restent sur le GPU MPS :</w:t>
      </w:r>
    </w:p>
    <w:p>
      <w:pPr>
        <w:spacing w:before="80" w:after="160"/>
        <w:ind w:left="850"/>
      </w:pPr>
      <w:r>
        <w:rPr>
          <w:rFonts w:ascii="Courier New" w:hAnsi="Courier New"/>
          <w:sz w:val="19"/>
        </w:rPr>
        <w:t>_CTC_ON_CPU = (DEVICE.type == 'mps')</w:t>
        <w:br/>
        <w:br/>
        <w:t># Dans la boucle d'entraînement :</w:t>
        <w:br/>
        <w:t>log_p = model(padded, in_lens)              # forward sur MPS (rapide)</w:t>
        <w:br/>
        <w:t>loss  = criterion(</w:t>
        <w:br/>
        <w:t xml:space="preserve">    log_p.cpu() if _CTC_ON_CPU else log_p,  # perte sur CPU si MPS</w:t>
        <w:br/>
        <w:t xml:space="preserve">    tgt, in_lens, tgt_lens</w:t>
        <w:br/>
        <w:t>)</w:t>
        <w:br/>
        <w:t>loss.backward()                             # gradient remonte vers MPS</w:t>
      </w:r>
    </w:p>
    <w:p>
      <w:pPr>
        <w:spacing w:before="0" w:after="120"/>
        <w:ind w:firstLine="709"/>
        <w:jc w:val="both"/>
      </w:pPr>
      <w:r>
        <w:rPr>
          <w:rFonts w:ascii="Times New Roman" w:hAnsi="Times New Roman"/>
          <w:sz w:val="24"/>
        </w:rPr>
        <w:t>Cette stratégie hybride permet de bénéficier de l'accélération MPS pour les opérations matricielles du BiLSTM tout en contournant la limitation de CTCLoss, sans surcoût significatif grâce au faible volume des transferts (logits CPU → gradient MPS uniquement).</w:t>
      </w:r>
    </w:p>
    <w:p>
      <w:pPr>
        <w:spacing w:before="280" w:after="100"/>
      </w:pPr>
      <w:r>
        <w:rPr>
          <w:rFonts w:ascii="Times New Roman" w:hAnsi="Times New Roman"/>
          <w:b/>
          <w:color w:val="2E4057"/>
          <w:sz w:val="24"/>
        </w:rPr>
        <w:t>Hyperparamètres d'entraînement</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pPr>
              <w:jc w:val="center"/>
            </w:pPr>
            <w:r>
              <w:rPr>
                <w:rFonts w:ascii="Times New Roman" w:hAnsi="Times New Roman"/>
                <w:b/>
                <w:color w:val="FFFFFF"/>
                <w:sz w:val="20"/>
              </w:rPr>
              <w:t>Hyperparamètre</w:t>
            </w:r>
          </w:p>
        </w:tc>
        <w:tc>
          <w:tcPr>
            <w:tcW w:type="dxa" w:w="2268"/>
            <w:shd w:val="clear" w:color="auto" w:fill="1F3864"/>
          </w:tcPr>
          <w:p>
            <w:pPr>
              <w:jc w:val="center"/>
            </w:pPr>
            <w:r>
              <w:rPr>
                <w:rFonts w:ascii="Times New Roman" w:hAnsi="Times New Roman"/>
                <w:b/>
                <w:color w:val="FFFFFF"/>
                <w:sz w:val="20"/>
              </w:rPr>
              <w:t>Valeur</w:t>
            </w:r>
          </w:p>
        </w:tc>
        <w:tc>
          <w:tcPr>
            <w:tcW w:type="dxa" w:w="4819"/>
            <w:shd w:val="clear" w:color="auto" w:fill="1F3864"/>
          </w:tcPr>
          <w:p>
            <w:pPr>
              <w:jc w:val="center"/>
            </w:pPr>
            <w:r>
              <w:rPr>
                <w:rFonts w:ascii="Times New Roman" w:hAnsi="Times New Roman"/>
                <w:b/>
                <w:color w:val="FFFFFF"/>
                <w:sz w:val="20"/>
              </w:rPr>
              <w:t>Justification</w:t>
            </w:r>
          </w:p>
        </w:tc>
      </w:tr>
      <w:tr>
        <w:tc>
          <w:tcPr>
            <w:tcW w:type="dxa" w:w="2268"/>
            <w:shd w:val="clear" w:color="auto" w:fill="EBF0F7"/>
          </w:tcPr>
          <w:p>
            <w:r>
              <w:rPr>
                <w:rFonts w:ascii="Times New Roman" w:hAnsi="Times New Roman"/>
                <w:sz w:val="20"/>
              </w:rPr>
              <w:t>Architecture</w:t>
            </w:r>
          </w:p>
        </w:tc>
        <w:tc>
          <w:tcPr>
            <w:tcW w:type="dxa" w:w="2268"/>
            <w:shd w:val="clear" w:color="auto" w:fill="EBF0F7"/>
          </w:tcPr>
          <w:p>
            <w:r>
              <w:rPr>
                <w:rFonts w:ascii="Times New Roman" w:hAnsi="Times New Roman"/>
                <w:sz w:val="20"/>
              </w:rPr>
              <w:t>BiLSTM — 2 couches</w:t>
              <w:br/>
              <w:t>hidden = 256 par direction</w:t>
            </w:r>
          </w:p>
        </w:tc>
        <w:tc>
          <w:tcPr>
            <w:tcW w:type="dxa" w:w="4819"/>
            <w:shd w:val="clear" w:color="auto" w:fill="EBF0F7"/>
          </w:tcPr>
          <w:p>
            <w:r>
              <w:rPr>
                <w:rFonts w:ascii="Times New Roman" w:hAnsi="Times New Roman"/>
                <w:sz w:val="20"/>
              </w:rPr>
              <w:t>Modélisation des dépendances temporelles dans les deux sens ;</w:t>
              <w:br/>
              <w:t>256 unités offrent une capacité suffisante sans saturer la mémoire M1.</w:t>
            </w:r>
          </w:p>
        </w:tc>
      </w:tr>
      <w:tr>
        <w:tc>
          <w:tcPr>
            <w:tcW w:type="dxa" w:w="2268"/>
            <w:shd w:val="clear" w:color="auto" w:fill="FFFFFF"/>
          </w:tcPr>
          <w:p>
            <w:r>
              <w:rPr>
                <w:rFonts w:ascii="Times New Roman" w:hAnsi="Times New Roman"/>
                <w:sz w:val="20"/>
              </w:rPr>
              <w:t>Dimension d'entrée</w:t>
            </w:r>
          </w:p>
        </w:tc>
        <w:tc>
          <w:tcPr>
            <w:tcW w:type="dxa" w:w="2268"/>
            <w:shd w:val="clear" w:color="auto" w:fill="FFFFFF"/>
          </w:tcPr>
          <w:p>
            <w:r>
              <w:rPr>
                <w:rFonts w:ascii="Times New Roman" w:hAnsi="Times New Roman"/>
                <w:sz w:val="20"/>
              </w:rPr>
              <w:t>171 dims</w:t>
            </w:r>
          </w:p>
        </w:tc>
        <w:tc>
          <w:tcPr>
            <w:tcW w:type="dxa" w:w="4819"/>
            <w:shd w:val="clear" w:color="auto" w:fill="FFFFFF"/>
          </w:tcPr>
          <w:p>
            <w:r>
              <w:rPr>
                <w:rFonts w:ascii="Times New Roman" w:hAnsi="Times New Roman"/>
                <w:sz w:val="20"/>
              </w:rPr>
              <w:t>Vecteur de caractéristiques complet</w:t>
              <w:br/>
              <w:t>(39 pose + 66 main gauche + 66 main droite).</w:t>
              <w:br/>
              <w:t>Non enrichi avec les 6 dims de vitesse.</w:t>
            </w:r>
          </w:p>
        </w:tc>
      </w:tr>
      <w:tr>
        <w:tc>
          <w:tcPr>
            <w:tcW w:type="dxa" w:w="2268"/>
            <w:shd w:val="clear" w:color="auto" w:fill="EBF0F7"/>
          </w:tcPr>
          <w:p>
            <w:r>
              <w:rPr>
                <w:rFonts w:ascii="Times New Roman" w:hAnsi="Times New Roman"/>
                <w:sz w:val="20"/>
              </w:rPr>
              <w:t>Token blank CTC</w:t>
            </w:r>
          </w:p>
        </w:tc>
        <w:tc>
          <w:tcPr>
            <w:tcW w:type="dxa" w:w="2268"/>
            <w:shd w:val="clear" w:color="auto" w:fill="EBF0F7"/>
          </w:tcPr>
          <w:p>
            <w:r>
              <w:rPr>
                <w:rFonts w:ascii="Times New Roman" w:hAnsi="Times New Roman"/>
                <w:sz w:val="20"/>
              </w:rPr>
              <w:t>Index 30</w:t>
              <w:br/>
              <w:t>(= n_classes)</w:t>
            </w:r>
          </w:p>
        </w:tc>
        <w:tc>
          <w:tcPr>
            <w:tcW w:type="dxa" w:w="4819"/>
            <w:shd w:val="clear" w:color="auto" w:fill="EBF0F7"/>
          </w:tcPr>
          <w:p>
            <w:r>
              <w:rPr>
                <w:rFonts w:ascii="Times New Roman" w:hAnsi="Times New Roman"/>
                <w:sz w:val="20"/>
              </w:rPr>
              <w:t>Convention standard PyTorch : le blank est placé</w:t>
              <w:br/>
              <w:t>à l'indice n_classes, après les 30 classes réelles.</w:t>
            </w:r>
          </w:p>
        </w:tc>
      </w:tr>
      <w:tr>
        <w:tc>
          <w:tcPr>
            <w:tcW w:type="dxa" w:w="2268"/>
            <w:shd w:val="clear" w:color="auto" w:fill="FFFFFF"/>
          </w:tcPr>
          <w:p>
            <w:r>
              <w:rPr>
                <w:rFonts w:ascii="Times New Roman" w:hAnsi="Times New Roman"/>
                <w:sz w:val="20"/>
              </w:rPr>
              <w:t>Batch size</w:t>
            </w:r>
          </w:p>
        </w:tc>
        <w:tc>
          <w:tcPr>
            <w:tcW w:type="dxa" w:w="2268"/>
            <w:shd w:val="clear" w:color="auto" w:fill="FFFFFF"/>
          </w:tcPr>
          <w:p>
            <w:r>
              <w:rPr>
                <w:rFonts w:ascii="Times New Roman" w:hAnsi="Times New Roman"/>
                <w:sz w:val="20"/>
              </w:rPr>
              <w:t>32</w:t>
            </w:r>
          </w:p>
        </w:tc>
        <w:tc>
          <w:tcPr>
            <w:tcW w:type="dxa" w:w="4819"/>
            <w:shd w:val="clear" w:color="auto" w:fill="FFFFFF"/>
          </w:tcPr>
          <w:p>
            <w:r>
              <w:rPr>
                <w:rFonts w:ascii="Times New Roman" w:hAnsi="Times New Roman"/>
                <w:sz w:val="20"/>
              </w:rPr>
              <w:t>Contrainte mémoire : M1 16 Go unifiée CPU/GPU.</w:t>
              <w:br/>
              <w:t>Batchs plus grands risquent de saturer la mémoire partagée.</w:t>
            </w:r>
          </w:p>
        </w:tc>
      </w:tr>
      <w:tr>
        <w:tc>
          <w:tcPr>
            <w:tcW w:type="dxa" w:w="2268"/>
            <w:shd w:val="clear" w:color="auto" w:fill="EBF0F7"/>
          </w:tcPr>
          <w:p>
            <w:r>
              <w:rPr>
                <w:rFonts w:ascii="Times New Roman" w:hAnsi="Times New Roman"/>
                <w:sz w:val="20"/>
              </w:rPr>
              <w:t>Optimiseur</w:t>
            </w:r>
          </w:p>
        </w:tc>
        <w:tc>
          <w:tcPr>
            <w:tcW w:type="dxa" w:w="2268"/>
            <w:shd w:val="clear" w:color="auto" w:fill="EBF0F7"/>
          </w:tcPr>
          <w:p>
            <w:r>
              <w:rPr>
                <w:rFonts w:ascii="Times New Roman" w:hAnsi="Times New Roman"/>
                <w:sz w:val="20"/>
              </w:rPr>
              <w:t>Adam</w:t>
              <w:br/>
              <w:t>lr = 1×10⁻³</w:t>
              <w:br/>
              <w:t>weight_decay = 1×10⁻⁵</w:t>
            </w:r>
          </w:p>
        </w:tc>
        <w:tc>
          <w:tcPr>
            <w:tcW w:type="dxa" w:w="4819"/>
            <w:shd w:val="clear" w:color="auto" w:fill="EBF0F7"/>
          </w:tcPr>
          <w:p>
            <w:r>
              <w:rPr>
                <w:rFonts w:ascii="Times New Roman" w:hAnsi="Times New Roman"/>
                <w:sz w:val="20"/>
              </w:rPr>
              <w:t>Adam : convergence rapide sur des données synthétiques variées.</w:t>
              <w:br/>
              <w:t>weight_decay : régularisation L2 légère pour limiter le sur-apprentissage.</w:t>
            </w:r>
          </w:p>
        </w:tc>
      </w:tr>
      <w:tr>
        <w:tc>
          <w:tcPr>
            <w:tcW w:type="dxa" w:w="2268"/>
            <w:shd w:val="clear" w:color="auto" w:fill="FFFFFF"/>
          </w:tcPr>
          <w:p>
            <w:r>
              <w:rPr>
                <w:rFonts w:ascii="Times New Roman" w:hAnsi="Times New Roman"/>
                <w:sz w:val="20"/>
              </w:rPr>
              <w:t>Scheduler LR</w:t>
            </w:r>
          </w:p>
        </w:tc>
        <w:tc>
          <w:tcPr>
            <w:tcW w:type="dxa" w:w="2268"/>
            <w:shd w:val="clear" w:color="auto" w:fill="FFFFFF"/>
          </w:tcPr>
          <w:p>
            <w:r>
              <w:rPr>
                <w:rFonts w:ascii="Times New Roman" w:hAnsi="Times New Roman"/>
                <w:sz w:val="20"/>
              </w:rPr>
              <w:t>CosineAnnealingLR</w:t>
              <w:br/>
              <w:t>T_max = 80</w:t>
              <w:br/>
              <w:t>η_min = 1×10⁻⁵</w:t>
            </w:r>
          </w:p>
        </w:tc>
        <w:tc>
          <w:tcPr>
            <w:tcW w:type="dxa" w:w="4819"/>
            <w:shd w:val="clear" w:color="auto" w:fill="FFFFFF"/>
          </w:tcPr>
          <w:p>
            <w:r>
              <w:rPr>
                <w:rFonts w:ascii="Times New Roman" w:hAnsi="Times New Roman"/>
                <w:sz w:val="20"/>
              </w:rPr>
              <w:t>Décroissance cosinus : exploration large en début d'entraînement,</w:t>
              <w:br/>
              <w:t>affinage progressif vers η_min sans paliers brusques.</w:t>
            </w:r>
          </w:p>
        </w:tc>
      </w:tr>
      <w:tr>
        <w:tc>
          <w:tcPr>
            <w:tcW w:type="dxa" w:w="2268"/>
            <w:shd w:val="clear" w:color="auto" w:fill="EBF0F7"/>
          </w:tcPr>
          <w:p>
            <w:r>
              <w:rPr>
                <w:rFonts w:ascii="Times New Roman" w:hAnsi="Times New Roman"/>
                <w:sz w:val="20"/>
              </w:rPr>
              <w:t>Gradient clipping</w:t>
            </w:r>
          </w:p>
        </w:tc>
        <w:tc>
          <w:tcPr>
            <w:tcW w:type="dxa" w:w="2268"/>
            <w:shd w:val="clear" w:color="auto" w:fill="EBF0F7"/>
          </w:tcPr>
          <w:p>
            <w:r>
              <w:rPr>
                <w:rFonts w:ascii="Times New Roman" w:hAnsi="Times New Roman"/>
                <w:sz w:val="20"/>
              </w:rPr>
              <w:t>‖g‖ ≤ 5.0</w:t>
            </w:r>
          </w:p>
        </w:tc>
        <w:tc>
          <w:tcPr>
            <w:tcW w:type="dxa" w:w="4819"/>
            <w:shd w:val="clear" w:color="auto" w:fill="EBF0F7"/>
          </w:tcPr>
          <w:p>
            <w:r>
              <w:rPr>
                <w:rFonts w:ascii="Times New Roman" w:hAnsi="Times New Roman"/>
                <w:sz w:val="20"/>
              </w:rPr>
              <w:t>Prévention de l'explosion du gradient, phénomène fréquent</w:t>
              <w:br/>
              <w:t>dans les LSTM profonds sur des séquences longues.</w:t>
            </w:r>
          </w:p>
        </w:tc>
      </w:tr>
      <w:tr>
        <w:tc>
          <w:tcPr>
            <w:tcW w:type="dxa" w:w="2268"/>
            <w:shd w:val="clear" w:color="auto" w:fill="FFFFFF"/>
          </w:tcPr>
          <w:p>
            <w:r>
              <w:rPr>
                <w:rFonts w:ascii="Times New Roman" w:hAnsi="Times New Roman"/>
                <w:sz w:val="20"/>
              </w:rPr>
              <w:t>Arrêt anticipé</w:t>
            </w:r>
          </w:p>
        </w:tc>
        <w:tc>
          <w:tcPr>
            <w:tcW w:type="dxa" w:w="2268"/>
            <w:shd w:val="clear" w:color="auto" w:fill="FFFFFF"/>
          </w:tcPr>
          <w:p>
            <w:r>
              <w:rPr>
                <w:rFonts w:ascii="Times New Roman" w:hAnsi="Times New Roman"/>
                <w:sz w:val="20"/>
              </w:rPr>
              <w:t>patience = 15 époques</w:t>
              <w:br/>
              <w:t>sur sign_accuracy (val)</w:t>
            </w:r>
          </w:p>
        </w:tc>
        <w:tc>
          <w:tcPr>
            <w:tcW w:type="dxa" w:w="4819"/>
            <w:shd w:val="clear" w:color="auto" w:fill="FFFFFF"/>
          </w:tcPr>
          <w:p>
            <w:r>
              <w:rPr>
                <w:rFonts w:ascii="Times New Roman" w:hAnsi="Times New Roman"/>
                <w:sz w:val="20"/>
              </w:rPr>
              <w:t>Métrique de référence : sign accuracy = 1 − SER</w:t>
              <w:br/>
              <w:t>(Sign Error Rate, distance de Levenshtein normalisée).</w:t>
              <w:br/>
              <w:t>Pas de gain sur 15 époques consécutives → arrêt.</w:t>
            </w:r>
          </w:p>
        </w:tc>
      </w:tr>
      <w:tr>
        <w:tc>
          <w:tcPr>
            <w:tcW w:type="dxa" w:w="2268"/>
            <w:shd w:val="clear" w:color="auto" w:fill="EBF0F7"/>
          </w:tcPr>
          <w:p>
            <w:r>
              <w:rPr>
                <w:rFonts w:ascii="Times New Roman" w:hAnsi="Times New Roman"/>
                <w:sz w:val="20"/>
              </w:rPr>
              <w:t>Époques maximum</w:t>
            </w:r>
          </w:p>
        </w:tc>
        <w:tc>
          <w:tcPr>
            <w:tcW w:type="dxa" w:w="2268"/>
            <w:shd w:val="clear" w:color="auto" w:fill="EBF0F7"/>
          </w:tcPr>
          <w:p>
            <w:r>
              <w:rPr>
                <w:rFonts w:ascii="Times New Roman" w:hAnsi="Times New Roman"/>
                <w:sz w:val="20"/>
              </w:rPr>
              <w:t>80</w:t>
            </w:r>
          </w:p>
        </w:tc>
        <w:tc>
          <w:tcPr>
            <w:tcW w:type="dxa" w:w="4819"/>
            <w:shd w:val="clear" w:color="auto" w:fill="EBF0F7"/>
          </w:tcPr>
          <w:p>
            <w:r>
              <w:rPr>
                <w:rFonts w:ascii="Times New Roman" w:hAnsi="Times New Roman"/>
                <w:sz w:val="20"/>
              </w:rPr>
              <w:t>Le CosineAnnealingLR est paramétré sur T_max = 80,</w:t>
              <w:br/>
              <w:t>cohérence avec la durée maximale d'entraînement.</w:t>
            </w:r>
          </w:p>
        </w:tc>
      </w:tr>
      <w:tr>
        <w:tc>
          <w:tcPr>
            <w:tcW w:type="dxa" w:w="2268"/>
            <w:shd w:val="clear" w:color="auto" w:fill="FFFFFF"/>
          </w:tcPr>
          <w:p>
            <w:r>
              <w:rPr>
                <w:rFonts w:ascii="Times New Roman" w:hAnsi="Times New Roman"/>
                <w:sz w:val="20"/>
              </w:rPr>
              <w:t>Division train / val</w:t>
            </w:r>
          </w:p>
        </w:tc>
        <w:tc>
          <w:tcPr>
            <w:tcW w:type="dxa" w:w="2268"/>
            <w:shd w:val="clear" w:color="auto" w:fill="FFFFFF"/>
          </w:tcPr>
          <w:p>
            <w:r>
              <w:rPr>
                <w:rFonts w:ascii="Times New Roman" w:hAnsi="Times New Roman"/>
                <w:sz w:val="20"/>
              </w:rPr>
              <w:t>90 % / 10 %</w:t>
              <w:br/>
              <w:t>41 400 / 4 600 séquences</w:t>
            </w:r>
          </w:p>
        </w:tc>
        <w:tc>
          <w:tcPr>
            <w:tcW w:type="dxa" w:w="4819"/>
            <w:shd w:val="clear" w:color="auto" w:fill="FFFFFF"/>
          </w:tcPr>
          <w:p>
            <w:r>
              <w:rPr>
                <w:rFonts w:ascii="Times New Roman" w:hAnsi="Times New Roman"/>
                <w:sz w:val="20"/>
              </w:rPr>
              <w:t>Calculé sur 46 000 séquences synthétiques totales</w:t>
              <w:br/>
              <w:t>(6 000 mono-signe + 40 000 multi-signes).</w:t>
              <w:br/>
              <w:t>n_val = max(300, int(0.10 × 46 000)) = 4 600.</w:t>
            </w:r>
          </w:p>
        </w:tc>
      </w:tr>
    </w:tbl>
    <w:p>
      <w:pPr>
        <w:spacing w:before="40" w:after="280"/>
        <w:jc w:val="center"/>
      </w:pPr>
      <w:r>
        <w:rPr>
          <w:rFonts w:ascii="Times New Roman" w:hAnsi="Times New Roman"/>
          <w:i/>
          <w:sz w:val="20"/>
        </w:rPr>
        <w:t>Tableau 2.6 — Hyperparamètres d'entraînement du modèle CTC BiLSTM</w:t>
        <w:br/>
        <w:t>(vérifiés dans scripts/train_ctc.py)</w:t>
      </w:r>
    </w:p>
    <w:p>
      <w:pPr>
        <w:spacing w:before="280" w:after="100"/>
      </w:pPr>
      <w:r>
        <w:rPr>
          <w:rFonts w:ascii="Times New Roman" w:hAnsi="Times New Roman"/>
          <w:b/>
          <w:color w:val="2E4057"/>
          <w:sz w:val="24"/>
        </w:rPr>
        <w:t>Métrique d'évaluation : Sign Accuracy</w:t>
      </w:r>
    </w:p>
    <w:p>
      <w:pPr>
        <w:spacing w:before="0" w:after="120"/>
        <w:ind w:firstLine="709"/>
        <w:jc w:val="both"/>
      </w:pPr>
      <w:r>
        <w:rPr>
          <w:rFonts w:ascii="Times New Roman" w:hAnsi="Times New Roman"/>
          <w:sz w:val="24"/>
        </w:rPr>
        <w:t>La métrique de validation n'est pas la perte CTC mais la Sign Accuracy, définie comme le complément du Sign Error Rate (SER). Le SER est calculé par la distance de Levenshtein entre la séquence de signes prédite (après décodage glouton) et la séquence cible, normalisée par la longueur de la séquence de référence :</w:t>
      </w:r>
    </w:p>
    <w:tbl>
      <w:tblPr>
        <w:tblStyle w:val="TableGrid"/>
        <w:tblW w:type="auto" w:w="0"/>
        <w:tblLook w:firstColumn="1" w:firstRow="1" w:lastColumn="0" w:lastRow="0" w:noHBand="0" w:noVBand="1" w:val="04A0"/>
      </w:tblPr>
      <w:tblGrid>
        <w:gridCol w:w="9072"/>
      </w:tblGrid>
      <w:tr>
        <w:tc>
          <w:tcPr>
            <w:tcW w:type="dxa" w:w="9072"/>
            <w:shd w:val="clear" w:color="auto" w:fill="EBF0F7"/>
          </w:tcPr>
          <w:p>
            <w:pPr>
              <w:spacing w:before="80" w:after="40"/>
            </w:pPr>
            <w:r>
              <w:rPr>
                <w:rFonts w:ascii="Times New Roman" w:hAnsi="Times New Roman"/>
                <w:b/>
                <w:color w:val="1F3864"/>
                <w:sz w:val="20"/>
              </w:rPr>
              <w:t>Sign Accuracy :</w:t>
            </w:r>
          </w:p>
          <w:p>
            <w:pPr>
              <w:spacing w:before="0" w:after="40"/>
            </w:pPr>
            <w:r>
              <w:rPr>
                <w:rFonts w:ascii="Courier New" w:hAnsi="Courier New"/>
                <w:sz w:val="19"/>
              </w:rPr>
              <w:t>SER         =  Σ Levenshtein(prédit, référence)  /  Σ len(référence)</w:t>
            </w:r>
          </w:p>
          <w:p>
            <w:pPr>
              <w:spacing w:before="0" w:after="40"/>
            </w:pPr>
            <w:r>
              <w:rPr>
                <w:rFonts w:ascii="Courier New" w:hAnsi="Courier New"/>
                <w:sz w:val="19"/>
              </w:rPr>
              <w:t>Sign Acc    =  1 − SER</w:t>
            </w:r>
          </w:p>
          <w:p>
            <w:pPr>
              <w:spacing w:before="0" w:after="40"/>
            </w:pPr>
            <w:r>
              <w:rPr>
                <w:rFonts w:ascii="Courier New" w:hAnsi="Courier New"/>
                <w:sz w:val="19"/>
              </w:rPr>
            </w:r>
          </w:p>
          <w:p>
            <w:pPr>
              <w:spacing w:before="0" w:after="40"/>
            </w:pPr>
            <w:r>
              <w:rPr>
                <w:rFonts w:ascii="Courier New" w:hAnsi="Courier New"/>
                <w:sz w:val="19"/>
              </w:rPr>
              <w:t>Résultat obtenu :  Sign Accuracy = 99.97 %  (sur 4 600 séquences de validation)</w:t>
            </w:r>
          </w:p>
          <w:p>
            <w:pPr>
              <w:spacing w:before="0" w:after="40"/>
            </w:pPr>
            <w:r>
              <w:rPr>
                <w:rFonts w:ascii="Courier New" w:hAnsi="Courier New"/>
                <w:sz w:val="19"/>
              </w:rPr>
              <w:t xml:space="preserve">                   (source : data/ctc_model/config.json — best_sign_acc)</w:t>
            </w:r>
          </w:p>
        </w:tc>
      </w:tr>
    </w:tbl>
    <w:p>
      <w:pPr>
        <w:spacing w:after="80"/>
      </w:pPr>
    </w:p>
    <w:p>
      <w:pPr>
        <w:spacing w:before="0" w:after="120"/>
        <w:ind w:firstLine="709"/>
        <w:jc w:val="both"/>
      </w:pPr>
      <w:r>
        <w:rPr>
          <w:rFonts w:ascii="Times New Roman" w:hAnsi="Times New Roman"/>
          <w:sz w:val="24"/>
        </w:rPr>
        <w:t>Le choix de la Sign Accuracy comme critère d'arrêt anticipé (plutôt que la perte CTC) garantit que le modèle sauvegardé est celui qui décode le mieux les séquences de signes, ce qui est l'objectif final du système.</w:t>
      </w:r>
    </w:p>
    <w:p>
      <w:pPr>
        <w:spacing w:before="400" w:after="160"/>
      </w:pPr>
      <w:r>
        <w:rPr>
          <w:rFonts w:ascii="Times New Roman" w:hAnsi="Times New Roman"/>
          <w:b/>
          <w:color w:val="1F3864"/>
          <w:sz w:val="28"/>
        </w:rPr>
        <w:t>2.8.2  Entraînement du modèle Seq2Seq</w:t>
      </w:r>
    </w:p>
    <w:p>
      <w:pPr>
        <w:spacing w:before="0" w:after="120"/>
        <w:ind w:firstLine="709"/>
        <w:jc w:val="both"/>
      </w:pPr>
      <w:r>
        <w:rPr>
          <w:rFonts w:ascii="Times New Roman" w:hAnsi="Times New Roman"/>
          <w:sz w:val="24"/>
        </w:rPr>
        <w:t>L'entraînement du modèle Seq2Seq soulève un problème spécifique aux architectures auto-régressives : le biais d'exposition (exposure bias). En entraînement standard avec teacher forcing, le décodeur reçoit à chaque pas de temps le vrai mot précédent comme entrée, ce qui ne correspond pas aux conditions réelles d'inférence où il doit utiliser ses propres prédictions. Un écart entre les distributions d'entraînement et d'inférence s'accumule alors à chaque pas de génération.</w:t>
      </w:r>
    </w:p>
    <w:p>
      <w:pPr>
        <w:spacing w:before="280" w:after="100"/>
      </w:pPr>
      <w:r>
        <w:rPr>
          <w:rFonts w:ascii="Times New Roman" w:hAnsi="Times New Roman"/>
          <w:b/>
          <w:color w:val="2E4057"/>
          <w:sz w:val="24"/>
        </w:rPr>
        <w:t>Teacher Forcing Annealing</w:t>
      </w:r>
    </w:p>
    <w:p>
      <w:pPr>
        <w:spacing w:before="0" w:after="120"/>
        <w:ind w:firstLine="709"/>
        <w:jc w:val="both"/>
      </w:pPr>
      <w:r>
        <w:rPr>
          <w:rFonts w:ascii="Times New Roman" w:hAnsi="Times New Roman"/>
          <w:sz w:val="24"/>
        </w:rPr>
        <w:t>Pour atténuer ce biais, une technique de teacher forcing annealing est utilisée : la probabilité d'utiliser le vrai mot précédent (teacher forcing) décroît progressivement au fil des époques, forçant le modèle à s'appuyer de plus en plus sur ses propres prédictions pendant l'entraînement lui-même.</w:t>
      </w:r>
    </w:p>
    <w:tbl>
      <w:tblPr>
        <w:tblStyle w:val="TableGrid"/>
        <w:tblW w:type="auto" w:w="0"/>
        <w:tblLook w:firstColumn="1" w:firstRow="1" w:lastColumn="0" w:lastRow="0" w:noHBand="0" w:noVBand="1" w:val="04A0"/>
      </w:tblPr>
      <w:tblGrid>
        <w:gridCol w:w="9072"/>
      </w:tblGrid>
      <w:tr>
        <w:tc>
          <w:tcPr>
            <w:tcW w:type="dxa" w:w="9072"/>
            <w:shd w:val="clear" w:color="auto" w:fill="EBF0F7"/>
          </w:tcPr>
          <w:p>
            <w:pPr>
              <w:spacing w:before="80" w:after="40"/>
            </w:pPr>
            <w:r>
              <w:rPr>
                <w:rFonts w:ascii="Times New Roman" w:hAnsi="Times New Roman"/>
                <w:b/>
                <w:color w:val="1F3864"/>
                <w:sz w:val="20"/>
              </w:rPr>
              <w:t>Formule du teacher forcing annealing :</w:t>
            </w:r>
          </w:p>
          <w:p>
            <w:pPr>
              <w:spacing w:before="0" w:after="40"/>
            </w:pPr>
            <w:r>
              <w:rPr>
                <w:rFonts w:ascii="Courier New" w:hAnsi="Courier New"/>
                <w:sz w:val="19"/>
              </w:rPr>
              <w:t>tf(époque)  =  max(0.3,  1.0 − époque × 0.008)</w:t>
            </w:r>
          </w:p>
          <w:p>
            <w:pPr>
              <w:spacing w:before="0" w:after="40"/>
            </w:pPr>
            <w:r>
              <w:rPr>
                <w:rFonts w:ascii="Courier New" w:hAnsi="Courier New"/>
                <w:sz w:val="19"/>
              </w:rPr>
            </w:r>
          </w:p>
          <w:p>
            <w:pPr>
              <w:spacing w:before="0" w:after="40"/>
            </w:pPr>
            <w:r>
              <w:rPr>
                <w:rFonts w:ascii="Courier New" w:hAnsi="Courier New"/>
                <w:sz w:val="19"/>
              </w:rPr>
              <w:t>époque  1  :  tf = max(0.3, 0.992)  ≈  0.99   (quasi-teacher-forcing)</w:t>
            </w:r>
          </w:p>
          <w:p>
            <w:pPr>
              <w:spacing w:before="0" w:after="40"/>
            </w:pPr>
            <w:r>
              <w:rPr>
                <w:rFonts w:ascii="Courier New" w:hAnsi="Courier New"/>
                <w:sz w:val="19"/>
              </w:rPr>
              <w:t>époque 50  :  tf = max(0.3, 0.600)  =  0.60</w:t>
            </w:r>
          </w:p>
          <w:p>
            <w:pPr>
              <w:spacing w:before="0" w:after="40"/>
            </w:pPr>
            <w:r>
              <w:rPr>
                <w:rFonts w:ascii="Courier New" w:hAnsi="Courier New"/>
                <w:sz w:val="19"/>
              </w:rPr>
              <w:t>époque 88  :  tf = max(0.3, 0.296)  =  0.30   (plancher atteint)</w:t>
            </w:r>
          </w:p>
          <w:p>
            <w:pPr>
              <w:spacing w:before="0" w:after="40"/>
            </w:pPr>
            <w:r>
              <w:rPr>
                <w:rFonts w:ascii="Courier New" w:hAnsi="Courier New"/>
                <w:sz w:val="19"/>
              </w:rPr>
              <w:t>époque 100 :  tf = max(0.3, 0.200)  =  0.30   (plancher maintenu)</w:t>
            </w:r>
          </w:p>
          <w:p>
            <w:pPr>
              <w:spacing w:before="0" w:after="40"/>
            </w:pPr>
            <w:r>
              <w:rPr>
                <w:rFonts w:ascii="Courier New" w:hAnsi="Courier New"/>
                <w:sz w:val="19"/>
              </w:rPr>
            </w:r>
          </w:p>
          <w:p>
            <w:pPr>
              <w:spacing w:before="0" w:after="40"/>
            </w:pPr>
            <w:r>
              <w:rPr>
                <w:rFonts w:ascii="Courier New" w:hAnsi="Courier New"/>
                <w:sz w:val="19"/>
              </w:rPr>
              <w:t>À chaque pas de temps t du décodeur :</w:t>
            </w:r>
          </w:p>
          <w:p>
            <w:pPr>
              <w:spacing w:before="0" w:after="40"/>
            </w:pPr>
            <w:r>
              <w:rPr>
                <w:rFonts w:ascii="Courier New" w:hAnsi="Courier New"/>
                <w:sz w:val="19"/>
              </w:rPr>
              <w:t xml:space="preserve">  si rand() &lt; tf  →  entrée = vrai mot précédent  (teacher forcing)</w:t>
            </w:r>
          </w:p>
          <w:p>
            <w:pPr>
              <w:spacing w:before="0" w:after="40"/>
            </w:pPr>
            <w:r>
              <w:rPr>
                <w:rFonts w:ascii="Courier New" w:hAnsi="Courier New"/>
                <w:sz w:val="19"/>
              </w:rPr>
              <w:t xml:space="preserve">  sinon           →  entrée = argmax(logits_{t-1})  (scheduled sampling)</w:t>
            </w:r>
          </w:p>
        </w:tc>
      </w:tr>
    </w:tbl>
    <w:p>
      <w:pPr>
        <w:spacing w:after="80"/>
      </w:pPr>
    </w:p>
    <w:p>
      <w:pPr>
        <w:spacing w:before="0" w:after="120"/>
        <w:ind w:firstLine="709"/>
        <w:jc w:val="both"/>
      </w:pPr>
      <w:r>
        <w:rPr>
          <w:rFonts w:ascii="Times New Roman" w:hAnsi="Times New Roman"/>
          <w:sz w:val="24"/>
        </w:rPr>
        <w:t>Le plancher de 0.30 empêche le modèle de basculer vers une génération entièrement auto-régressive pendant l'entraînement, ce qui entraînerait une instabilité due à l'accumulation d'erreurs sur les longues séquences.</w:t>
      </w:r>
    </w:p>
    <w:p>
      <w:pPr>
        <w:spacing w:before="280" w:after="100"/>
      </w:pPr>
      <w:r>
        <w:rPr>
          <w:rFonts w:ascii="Times New Roman" w:hAnsi="Times New Roman"/>
          <w:b/>
          <w:color w:val="2E4057"/>
          <w:sz w:val="24"/>
        </w:rPr>
        <w:t>Configuration d'entraînement</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pPr>
              <w:jc w:val="center"/>
            </w:pPr>
            <w:r>
              <w:rPr>
                <w:rFonts w:ascii="Times New Roman" w:hAnsi="Times New Roman"/>
                <w:b/>
                <w:color w:val="FFFFFF"/>
                <w:sz w:val="20"/>
              </w:rPr>
              <w:t>Hyperparamètre</w:t>
            </w:r>
          </w:p>
        </w:tc>
        <w:tc>
          <w:tcPr>
            <w:tcW w:type="dxa" w:w="2268"/>
            <w:shd w:val="clear" w:color="auto" w:fill="1F3864"/>
          </w:tcPr>
          <w:p>
            <w:pPr>
              <w:jc w:val="center"/>
            </w:pPr>
            <w:r>
              <w:rPr>
                <w:rFonts w:ascii="Times New Roman" w:hAnsi="Times New Roman"/>
                <w:b/>
                <w:color w:val="FFFFFF"/>
                <w:sz w:val="20"/>
              </w:rPr>
              <w:t>Valeur</w:t>
            </w:r>
          </w:p>
        </w:tc>
        <w:tc>
          <w:tcPr>
            <w:tcW w:type="dxa" w:w="4819"/>
            <w:shd w:val="clear" w:color="auto" w:fill="1F3864"/>
          </w:tcPr>
          <w:p>
            <w:pPr>
              <w:jc w:val="center"/>
            </w:pPr>
            <w:r>
              <w:rPr>
                <w:rFonts w:ascii="Times New Roman" w:hAnsi="Times New Roman"/>
                <w:b/>
                <w:color w:val="FFFFFF"/>
                <w:sz w:val="20"/>
              </w:rPr>
              <w:t>Justification</w:t>
            </w:r>
          </w:p>
        </w:tc>
      </w:tr>
      <w:tr>
        <w:tc>
          <w:tcPr>
            <w:tcW w:type="dxa" w:w="2268"/>
            <w:shd w:val="clear" w:color="auto" w:fill="EBF0F7"/>
          </w:tcPr>
          <w:p>
            <w:r>
              <w:rPr>
                <w:rFonts w:ascii="Times New Roman" w:hAnsi="Times New Roman"/>
                <w:sz w:val="20"/>
              </w:rPr>
              <w:t>Architecture encodeur</w:t>
            </w:r>
          </w:p>
        </w:tc>
        <w:tc>
          <w:tcPr>
            <w:tcW w:type="dxa" w:w="2268"/>
            <w:shd w:val="clear" w:color="auto" w:fill="EBF0F7"/>
          </w:tcPr>
          <w:p>
            <w:r>
              <w:rPr>
                <w:rFonts w:ascii="Times New Roman" w:hAnsi="Times New Roman"/>
                <w:sz w:val="20"/>
              </w:rPr>
              <w:t>BiLSTM 2 couches</w:t>
              <w:br/>
              <w:t>hidden = 128 par direction</w:t>
            </w:r>
          </w:p>
        </w:tc>
        <w:tc>
          <w:tcPr>
            <w:tcW w:type="dxa" w:w="4819"/>
            <w:shd w:val="clear" w:color="auto" w:fill="EBF0F7"/>
          </w:tcPr>
          <w:p>
            <w:r>
              <w:rPr>
                <w:rFonts w:ascii="Times New Roman" w:hAnsi="Times New Roman"/>
                <w:sz w:val="20"/>
              </w:rPr>
              <w:t>Taille modérée adaptée au vocabulaire source</w:t>
              <w:br/>
              <w:t>limité (40 tokens).</w:t>
            </w:r>
          </w:p>
        </w:tc>
      </w:tr>
      <w:tr>
        <w:tc>
          <w:tcPr>
            <w:tcW w:type="dxa" w:w="2268"/>
            <w:shd w:val="clear" w:color="auto" w:fill="FFFFFF"/>
          </w:tcPr>
          <w:p>
            <w:r>
              <w:rPr>
                <w:rFonts w:ascii="Times New Roman" w:hAnsi="Times New Roman"/>
                <w:sz w:val="20"/>
              </w:rPr>
              <w:t>Architecture décodeur</w:t>
            </w:r>
          </w:p>
        </w:tc>
        <w:tc>
          <w:tcPr>
            <w:tcW w:type="dxa" w:w="2268"/>
            <w:shd w:val="clear" w:color="auto" w:fill="FFFFFF"/>
          </w:tcPr>
          <w:p>
            <w:r>
              <w:rPr>
                <w:rFonts w:ascii="Times New Roman" w:hAnsi="Times New Roman"/>
                <w:sz w:val="20"/>
              </w:rPr>
              <w:t>LSTM 2 couches</w:t>
              <w:br/>
              <w:t>hidden = 128</w:t>
            </w:r>
          </w:p>
        </w:tc>
        <w:tc>
          <w:tcPr>
            <w:tcW w:type="dxa" w:w="4819"/>
            <w:shd w:val="clear" w:color="auto" w:fill="FFFFFF"/>
          </w:tcPr>
          <w:p>
            <w:r>
              <w:rPr>
                <w:rFonts w:ascii="Times New Roman" w:hAnsi="Times New Roman"/>
                <w:sz w:val="20"/>
              </w:rPr>
              <w:t>Symétrie avec l'encodeur.</w:t>
              <w:br/>
              <w:t>Attention de Bahdanau intégrée.</w:t>
            </w:r>
          </w:p>
        </w:tc>
      </w:tr>
      <w:tr>
        <w:tc>
          <w:tcPr>
            <w:tcW w:type="dxa" w:w="2268"/>
            <w:shd w:val="clear" w:color="auto" w:fill="EBF0F7"/>
          </w:tcPr>
          <w:p>
            <w:r>
              <w:rPr>
                <w:rFonts w:ascii="Times New Roman" w:hAnsi="Times New Roman"/>
                <w:sz w:val="20"/>
              </w:rPr>
              <w:t>Dimension d'embedding</w:t>
            </w:r>
          </w:p>
        </w:tc>
        <w:tc>
          <w:tcPr>
            <w:tcW w:type="dxa" w:w="2268"/>
            <w:shd w:val="clear" w:color="auto" w:fill="EBF0F7"/>
          </w:tcPr>
          <w:p>
            <w:r>
              <w:rPr>
                <w:rFonts w:ascii="Times New Roman" w:hAnsi="Times New Roman"/>
                <w:sz w:val="20"/>
              </w:rPr>
              <w:t>64 dims (src et tgt)</w:t>
            </w:r>
          </w:p>
        </w:tc>
        <w:tc>
          <w:tcPr>
            <w:tcW w:type="dxa" w:w="4819"/>
            <w:shd w:val="clear" w:color="auto" w:fill="EBF0F7"/>
          </w:tcPr>
          <w:p>
            <w:r>
              <w:rPr>
                <w:rFonts w:ascii="Times New Roman" w:hAnsi="Times New Roman"/>
                <w:sz w:val="20"/>
              </w:rPr>
              <w:t>Compromis entre expressivité et taille du modèle</w:t>
              <w:br/>
              <w:t>pour de petits vocabulaires.</w:t>
            </w:r>
          </w:p>
        </w:tc>
      </w:tr>
      <w:tr>
        <w:tc>
          <w:tcPr>
            <w:tcW w:type="dxa" w:w="2268"/>
            <w:shd w:val="clear" w:color="auto" w:fill="FFFFFF"/>
          </w:tcPr>
          <w:p>
            <w:r>
              <w:rPr>
                <w:rFonts w:ascii="Times New Roman" w:hAnsi="Times New Roman"/>
                <w:sz w:val="20"/>
              </w:rPr>
              <w:t>Vocabulaire source</w:t>
            </w:r>
          </w:p>
        </w:tc>
        <w:tc>
          <w:tcPr>
            <w:tcW w:type="dxa" w:w="2268"/>
            <w:shd w:val="clear" w:color="auto" w:fill="FFFFFF"/>
          </w:tcPr>
          <w:p>
            <w:r>
              <w:rPr>
                <w:rFonts w:ascii="Times New Roman" w:hAnsi="Times New Roman"/>
                <w:sz w:val="20"/>
              </w:rPr>
              <w:t>40 tokens</w:t>
            </w:r>
          </w:p>
        </w:tc>
        <w:tc>
          <w:tcPr>
            <w:tcW w:type="dxa" w:w="4819"/>
            <w:shd w:val="clear" w:color="auto" w:fill="FFFFFF"/>
          </w:tcPr>
          <w:p>
            <w:r>
              <w:rPr>
                <w:rFonts w:ascii="Times New Roman" w:hAnsi="Times New Roman"/>
                <w:sz w:val="20"/>
              </w:rPr>
              <w:t>30 signes + 4 tokens spéciaux (&lt;PAD&gt;, &lt;SOS&gt;, &lt;EOS&gt;, &lt;UNK&gt;)</w:t>
              <w:br/>
              <w:t>+ 6 tokens additionnels présents dans les données</w:t>
              <w:br/>
              <w:t>(attendons, encore, ensemble, maintenant, toi, voulons).</w:t>
            </w:r>
          </w:p>
        </w:tc>
      </w:tr>
      <w:tr>
        <w:tc>
          <w:tcPr>
            <w:tcW w:type="dxa" w:w="2268"/>
            <w:shd w:val="clear" w:color="auto" w:fill="EBF0F7"/>
          </w:tcPr>
          <w:p>
            <w:r>
              <w:rPr>
                <w:rFonts w:ascii="Times New Roman" w:hAnsi="Times New Roman"/>
                <w:sz w:val="20"/>
              </w:rPr>
              <w:t>Vocabulaire cible</w:t>
            </w:r>
          </w:p>
        </w:tc>
        <w:tc>
          <w:tcPr>
            <w:tcW w:type="dxa" w:w="2268"/>
            <w:shd w:val="clear" w:color="auto" w:fill="EBF0F7"/>
          </w:tcPr>
          <w:p>
            <w:r>
              <w:rPr>
                <w:rFonts w:ascii="Times New Roman" w:hAnsi="Times New Roman"/>
                <w:sz w:val="20"/>
              </w:rPr>
              <w:t>195 tokens</w:t>
            </w:r>
          </w:p>
        </w:tc>
        <w:tc>
          <w:tcPr>
            <w:tcW w:type="dxa" w:w="4819"/>
            <w:shd w:val="clear" w:color="auto" w:fill="EBF0F7"/>
          </w:tcPr>
          <w:p>
            <w:r>
              <w:rPr>
                <w:rFonts w:ascii="Times New Roman" w:hAnsi="Times New Roman"/>
                <w:sz w:val="20"/>
              </w:rPr>
              <w:t>Mots français distincts présents dans les 6 209 paires</w:t>
              <w:br/>
              <w:t>d'entraînement.</w:t>
            </w:r>
          </w:p>
        </w:tc>
      </w:tr>
      <w:tr>
        <w:tc>
          <w:tcPr>
            <w:tcW w:type="dxa" w:w="2268"/>
            <w:shd w:val="clear" w:color="auto" w:fill="FFFFFF"/>
          </w:tcPr>
          <w:p>
            <w:r>
              <w:rPr>
                <w:rFonts w:ascii="Times New Roman" w:hAnsi="Times New Roman"/>
                <w:sz w:val="20"/>
              </w:rPr>
              <w:t>Teacher forcing</w:t>
            </w:r>
          </w:p>
        </w:tc>
        <w:tc>
          <w:tcPr>
            <w:tcW w:type="dxa" w:w="2268"/>
            <w:shd w:val="clear" w:color="auto" w:fill="FFFFFF"/>
          </w:tcPr>
          <w:p>
            <w:r>
              <w:rPr>
                <w:rFonts w:ascii="Times New Roman" w:hAnsi="Times New Roman"/>
                <w:sz w:val="20"/>
              </w:rPr>
              <w:t>Annealing</w:t>
              <w:br/>
              <w:t>max(0.3, 1.0 − ep × 0.008)</w:t>
            </w:r>
          </w:p>
        </w:tc>
        <w:tc>
          <w:tcPr>
            <w:tcW w:type="dxa" w:w="4819"/>
            <w:shd w:val="clear" w:color="auto" w:fill="FFFFFF"/>
          </w:tcPr>
          <w:p>
            <w:r>
              <w:rPr>
                <w:rFonts w:ascii="Times New Roman" w:hAnsi="Times New Roman"/>
                <w:sz w:val="20"/>
              </w:rPr>
              <w:t>Atténue le biais d'exposition progressivement.</w:t>
              <w:br/>
              <w:t>Plancher à 0.30 pour stabilité.</w:t>
            </w:r>
          </w:p>
        </w:tc>
      </w:tr>
      <w:tr>
        <w:tc>
          <w:tcPr>
            <w:tcW w:type="dxa" w:w="2268"/>
            <w:shd w:val="clear" w:color="auto" w:fill="EBF0F7"/>
          </w:tcPr>
          <w:p>
            <w:r>
              <w:rPr>
                <w:rFonts w:ascii="Times New Roman" w:hAnsi="Times New Roman"/>
                <w:sz w:val="20"/>
              </w:rPr>
              <w:t>Fonction de perte</w:t>
            </w:r>
          </w:p>
        </w:tc>
        <w:tc>
          <w:tcPr>
            <w:tcW w:type="dxa" w:w="2268"/>
            <w:shd w:val="clear" w:color="auto" w:fill="EBF0F7"/>
          </w:tcPr>
          <w:p>
            <w:r>
              <w:rPr>
                <w:rFonts w:ascii="Times New Roman" w:hAnsi="Times New Roman"/>
                <w:sz w:val="20"/>
              </w:rPr>
              <w:t>CrossEntropyLoss</w:t>
              <w:br/>
              <w:t>(ignore_index = PAD)</w:t>
            </w:r>
          </w:p>
        </w:tc>
        <w:tc>
          <w:tcPr>
            <w:tcW w:type="dxa" w:w="4819"/>
            <w:shd w:val="clear" w:color="auto" w:fill="EBF0F7"/>
          </w:tcPr>
          <w:p>
            <w:r>
              <w:rPr>
                <w:rFonts w:ascii="Times New Roman" w:hAnsi="Times New Roman"/>
                <w:sz w:val="20"/>
              </w:rPr>
              <w:t>Les positions de padding ne contribuent pas à la perte,</w:t>
              <w:br/>
              <w:t>ce qui évite de biaiser l'apprentissage vers les séquences courtes.</w:t>
            </w:r>
          </w:p>
        </w:tc>
      </w:tr>
      <w:tr>
        <w:tc>
          <w:tcPr>
            <w:tcW w:type="dxa" w:w="2268"/>
            <w:shd w:val="clear" w:color="auto" w:fill="FFFFFF"/>
          </w:tcPr>
          <w:p>
            <w:r>
              <w:rPr>
                <w:rFonts w:ascii="Times New Roman" w:hAnsi="Times New Roman"/>
                <w:sz w:val="20"/>
              </w:rPr>
              <w:t>Optimiseur</w:t>
            </w:r>
          </w:p>
        </w:tc>
        <w:tc>
          <w:tcPr>
            <w:tcW w:type="dxa" w:w="2268"/>
            <w:shd w:val="clear" w:color="auto" w:fill="FFFFFF"/>
          </w:tcPr>
          <w:p>
            <w:r>
              <w:rPr>
                <w:rFonts w:ascii="Times New Roman" w:hAnsi="Times New Roman"/>
                <w:sz w:val="20"/>
              </w:rPr>
              <w:t>Adam  (lr = 1×10⁻³)</w:t>
            </w:r>
          </w:p>
        </w:tc>
        <w:tc>
          <w:tcPr>
            <w:tcW w:type="dxa" w:w="4819"/>
            <w:shd w:val="clear" w:color="auto" w:fill="FFFFFF"/>
          </w:tcPr>
          <w:p>
            <w:r>
              <w:rPr>
                <w:rFonts w:ascii="Times New Roman" w:hAnsi="Times New Roman"/>
                <w:sz w:val="20"/>
              </w:rPr>
              <w:t>Standard pour les modèles seq2seq.</w:t>
            </w:r>
          </w:p>
        </w:tc>
      </w:tr>
      <w:tr>
        <w:tc>
          <w:tcPr>
            <w:tcW w:type="dxa" w:w="2268"/>
            <w:shd w:val="clear" w:color="auto" w:fill="EBF0F7"/>
          </w:tcPr>
          <w:p>
            <w:r>
              <w:rPr>
                <w:rFonts w:ascii="Times New Roman" w:hAnsi="Times New Roman"/>
                <w:sz w:val="20"/>
              </w:rPr>
              <w:t>Scheduler LR</w:t>
            </w:r>
          </w:p>
        </w:tc>
        <w:tc>
          <w:tcPr>
            <w:tcW w:type="dxa" w:w="2268"/>
            <w:shd w:val="clear" w:color="auto" w:fill="EBF0F7"/>
          </w:tcPr>
          <w:p>
            <w:r>
              <w:rPr>
                <w:rFonts w:ascii="Times New Roman" w:hAnsi="Times New Roman"/>
                <w:sz w:val="20"/>
              </w:rPr>
              <w:t>ReduceLROnPlateau</w:t>
              <w:br/>
              <w:t>facteur = 0.5, patience = 5</w:t>
            </w:r>
          </w:p>
        </w:tc>
        <w:tc>
          <w:tcPr>
            <w:tcW w:type="dxa" w:w="4819"/>
            <w:shd w:val="clear" w:color="auto" w:fill="EBF0F7"/>
          </w:tcPr>
          <w:p>
            <w:r>
              <w:rPr>
                <w:rFonts w:ascii="Times New Roman" w:hAnsi="Times New Roman"/>
                <w:sz w:val="20"/>
              </w:rPr>
              <w:t>Réduit le LR de moitié si la perte de validation ne s'améliore</w:t>
              <w:br/>
              <w:t>pas sur 5 époques consécutives.</w:t>
            </w:r>
          </w:p>
        </w:tc>
      </w:tr>
      <w:tr>
        <w:tc>
          <w:tcPr>
            <w:tcW w:type="dxa" w:w="2268"/>
            <w:shd w:val="clear" w:color="auto" w:fill="FFFFFF"/>
          </w:tcPr>
          <w:p>
            <w:r>
              <w:rPr>
                <w:rFonts w:ascii="Times New Roman" w:hAnsi="Times New Roman"/>
                <w:sz w:val="20"/>
              </w:rPr>
              <w:t>Gradient clipping</w:t>
            </w:r>
          </w:p>
        </w:tc>
        <w:tc>
          <w:tcPr>
            <w:tcW w:type="dxa" w:w="2268"/>
            <w:shd w:val="clear" w:color="auto" w:fill="FFFFFF"/>
          </w:tcPr>
          <w:p>
            <w:r>
              <w:rPr>
                <w:rFonts w:ascii="Times New Roman" w:hAnsi="Times New Roman"/>
                <w:sz w:val="20"/>
              </w:rPr>
              <w:t>‖g‖ ≤ 1.0</w:t>
            </w:r>
          </w:p>
        </w:tc>
        <w:tc>
          <w:tcPr>
            <w:tcW w:type="dxa" w:w="4819"/>
            <w:shd w:val="clear" w:color="auto" w:fill="FFFFFF"/>
          </w:tcPr>
          <w:p>
            <w:r>
              <w:rPr>
                <w:rFonts w:ascii="Times New Roman" w:hAnsi="Times New Roman"/>
                <w:sz w:val="20"/>
              </w:rPr>
              <w:t>Seuil plus conservateur que pour le CTC,</w:t>
              <w:br/>
              <w:t>les séquences cibles étant plus courtes.</w:t>
            </w:r>
          </w:p>
        </w:tc>
      </w:tr>
      <w:tr>
        <w:tc>
          <w:tcPr>
            <w:tcW w:type="dxa" w:w="2268"/>
            <w:shd w:val="clear" w:color="auto" w:fill="EBF0F7"/>
          </w:tcPr>
          <w:p>
            <w:r>
              <w:rPr>
                <w:rFonts w:ascii="Times New Roman" w:hAnsi="Times New Roman"/>
                <w:sz w:val="20"/>
              </w:rPr>
              <w:t>Arrêt anticipé</w:t>
            </w:r>
          </w:p>
        </w:tc>
        <w:tc>
          <w:tcPr>
            <w:tcW w:type="dxa" w:w="2268"/>
            <w:shd w:val="clear" w:color="auto" w:fill="EBF0F7"/>
          </w:tcPr>
          <w:p>
            <w:r>
              <w:rPr>
                <w:rFonts w:ascii="Times New Roman" w:hAnsi="Times New Roman"/>
                <w:sz w:val="20"/>
              </w:rPr>
              <w:t>patience = 15 époques</w:t>
              <w:br/>
              <w:t>sur val_loss</w:t>
            </w:r>
          </w:p>
        </w:tc>
        <w:tc>
          <w:tcPr>
            <w:tcW w:type="dxa" w:w="4819"/>
            <w:shd w:val="clear" w:color="auto" w:fill="EBF0F7"/>
          </w:tcPr>
          <w:p>
            <w:r>
              <w:rPr>
                <w:rFonts w:ascii="Times New Roman" w:hAnsi="Times New Roman"/>
                <w:sz w:val="20"/>
              </w:rPr>
              <w:t>Sauvegarde du meilleur modèle selon la perte de validation.</w:t>
            </w:r>
          </w:p>
        </w:tc>
      </w:tr>
      <w:tr>
        <w:tc>
          <w:tcPr>
            <w:tcW w:type="dxa" w:w="2268"/>
            <w:shd w:val="clear" w:color="auto" w:fill="FFFFFF"/>
          </w:tcPr>
          <w:p>
            <w:r>
              <w:rPr>
                <w:rFonts w:ascii="Times New Roman" w:hAnsi="Times New Roman"/>
                <w:sz w:val="20"/>
              </w:rPr>
              <w:t>Époques maximum</w:t>
            </w:r>
          </w:p>
        </w:tc>
        <w:tc>
          <w:tcPr>
            <w:tcW w:type="dxa" w:w="2268"/>
            <w:shd w:val="clear" w:color="auto" w:fill="FFFFFF"/>
          </w:tcPr>
          <w:p>
            <w:r>
              <w:rPr>
                <w:rFonts w:ascii="Times New Roman" w:hAnsi="Times New Roman"/>
                <w:sz w:val="20"/>
              </w:rPr>
              <w:t>100</w:t>
            </w:r>
          </w:p>
        </w:tc>
        <w:tc>
          <w:tcPr>
            <w:tcW w:type="dxa" w:w="4819"/>
            <w:shd w:val="clear" w:color="auto" w:fill="FFFFFF"/>
          </w:tcPr>
          <w:p>
            <w:r>
              <w:rPr>
                <w:rFonts w:ascii="Times New Roman" w:hAnsi="Times New Roman"/>
                <w:sz w:val="20"/>
              </w:rPr>
              <w:t>Le plancher tf = 0.30 est atteint à l'époque 88,</w:t>
              <w:br/>
              <w:t>100 époques permettent un affinage après stabilisation.</w:t>
            </w:r>
          </w:p>
        </w:tc>
      </w:tr>
      <w:tr>
        <w:tc>
          <w:tcPr>
            <w:tcW w:type="dxa" w:w="2268"/>
            <w:shd w:val="clear" w:color="auto" w:fill="EBF0F7"/>
          </w:tcPr>
          <w:p>
            <w:r>
              <w:rPr>
                <w:rFonts w:ascii="Times New Roman" w:hAnsi="Times New Roman"/>
                <w:sz w:val="20"/>
              </w:rPr>
              <w:t>Division train / val</w:t>
            </w:r>
          </w:p>
        </w:tc>
        <w:tc>
          <w:tcPr>
            <w:tcW w:type="dxa" w:w="2268"/>
            <w:shd w:val="clear" w:color="auto" w:fill="EBF0F7"/>
          </w:tcPr>
          <w:p>
            <w:r>
              <w:rPr>
                <w:rFonts w:ascii="Times New Roman" w:hAnsi="Times New Roman"/>
                <w:sz w:val="20"/>
              </w:rPr>
              <w:t>90 % / 10 %</w:t>
              <w:br/>
              <w:t>5 589 / 620 paires</w:t>
            </w:r>
          </w:p>
        </w:tc>
        <w:tc>
          <w:tcPr>
            <w:tcW w:type="dxa" w:w="4819"/>
            <w:shd w:val="clear" w:color="auto" w:fill="EBF0F7"/>
          </w:tcPr>
          <w:p>
            <w:r>
              <w:rPr>
                <w:rFonts w:ascii="Times New Roman" w:hAnsi="Times New Roman"/>
                <w:sz w:val="20"/>
              </w:rPr>
              <w:t>n_val = max(200, int(0.10 × 6 209)) = 620.</w:t>
              <w:br/>
              <w:t>Mélange aléatoire (seed = 42) avant la division.</w:t>
            </w:r>
          </w:p>
        </w:tc>
      </w:tr>
    </w:tbl>
    <w:p>
      <w:pPr>
        <w:spacing w:before="40" w:after="280"/>
        <w:jc w:val="center"/>
      </w:pPr>
      <w:r>
        <w:rPr>
          <w:rFonts w:ascii="Times New Roman" w:hAnsi="Times New Roman"/>
          <w:i/>
          <w:sz w:val="20"/>
        </w:rPr>
        <w:t>Tableau 2.7 — Hyperparamètres d'entraînement du modèle Seq2Seq à attention de Bahdanau</w:t>
        <w:br/>
        <w:t>(vérifiés dans scripts/train_seq2seq.py)</w:t>
      </w:r>
    </w:p>
    <w:p>
      <w:pPr>
        <w:spacing w:before="280" w:after="100"/>
      </w:pPr>
      <w:r>
        <w:rPr>
          <w:rFonts w:ascii="Times New Roman" w:hAnsi="Times New Roman"/>
          <w:b/>
          <w:color w:val="2E4057"/>
          <w:sz w:val="24"/>
        </w:rPr>
        <w:t>Décodage en inférence</w:t>
      </w:r>
    </w:p>
    <w:p>
      <w:pPr>
        <w:spacing w:before="0" w:after="120"/>
        <w:ind w:firstLine="709"/>
        <w:jc w:val="both"/>
      </w:pPr>
      <w:r>
        <w:rPr>
          <w:rFonts w:ascii="Times New Roman" w:hAnsi="Times New Roman"/>
          <w:sz w:val="24"/>
        </w:rPr>
        <w:t>En inférence, le décodeur opère de façon entièrement auto-régressive : le token &lt;SOS&gt; initialise la génération, et chaque mot produit devient l'entrée du pas de temps suivant. La génération s'arrête dès l'émission du token &lt;EOS&gt; ou après 20 mots au maximum (MAX_LEN = 20 dans Seq2SeqEngine.translate()). Le décodage est glouton : à chaque pas de temps, le mot retenu est celui de plus haute probabilité (argmax des logits).</w:t>
      </w:r>
    </w:p>
    <w:p>
      <w:pPr>
        <w:spacing w:before="400" w:after="160"/>
      </w:pPr>
      <w:r>
        <w:rPr>
          <w:rFonts w:ascii="Times New Roman" w:hAnsi="Times New Roman"/>
          <w:b/>
          <w:color w:val="1F3864"/>
          <w:sz w:val="28"/>
        </w:rPr>
        <w:t>2.8.3  Résultats d'entraînement</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F3864"/>
          </w:tcPr>
          <w:p>
            <w:pPr>
              <w:jc w:val="center"/>
            </w:pPr>
            <w:r>
              <w:rPr>
                <w:rFonts w:ascii="Times New Roman" w:hAnsi="Times New Roman"/>
                <w:b/>
                <w:color w:val="FFFFFF"/>
                <w:sz w:val="20"/>
              </w:rPr>
              <w:t>Modèle</w:t>
            </w:r>
          </w:p>
        </w:tc>
        <w:tc>
          <w:tcPr>
            <w:tcW w:type="dxa" w:w="2551"/>
            <w:shd w:val="clear" w:color="auto" w:fill="1F3864"/>
          </w:tcPr>
          <w:p>
            <w:pPr>
              <w:jc w:val="center"/>
            </w:pPr>
            <w:r>
              <w:rPr>
                <w:rFonts w:ascii="Times New Roman" w:hAnsi="Times New Roman"/>
                <w:b/>
                <w:color w:val="FFFFFF"/>
                <w:sz w:val="20"/>
              </w:rPr>
              <w:t>Corpus d'entraînement</w:t>
            </w:r>
          </w:p>
        </w:tc>
        <w:tc>
          <w:tcPr>
            <w:tcW w:type="dxa" w:w="2268"/>
            <w:shd w:val="clear" w:color="auto" w:fill="1F3864"/>
          </w:tcPr>
          <w:p>
            <w:pPr>
              <w:jc w:val="center"/>
            </w:pPr>
            <w:r>
              <w:rPr>
                <w:rFonts w:ascii="Times New Roman" w:hAnsi="Times New Roman"/>
                <w:b/>
                <w:color w:val="FFFFFF"/>
                <w:sz w:val="20"/>
              </w:rPr>
              <w:t>Corpus de validation</w:t>
            </w:r>
          </w:p>
        </w:tc>
        <w:tc>
          <w:tcPr>
            <w:tcW w:type="dxa" w:w="2551"/>
            <w:shd w:val="clear" w:color="auto" w:fill="1F3864"/>
          </w:tcPr>
          <w:p>
            <w:pPr>
              <w:jc w:val="center"/>
            </w:pPr>
            <w:r>
              <w:rPr>
                <w:rFonts w:ascii="Times New Roman" w:hAnsi="Times New Roman"/>
                <w:b/>
                <w:color w:val="FFFFFF"/>
                <w:sz w:val="20"/>
              </w:rPr>
              <w:t>Meilleure métrique</w:t>
            </w:r>
          </w:p>
        </w:tc>
      </w:tr>
      <w:tr>
        <w:tc>
          <w:tcPr>
            <w:tcW w:type="dxa" w:w="1984"/>
            <w:shd w:val="clear" w:color="auto" w:fill="EBF0F7"/>
          </w:tcPr>
          <w:p>
            <w:r>
              <w:rPr>
                <w:rFonts w:ascii="Times New Roman" w:hAnsi="Times New Roman"/>
                <w:sz w:val="20"/>
              </w:rPr>
              <w:t>CTC BiLSTM</w:t>
            </w:r>
          </w:p>
        </w:tc>
        <w:tc>
          <w:tcPr>
            <w:tcW w:type="dxa" w:w="2551"/>
            <w:shd w:val="clear" w:color="auto" w:fill="EBF0F7"/>
          </w:tcPr>
          <w:p>
            <w:r>
              <w:rPr>
                <w:rFonts w:ascii="Times New Roman" w:hAnsi="Times New Roman"/>
                <w:sz w:val="20"/>
              </w:rPr>
              <w:t>41 400 séquences</w:t>
              <w:br/>
              <w:t>(90 % × 46 000 synthétiques)</w:t>
            </w:r>
          </w:p>
        </w:tc>
        <w:tc>
          <w:tcPr>
            <w:tcW w:type="dxa" w:w="2268"/>
            <w:shd w:val="clear" w:color="auto" w:fill="EBF0F7"/>
          </w:tcPr>
          <w:p>
            <w:r>
              <w:rPr>
                <w:rFonts w:ascii="Times New Roman" w:hAnsi="Times New Roman"/>
                <w:sz w:val="20"/>
              </w:rPr>
              <w:t>4 600 séquences</w:t>
              <w:br/>
              <w:t>(10 % × 46 000)</w:t>
            </w:r>
          </w:p>
        </w:tc>
        <w:tc>
          <w:tcPr>
            <w:tcW w:type="dxa" w:w="2551"/>
            <w:shd w:val="clear" w:color="auto" w:fill="EBF0F7"/>
          </w:tcPr>
          <w:p>
            <w:r>
              <w:rPr>
                <w:rFonts w:ascii="Times New Roman" w:hAnsi="Times New Roman"/>
                <w:sz w:val="20"/>
              </w:rPr>
              <w:t>Sign Accuracy : 99.97 %</w:t>
              <w:br/>
              <w:t>(source : data/ctc_model/config.json)</w:t>
            </w:r>
          </w:p>
        </w:tc>
      </w:tr>
      <w:tr>
        <w:tc>
          <w:tcPr>
            <w:tcW w:type="dxa" w:w="1984"/>
            <w:shd w:val="clear" w:color="auto" w:fill="FFFFFF"/>
          </w:tcPr>
          <w:p>
            <w:r>
              <w:rPr>
                <w:rFonts w:ascii="Times New Roman" w:hAnsi="Times New Roman"/>
                <w:sz w:val="20"/>
              </w:rPr>
              <w:t>Seq2Seq attention</w:t>
            </w:r>
          </w:p>
        </w:tc>
        <w:tc>
          <w:tcPr>
            <w:tcW w:type="dxa" w:w="2551"/>
            <w:shd w:val="clear" w:color="auto" w:fill="FFFFFF"/>
          </w:tcPr>
          <w:p>
            <w:r>
              <w:rPr>
                <w:rFonts w:ascii="Times New Roman" w:hAnsi="Times New Roman"/>
                <w:sz w:val="20"/>
              </w:rPr>
              <w:t>5 589 paires</w:t>
              <w:br/>
              <w:t>(90 % × 6 209)</w:t>
            </w:r>
          </w:p>
        </w:tc>
        <w:tc>
          <w:tcPr>
            <w:tcW w:type="dxa" w:w="2268"/>
            <w:shd w:val="clear" w:color="auto" w:fill="FFFFFF"/>
          </w:tcPr>
          <w:p>
            <w:r>
              <w:rPr>
                <w:rFonts w:ascii="Times New Roman" w:hAnsi="Times New Roman"/>
                <w:sz w:val="20"/>
              </w:rPr>
              <w:t>620 paires</w:t>
              <w:br/>
              <w:t>(10 % × 6 209)</w:t>
            </w:r>
          </w:p>
        </w:tc>
        <w:tc>
          <w:tcPr>
            <w:tcW w:type="dxa" w:w="2551"/>
            <w:shd w:val="clear" w:color="auto" w:fill="FFFFFF"/>
          </w:tcPr>
          <w:p>
            <w:r>
              <w:rPr>
                <w:rFonts w:ascii="Times New Roman" w:hAnsi="Times New Roman"/>
                <w:sz w:val="20"/>
              </w:rPr>
              <w:t>Perte de validation : 0.0354</w:t>
              <w:br/>
              <w:t>cross-entropie (ignore PAD)</w:t>
              <w:br/>
              <w:t>(source : data/seq2seq/config.json)</w:t>
            </w:r>
          </w:p>
        </w:tc>
      </w:tr>
    </w:tbl>
    <w:p>
      <w:pPr>
        <w:spacing w:before="40" w:after="280"/>
        <w:jc w:val="center"/>
      </w:pPr>
      <w:r>
        <w:rPr>
          <w:rFonts w:ascii="Times New Roman" w:hAnsi="Times New Roman"/>
          <w:i/>
          <w:sz w:val="20"/>
        </w:rPr>
        <w:t>Tableau 2.8 — Résultats d'entraînement des modèles CTC BiLSTM et Seq2Seq</w:t>
        <w:br/>
        <w:t>Valeurs extraites directement des fichiers config.json générés à l'entraînement.</w:t>
      </w:r>
    </w:p>
    <w:p>
      <w:pPr>
        <w:spacing w:before="0" w:after="120"/>
        <w:ind w:firstLine="709"/>
        <w:jc w:val="both"/>
      </w:pPr>
      <w:r>
        <w:rPr>
          <w:rFonts w:ascii="Times New Roman" w:hAnsi="Times New Roman"/>
          <w:sz w:val="24"/>
        </w:rPr>
        <w:t>La Sign Accuracy de 99.97 % du modèle CTC sur les séquences de validation synthétiques indique que le modèle a appris à décoder correctement les séquences continues sans alignement préalable. Il convient de noter que cette métrique est calculée sur des données synthétiques issues du même générateur que les données d'entraînement ; les performances sur des séquences réelles enregistrées en conditions variées peuvent différer.</w:t>
      </w:r>
    </w:p>
    <w:p>
      <w:pPr>
        <w:spacing w:before="0" w:after="120"/>
        <w:ind w:firstLine="709"/>
        <w:jc w:val="both"/>
      </w:pPr>
      <w:r>
        <w:rPr>
          <w:rFonts w:ascii="Times New Roman" w:hAnsi="Times New Roman"/>
          <w:sz w:val="24"/>
        </w:rPr>
        <w:t>La perte de validation Seq2Seq de 0.0354 correspond à une perplexité de e^{0.0354} ≈ 1.036, ce qui indique que le modèle assigne une probabilité très élevée aux mots corrects sur les paires de validation. Les traductions produites sur les séquences du vocabulaire couvert ont été vérifiées manuellement et sont grammaticalement correctes.</w:t>
      </w:r>
    </w:p>
    <w:p>
      <w:pPr>
        <w:spacing w:before="80" w:after="160"/>
        <w:pBdr>
          <w:bottom w:val="single" w:sz="4" w:space="1" w:color="2E4057"/>
        </w:pBdr>
      </w:pPr>
    </w:p>
    <w:p>
      <w:pPr>
        <w:spacing w:before="320" w:after="120"/>
      </w:pPr>
      <w:r>
        <w:rPr>
          <w:rFonts w:ascii="Times New Roman" w:hAnsi="Times New Roman"/>
          <w:b/>
          <w:color w:val="2E4057"/>
          <w:sz w:val="24"/>
        </w:rPr>
        <w:t>Références</w:t>
      </w:r>
    </w:p>
    <w:p>
      <w:pPr>
        <w:spacing w:after="100"/>
        <w:ind w:left="567" w:hanging="567"/>
      </w:pPr>
      <w:r>
        <w:rPr>
          <w:rFonts w:ascii="Times New Roman" w:hAnsi="Times New Roman"/>
          <w:sz w:val="20"/>
        </w:rPr>
        <w:t>[1]  Graves, A., Fernández, S., Gomez, F., &amp; Schmidhuber, J. (2006). Connectionist Temporal Classification: Labelling unsegmented sequence data with recurrent neural networks. ICML 2006, pp. 369–376.</w:t>
      </w:r>
    </w:p>
    <w:p>
      <w:pPr>
        <w:spacing w:after="100"/>
        <w:ind w:left="567" w:hanging="567"/>
      </w:pPr>
      <w:r>
        <w:rPr>
          <w:rFonts w:ascii="Times New Roman" w:hAnsi="Times New Roman"/>
          <w:sz w:val="20"/>
        </w:rPr>
        <w:t>[2]  Bahdanau, D., Cho, K., &amp; Bengio, Y. (2015). Neural Machine Translation by Jointly Learning to Align and Translate. ICLR 2015. arXiv:1409.0473.</w:t>
      </w:r>
    </w:p>
    <w:p>
      <w:pPr>
        <w:spacing w:after="100"/>
        <w:ind w:left="567" w:hanging="567"/>
      </w:pPr>
      <w:r>
        <w:rPr>
          <w:rFonts w:ascii="Times New Roman" w:hAnsi="Times New Roman"/>
          <w:sz w:val="20"/>
        </w:rPr>
        <w:t>[3]  Bengio, S., Vinyals, O., Jaitly, N., &amp; Shazeer, N. (2015). Scheduled Sampling for Sequence Prediction with Recurrent Neural Networks. NeurIPS 2015. arXiv:1506.03099. (Fondement du scheduled sampling / teacher forcing annealing.)</w:t>
      </w:r>
    </w:p>
    <w:p>
      <w:pPr>
        <w:spacing w:after="100"/>
        <w:ind w:left="567" w:hanging="567"/>
      </w:pPr>
      <w:r>
        <w:rPr>
          <w:rFonts w:ascii="Times New Roman" w:hAnsi="Times New Roman"/>
          <w:sz w:val="20"/>
        </w:rPr>
        <w:t>[4]  PyTorch Contributors. (2024). torch.nn.CTCLoss. PyTorch Documentation. pytorch.org/docs/stable/generated/torch.nn.CTCLoss.html.</w:t>
      </w:r>
    </w:p>
    <w:p>
      <w:pPr>
        <w:spacing w:after="100"/>
        <w:ind w:left="567" w:hanging="567"/>
      </w:pPr>
      <w:r>
        <w:rPr>
          <w:rFonts w:ascii="Times New Roman" w:hAnsi="Times New Roman"/>
          <w:sz w:val="20"/>
        </w:rPr>
        <w:t>[5]  Loshchilov, I., &amp; Hutter, F. (2017). SGDR: Stochastic Gradient Descent with Warm Restarts. ICLR 2017. arXiv:1608.03983. (Fondement du CosineAnnealingLR.)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