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Times New Roman" w:hAnsi="Times New Roman"/>
          <w:b/>
          <w:sz w:val="28"/>
        </w:rPr>
        <w:t>Justification de l'apport social de la solution</w:t>
      </w:r>
    </w:p>
    <w:p>
      <w:pPr>
        <w:spacing w:before="120" w:after="120"/>
        <w:ind w:firstLine="709"/>
        <w:jc w:val="both"/>
      </w:pPr>
      <w:r>
        <w:rPr>
          <w:rFonts w:ascii="Times New Roman" w:hAnsi="Times New Roman"/>
          <w:sz w:val="24"/>
        </w:rPr>
        <w:t>La pertinence d'un système de traduction automatique de la langue des signes s'évalue à l'aune des réalités quantifiables de la situation des personnes sourdes et malentendantes au Bénin et en Afrique. Les données présentées dans cette section sont issues exclusivement de sources officielles : recensements nationaux (INSAE), rapports de l'Organisation Mondiale de la Santé (OMS), enquêtes internationales (WFD, GSMA, DataReportal) et publications scientifiques à comité de lecture.</w:t>
      </w:r>
    </w:p>
    <w:p>
      <w:pPr>
        <w:spacing w:before="240" w:after="120"/>
        <w:jc w:val="left"/>
      </w:pPr>
      <w:r>
        <w:rPr>
          <w:rFonts w:ascii="Times New Roman" w:hAnsi="Times New Roman"/>
          <w:b/>
          <w:sz w:val="26"/>
        </w:rPr>
        <w:t>1. La déficience auditive au Bénin : données du recensement national</w:t>
      </w:r>
    </w:p>
    <w:p>
      <w:pPr>
        <w:spacing w:before="0" w:after="120"/>
        <w:ind w:firstLine="709"/>
        <w:jc w:val="both"/>
      </w:pPr>
      <w:r>
        <w:rPr>
          <w:rFonts w:ascii="Times New Roman" w:hAnsi="Times New Roman"/>
          <w:sz w:val="24"/>
        </w:rPr>
        <w:t>Le quatrième Recensement Général de la Population et de l'Habitat du Bénin (RGPH4, INSAE, 2013) constitue la source nationale de référence sur le handicap. Sur une population totale de 10 008 749 habitants recensés, 92 495 personnes ont été enregistrées avec un handicap, soit 1,02 % de la population. Parmi celles-ci, le handicap auditif représente 18 % des cas — la deuxième catégorie la plus fréquente après la déficience visuelle (37,4 %).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Catégorie de handicap</w:t>
            </w:r>
          </w:p>
        </w:tc>
        <w:tc>
          <w:tcPr>
            <w:tcW w:type="dxa" w:w="3024"/>
          </w:tcPr>
          <w:p>
            <w:pPr>
              <w:jc w:val="center"/>
            </w:pPr>
            <w:r>
              <w:rPr>
                <w:rFonts w:ascii="Times New Roman" w:hAnsi="Times New Roman"/>
                <w:b/>
                <w:sz w:val="20"/>
              </w:rPr>
              <w:t>Part (%)</w:t>
            </w:r>
          </w:p>
        </w:tc>
        <w:tc>
          <w:tcPr>
            <w:tcW w:type="dxa" w:w="3024"/>
          </w:tcPr>
          <w:p>
            <w:pPr>
              <w:jc w:val="center"/>
            </w:pPr>
            <w:r>
              <w:rPr>
                <w:rFonts w:ascii="Times New Roman" w:hAnsi="Times New Roman"/>
                <w:b/>
                <w:sz w:val="20"/>
              </w:rPr>
              <w:t>Estimation (RGPH4, 2013)</w:t>
            </w:r>
          </w:p>
        </w:tc>
      </w:tr>
      <w:tr>
        <w:tc>
          <w:tcPr>
            <w:tcW w:type="dxa" w:w="3024"/>
          </w:tcPr>
          <w:p>
            <w:r>
              <w:rPr>
                <w:rFonts w:ascii="Times New Roman" w:hAnsi="Times New Roman"/>
                <w:sz w:val="20"/>
              </w:rPr>
              <w:t>Déficience visuelle</w:t>
            </w:r>
          </w:p>
        </w:tc>
        <w:tc>
          <w:tcPr>
            <w:tcW w:type="dxa" w:w="3024"/>
          </w:tcPr>
          <w:p>
            <w:r>
              <w:rPr>
                <w:rFonts w:ascii="Times New Roman" w:hAnsi="Times New Roman"/>
                <w:sz w:val="20"/>
              </w:rPr>
              <w:t>37,4 %</w:t>
            </w:r>
          </w:p>
        </w:tc>
        <w:tc>
          <w:tcPr>
            <w:tcW w:type="dxa" w:w="3024"/>
          </w:tcPr>
          <w:p>
            <w:r>
              <w:rPr>
                <w:rFonts w:ascii="Times New Roman" w:hAnsi="Times New Roman"/>
                <w:sz w:val="20"/>
              </w:rPr>
              <w:t>~34 593 personnes</w:t>
            </w:r>
          </w:p>
        </w:tc>
      </w:tr>
      <w:tr>
        <w:tc>
          <w:tcPr>
            <w:tcW w:type="dxa" w:w="3024"/>
          </w:tcPr>
          <w:p>
            <w:r>
              <w:rPr>
                <w:rFonts w:ascii="Times New Roman" w:hAnsi="Times New Roman"/>
                <w:sz w:val="20"/>
              </w:rPr>
              <w:t>Déficience auditive</w:t>
            </w:r>
          </w:p>
        </w:tc>
        <w:tc>
          <w:tcPr>
            <w:tcW w:type="dxa" w:w="3024"/>
          </w:tcPr>
          <w:p>
            <w:r>
              <w:rPr>
                <w:rFonts w:ascii="Times New Roman" w:hAnsi="Times New Roman"/>
                <w:sz w:val="20"/>
              </w:rPr>
              <w:t>18,0 %</w:t>
            </w:r>
          </w:p>
        </w:tc>
        <w:tc>
          <w:tcPr>
            <w:tcW w:type="dxa" w:w="3024"/>
          </w:tcPr>
          <w:p>
            <w:r>
              <w:rPr>
                <w:rFonts w:ascii="Times New Roman" w:hAnsi="Times New Roman"/>
                <w:sz w:val="20"/>
              </w:rPr>
              <w:t>~16 649 personnes</w:t>
            </w:r>
          </w:p>
        </w:tc>
      </w:tr>
      <w:tr>
        <w:tc>
          <w:tcPr>
            <w:tcW w:type="dxa" w:w="3024"/>
          </w:tcPr>
          <w:p>
            <w:r>
              <w:rPr>
                <w:rFonts w:ascii="Times New Roman" w:hAnsi="Times New Roman"/>
                <w:sz w:val="20"/>
              </w:rPr>
              <w:t>Handicap moteur cérébral</w:t>
            </w:r>
          </w:p>
        </w:tc>
        <w:tc>
          <w:tcPr>
            <w:tcW w:type="dxa" w:w="3024"/>
          </w:tcPr>
          <w:p>
            <w:r>
              <w:rPr>
                <w:rFonts w:ascii="Times New Roman" w:hAnsi="Times New Roman"/>
                <w:sz w:val="20"/>
              </w:rPr>
              <w:t>16,9 %</w:t>
            </w:r>
          </w:p>
        </w:tc>
        <w:tc>
          <w:tcPr>
            <w:tcW w:type="dxa" w:w="3024"/>
          </w:tcPr>
          <w:p>
            <w:r>
              <w:rPr>
                <w:rFonts w:ascii="Times New Roman" w:hAnsi="Times New Roman"/>
                <w:sz w:val="20"/>
              </w:rPr>
              <w:t>~15 631 personnes</w:t>
            </w:r>
          </w:p>
        </w:tc>
      </w:tr>
      <w:tr>
        <w:tc>
          <w:tcPr>
            <w:tcW w:type="dxa" w:w="3024"/>
          </w:tcPr>
          <w:p>
            <w:r>
              <w:rPr>
                <w:rFonts w:ascii="Times New Roman" w:hAnsi="Times New Roman"/>
                <w:sz w:val="20"/>
              </w:rPr>
              <w:t>Handicap moteur</w:t>
            </w:r>
          </w:p>
        </w:tc>
        <w:tc>
          <w:tcPr>
            <w:tcW w:type="dxa" w:w="3024"/>
          </w:tcPr>
          <w:p>
            <w:r>
              <w:rPr>
                <w:rFonts w:ascii="Times New Roman" w:hAnsi="Times New Roman"/>
                <w:sz w:val="20"/>
              </w:rPr>
              <w:t>16,4 %</w:t>
            </w:r>
          </w:p>
        </w:tc>
        <w:tc>
          <w:tcPr>
            <w:tcW w:type="dxa" w:w="3024"/>
          </w:tcPr>
          <w:p>
            <w:r>
              <w:rPr>
                <w:rFonts w:ascii="Times New Roman" w:hAnsi="Times New Roman"/>
                <w:sz w:val="20"/>
              </w:rPr>
              <w:t>~15 169 personnes</w:t>
            </w:r>
          </w:p>
        </w:tc>
      </w:tr>
      <w:tr>
        <w:tc>
          <w:tcPr>
            <w:tcW w:type="dxa" w:w="3024"/>
          </w:tcPr>
          <w:p>
            <w:r>
              <w:rPr>
                <w:rFonts w:ascii="Times New Roman" w:hAnsi="Times New Roman"/>
                <w:sz w:val="20"/>
              </w:rPr>
              <w:t>Handicap intellectuel</w:t>
            </w:r>
          </w:p>
        </w:tc>
        <w:tc>
          <w:tcPr>
            <w:tcW w:type="dxa" w:w="3024"/>
          </w:tcPr>
          <w:p>
            <w:r>
              <w:rPr>
                <w:rFonts w:ascii="Times New Roman" w:hAnsi="Times New Roman"/>
                <w:sz w:val="20"/>
              </w:rPr>
              <w:t>6,5 %</w:t>
            </w:r>
          </w:p>
        </w:tc>
        <w:tc>
          <w:tcPr>
            <w:tcW w:type="dxa" w:w="3024"/>
          </w:tcPr>
          <w:p>
            <w:r>
              <w:rPr>
                <w:rFonts w:ascii="Times New Roman" w:hAnsi="Times New Roman"/>
                <w:sz w:val="20"/>
              </w:rPr>
              <w:t>~6 012 personnes</w:t>
            </w:r>
          </w:p>
        </w:tc>
      </w:tr>
      <w:tr>
        <w:tc>
          <w:tcPr>
            <w:tcW w:type="dxa" w:w="3024"/>
          </w:tcPr>
          <w:p>
            <w:r>
              <w:rPr>
                <w:rFonts w:ascii="Times New Roman" w:hAnsi="Times New Roman"/>
                <w:sz w:val="20"/>
              </w:rPr>
              <w:t>Handicap psychosocial</w:t>
            </w:r>
          </w:p>
        </w:tc>
        <w:tc>
          <w:tcPr>
            <w:tcW w:type="dxa" w:w="3024"/>
          </w:tcPr>
          <w:p>
            <w:r>
              <w:rPr>
                <w:rFonts w:ascii="Times New Roman" w:hAnsi="Times New Roman"/>
                <w:sz w:val="20"/>
              </w:rPr>
              <w:t>5,0 %</w:t>
            </w:r>
          </w:p>
        </w:tc>
        <w:tc>
          <w:tcPr>
            <w:tcW w:type="dxa" w:w="3024"/>
          </w:tcPr>
          <w:p>
            <w:r>
              <w:rPr>
                <w:rFonts w:ascii="Times New Roman" w:hAnsi="Times New Roman"/>
                <w:sz w:val="20"/>
              </w:rPr>
              <w:t>~4 625 personnes</w:t>
            </w:r>
          </w:p>
        </w:tc>
      </w:tr>
      <w:tr>
        <w:tc>
          <w:tcPr>
            <w:tcW w:type="dxa" w:w="3024"/>
          </w:tcPr>
          <w:p>
            <w:r>
              <w:rPr>
                <w:rFonts w:ascii="Times New Roman" w:hAnsi="Times New Roman"/>
                <w:sz w:val="20"/>
              </w:rPr>
              <w:t>Total personnes handicapées</w:t>
            </w:r>
          </w:p>
        </w:tc>
        <w:tc>
          <w:tcPr>
            <w:tcW w:type="dxa" w:w="3024"/>
          </w:tcPr>
          <w:p>
            <w:r>
              <w:rPr>
                <w:rFonts w:ascii="Times New Roman" w:hAnsi="Times New Roman"/>
                <w:sz w:val="20"/>
              </w:rPr>
              <w:t>100 %</w:t>
            </w:r>
          </w:p>
        </w:tc>
        <w:tc>
          <w:tcPr>
            <w:tcW w:type="dxa" w:w="3024"/>
          </w:tcPr>
          <w:p>
            <w:r>
              <w:rPr>
                <w:rFonts w:ascii="Times New Roman" w:hAnsi="Times New Roman"/>
                <w:sz w:val="20"/>
              </w:rPr>
              <w:t>92 495 personnes (1,02 % pop.)</w:t>
            </w:r>
          </w:p>
        </w:tc>
      </w:tr>
    </w:tbl>
    <w:p/>
    <w:p>
      <w:pPr>
        <w:spacing w:before="0" w:after="200"/>
        <w:ind w:firstLine="709"/>
        <w:jc w:val="both"/>
      </w:pPr>
      <w:r>
        <w:rPr>
          <w:rFonts w:ascii="Times New Roman" w:hAnsi="Times New Roman"/>
          <w:sz w:val="24"/>
        </w:rPr>
        <w:t>Par ailleurs, le rapport 2008 de la Fédération Mondiale des Sourds (World Federation of the Deaf — WFD) recense officiellement 12 512 personnes sourdes au Bénin à cette date, en distinguant les personnes sourdes utilisant la langue des signes de l'ensemble plus large des personnes malentendantes. Ces deux chiffres — 12 512 sourds signants et ~16 649 déficients auditifs (RGPH4) — délimitent l'ordre de grandeur de la communauté concernée directement par notre solution.</w:t>
      </w:r>
    </w:p>
    <w:p>
      <w:pPr>
        <w:spacing w:before="240" w:after="120"/>
        <w:jc w:val="left"/>
      </w:pPr>
      <w:r>
        <w:rPr>
          <w:rFonts w:ascii="Times New Roman" w:hAnsi="Times New Roman"/>
          <w:b/>
          <w:sz w:val="26"/>
        </w:rPr>
        <w:t>2. La crise des interprètes et des ressources éducatives</w:t>
      </w:r>
    </w:p>
    <w:p>
      <w:pPr>
        <w:spacing w:before="0" w:after="120"/>
        <w:ind w:firstLine="709"/>
        <w:jc w:val="both"/>
      </w:pPr>
      <w:r>
        <w:rPr>
          <w:rFonts w:ascii="Times New Roman" w:hAnsi="Times New Roman"/>
          <w:sz w:val="24"/>
        </w:rPr>
        <w:t>Le même rapport de la WFD (2008) est sans ambiguïté sur la situation des interprètes au Bénin : aucun interprète qualifié en langue des signes n'existait à la date de l'enquête. Seul un nombre limité d'interprètes bénévoles, principalement des enseignants d'écoles pour sourds, comblaient partiellement ce vide, sans formation certifiée ni code de déontologie professionnel (WFD, 2008).</w:t>
      </w:r>
    </w:p>
    <w:p>
      <w:pPr>
        <w:spacing w:before="0" w:after="120"/>
        <w:ind w:firstLine="709"/>
        <w:jc w:val="both"/>
      </w:pPr>
      <w:r>
        <w:rPr>
          <w:rFonts w:ascii="Times New Roman" w:hAnsi="Times New Roman"/>
          <w:sz w:val="24"/>
        </w:rPr>
        <w:t>Sur le plan éducatif, le WFD (2008) recensait au Bénin une école publique et cinq écoles privées pour enfants sourds sur l'ensemble du territoire national. Le premier lycée public pour malentendants n'a ouvert ses portes qu'en 2012. À titre de comparaison, les données les plus récentes de l'ASUNOES (2023-2024) font état de 571 élèves (sourds et entendants confondus) inscrits au CAEIS de Louho à Porto-Novo. L'école primaire publique de Védoko à Cotonou, seul établissement d'État dédié aux sourds dans la capitale économique, n'accueille que 100 élèves environ, encadrés par 4 enseignants.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Indicateur</w:t>
            </w:r>
          </w:p>
        </w:tc>
        <w:tc>
          <w:tcPr>
            <w:tcW w:type="dxa" w:w="3024"/>
          </w:tcPr>
          <w:p>
            <w:pPr>
              <w:jc w:val="center"/>
            </w:pPr>
            <w:r>
              <w:rPr>
                <w:rFonts w:ascii="Times New Roman" w:hAnsi="Times New Roman"/>
                <w:b/>
                <w:sz w:val="20"/>
              </w:rPr>
              <w:t>Valeur</w:t>
            </w:r>
          </w:p>
        </w:tc>
        <w:tc>
          <w:tcPr>
            <w:tcW w:type="dxa" w:w="3024"/>
          </w:tcPr>
          <w:p>
            <w:pPr>
              <w:jc w:val="center"/>
            </w:pPr>
            <w:r>
              <w:rPr>
                <w:rFonts w:ascii="Times New Roman" w:hAnsi="Times New Roman"/>
                <w:b/>
                <w:sz w:val="20"/>
              </w:rPr>
              <w:t>Source</w:t>
            </w:r>
          </w:p>
        </w:tc>
      </w:tr>
      <w:tr>
        <w:tc>
          <w:tcPr>
            <w:tcW w:type="dxa" w:w="3024"/>
          </w:tcPr>
          <w:p>
            <w:r>
              <w:rPr>
                <w:rFonts w:ascii="Times New Roman" w:hAnsi="Times New Roman"/>
                <w:sz w:val="20"/>
              </w:rPr>
              <w:t>Interprètes qualifiés en langue des signes (Bénin)</w:t>
            </w:r>
          </w:p>
        </w:tc>
        <w:tc>
          <w:tcPr>
            <w:tcW w:type="dxa" w:w="3024"/>
          </w:tcPr>
          <w:p>
            <w:r>
              <w:rPr>
                <w:rFonts w:ascii="Times New Roman" w:hAnsi="Times New Roman"/>
                <w:sz w:val="20"/>
              </w:rPr>
              <w:t>0 en 2008 (bénévoles seulement)</w:t>
            </w:r>
          </w:p>
        </w:tc>
        <w:tc>
          <w:tcPr>
            <w:tcW w:type="dxa" w:w="3024"/>
          </w:tcPr>
          <w:p>
            <w:r>
              <w:rPr>
                <w:rFonts w:ascii="Times New Roman" w:hAnsi="Times New Roman"/>
                <w:sz w:val="20"/>
              </w:rPr>
              <w:t>WFD, 2008</w:t>
            </w:r>
          </w:p>
        </w:tc>
      </w:tr>
      <w:tr>
        <w:tc>
          <w:tcPr>
            <w:tcW w:type="dxa" w:w="3024"/>
          </w:tcPr>
          <w:p>
            <w:r>
              <w:rPr>
                <w:rFonts w:ascii="Times New Roman" w:hAnsi="Times New Roman"/>
                <w:sz w:val="20"/>
              </w:rPr>
              <w:t>Écoles pour sourds (Bénin, 2008)</w:t>
            </w:r>
          </w:p>
        </w:tc>
        <w:tc>
          <w:tcPr>
            <w:tcW w:type="dxa" w:w="3024"/>
          </w:tcPr>
          <w:p>
            <w:r>
              <w:rPr>
                <w:rFonts w:ascii="Times New Roman" w:hAnsi="Times New Roman"/>
                <w:sz w:val="20"/>
              </w:rPr>
              <w:t>1 publique + 5 privées</w:t>
            </w:r>
          </w:p>
        </w:tc>
        <w:tc>
          <w:tcPr>
            <w:tcW w:type="dxa" w:w="3024"/>
          </w:tcPr>
          <w:p>
            <w:r>
              <w:rPr>
                <w:rFonts w:ascii="Times New Roman" w:hAnsi="Times New Roman"/>
                <w:sz w:val="20"/>
              </w:rPr>
              <w:t>WFD, 2008</w:t>
            </w:r>
          </w:p>
        </w:tc>
      </w:tr>
      <w:tr>
        <w:tc>
          <w:tcPr>
            <w:tcW w:type="dxa" w:w="3024"/>
          </w:tcPr>
          <w:p>
            <w:r>
              <w:rPr>
                <w:rFonts w:ascii="Times New Roman" w:hAnsi="Times New Roman"/>
                <w:sz w:val="20"/>
              </w:rPr>
              <w:t>Premier lycée public pour malentendants</w:t>
            </w:r>
          </w:p>
        </w:tc>
        <w:tc>
          <w:tcPr>
            <w:tcW w:type="dxa" w:w="3024"/>
          </w:tcPr>
          <w:p>
            <w:r>
              <w:rPr>
                <w:rFonts w:ascii="Times New Roman" w:hAnsi="Times New Roman"/>
                <w:sz w:val="20"/>
              </w:rPr>
              <w:t>Ouvert en 2012</w:t>
            </w:r>
          </w:p>
        </w:tc>
        <w:tc>
          <w:tcPr>
            <w:tcW w:type="dxa" w:w="3024"/>
          </w:tcPr>
          <w:p>
            <w:r>
              <w:rPr>
                <w:rFonts w:ascii="Times New Roman" w:hAnsi="Times New Roman"/>
                <w:sz w:val="20"/>
              </w:rPr>
              <w:t>Wikipedia / Deafness in Benin</w:t>
            </w:r>
          </w:p>
        </w:tc>
      </w:tr>
      <w:tr>
        <w:tc>
          <w:tcPr>
            <w:tcW w:type="dxa" w:w="3024"/>
          </w:tcPr>
          <w:p>
            <w:r>
              <w:rPr>
                <w:rFonts w:ascii="Times New Roman" w:hAnsi="Times New Roman"/>
                <w:sz w:val="20"/>
              </w:rPr>
              <w:t>Élèves CAEIS de Louho (2023-2024)</w:t>
            </w:r>
          </w:p>
        </w:tc>
        <w:tc>
          <w:tcPr>
            <w:tcW w:type="dxa" w:w="3024"/>
          </w:tcPr>
          <w:p>
            <w:r>
              <w:rPr>
                <w:rFonts w:ascii="Times New Roman" w:hAnsi="Times New Roman"/>
                <w:sz w:val="20"/>
              </w:rPr>
              <w:t>571 (sourds + entendants)</w:t>
            </w:r>
          </w:p>
        </w:tc>
        <w:tc>
          <w:tcPr>
            <w:tcW w:type="dxa" w:w="3024"/>
          </w:tcPr>
          <w:p>
            <w:r>
              <w:rPr>
                <w:rFonts w:ascii="Times New Roman" w:hAnsi="Times New Roman"/>
                <w:sz w:val="20"/>
              </w:rPr>
              <w:t>ASUNOES Bénin, 2023</w:t>
            </w:r>
          </w:p>
        </w:tc>
      </w:tr>
      <w:tr>
        <w:tc>
          <w:tcPr>
            <w:tcW w:type="dxa" w:w="3024"/>
          </w:tcPr>
          <w:p>
            <w:r>
              <w:rPr>
                <w:rFonts w:ascii="Times New Roman" w:hAnsi="Times New Roman"/>
                <w:sz w:val="20"/>
              </w:rPr>
              <w:t>Élèves sourds CAEIS (2018)</w:t>
            </w:r>
          </w:p>
        </w:tc>
        <w:tc>
          <w:tcPr>
            <w:tcW w:type="dxa" w:w="3024"/>
          </w:tcPr>
          <w:p>
            <w:r>
              <w:rPr>
                <w:rFonts w:ascii="Times New Roman" w:hAnsi="Times New Roman"/>
                <w:sz w:val="20"/>
              </w:rPr>
              <w:t>235 sur 515 au total</w:t>
            </w:r>
          </w:p>
        </w:tc>
        <w:tc>
          <w:tcPr>
            <w:tcW w:type="dxa" w:w="3024"/>
          </w:tcPr>
          <w:p>
            <w:r>
              <w:rPr>
                <w:rFonts w:ascii="Times New Roman" w:hAnsi="Times New Roman"/>
                <w:sz w:val="20"/>
              </w:rPr>
              <w:t>Archives CAEIS / Djissenou et al., 2021</w:t>
            </w:r>
          </w:p>
        </w:tc>
      </w:tr>
      <w:tr>
        <w:tc>
          <w:tcPr>
            <w:tcW w:type="dxa" w:w="3024"/>
          </w:tcPr>
          <w:p>
            <w:r>
              <w:rPr>
                <w:rFonts w:ascii="Times New Roman" w:hAnsi="Times New Roman"/>
                <w:sz w:val="20"/>
              </w:rPr>
              <w:t>Élèves école de Védoko, Cotonou</w:t>
            </w:r>
          </w:p>
        </w:tc>
        <w:tc>
          <w:tcPr>
            <w:tcW w:type="dxa" w:w="3024"/>
          </w:tcPr>
          <w:p>
            <w:r>
              <w:rPr>
                <w:rFonts w:ascii="Times New Roman" w:hAnsi="Times New Roman"/>
                <w:sz w:val="20"/>
              </w:rPr>
              <w:t>~100 sourds, 4 enseignants</w:t>
            </w:r>
          </w:p>
        </w:tc>
        <w:tc>
          <w:tcPr>
            <w:tcW w:type="dxa" w:w="3024"/>
          </w:tcPr>
          <w:p>
            <w:r>
              <w:rPr>
                <w:rFonts w:ascii="Times New Roman" w:hAnsi="Times New Roman"/>
                <w:sz w:val="20"/>
              </w:rPr>
              <w:t>ASFA Parrainage</w:t>
            </w:r>
          </w:p>
        </w:tc>
      </w:tr>
    </w:tbl>
    <w:p/>
    <w:p>
      <w:pPr>
        <w:spacing w:before="240" w:after="120"/>
        <w:jc w:val="left"/>
      </w:pPr>
      <w:r>
        <w:rPr>
          <w:rFonts w:ascii="Times New Roman" w:hAnsi="Times New Roman"/>
          <w:b/>
          <w:sz w:val="26"/>
        </w:rPr>
        <w:t>3. La crise de l'audition en Afrique : une urgence régionale</w:t>
      </w:r>
    </w:p>
    <w:p>
      <w:pPr>
        <w:spacing w:before="0" w:after="120"/>
        <w:ind w:firstLine="709"/>
        <w:jc w:val="both"/>
      </w:pPr>
      <w:r>
        <w:rPr>
          <w:rFonts w:ascii="Times New Roman" w:hAnsi="Times New Roman"/>
          <w:sz w:val="24"/>
        </w:rPr>
        <w:t>Le rapport de l'OMS sur les soins auditifs dans la Région Africaine (OMS/AFRO, octobre 2024) fournit les données régionales les plus récentes et les plus alarmantes : 40 millions de personnes vivent actuellement avec une déficience auditive en Afrique (soit 3,6 % de la population de la région), un chiffre projeté à 54 millions d'ici 2030 et 97 millions d'ici 2050. Le coût économique annuel de cette situation est estimé à 27,1 milliards de dollars américains pour le continent.</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Indicateur — Afrique</w:t>
            </w:r>
          </w:p>
        </w:tc>
        <w:tc>
          <w:tcPr>
            <w:tcW w:type="dxa" w:w="3024"/>
          </w:tcPr>
          <w:p>
            <w:pPr>
              <w:jc w:val="center"/>
            </w:pPr>
            <w:r>
              <w:rPr>
                <w:rFonts w:ascii="Times New Roman" w:hAnsi="Times New Roman"/>
                <w:b/>
                <w:sz w:val="20"/>
              </w:rPr>
              <w:t>Valeur</w:t>
            </w:r>
          </w:p>
        </w:tc>
        <w:tc>
          <w:tcPr>
            <w:tcW w:type="dxa" w:w="3024"/>
          </w:tcPr>
          <w:p>
            <w:pPr>
              <w:jc w:val="center"/>
            </w:pPr>
            <w:r>
              <w:rPr>
                <w:rFonts w:ascii="Times New Roman" w:hAnsi="Times New Roman"/>
                <w:b/>
                <w:sz w:val="20"/>
              </w:rPr>
              <w:t>Source</w:t>
            </w:r>
          </w:p>
        </w:tc>
      </w:tr>
      <w:tr>
        <w:tc>
          <w:tcPr>
            <w:tcW w:type="dxa" w:w="3024"/>
          </w:tcPr>
          <w:p>
            <w:r>
              <w:rPr>
                <w:rFonts w:ascii="Times New Roman" w:hAnsi="Times New Roman"/>
                <w:sz w:val="20"/>
              </w:rPr>
              <w:t>Personnes avec déficience auditive (2024)</w:t>
            </w:r>
          </w:p>
        </w:tc>
        <w:tc>
          <w:tcPr>
            <w:tcW w:type="dxa" w:w="3024"/>
          </w:tcPr>
          <w:p>
            <w:r>
              <w:rPr>
                <w:rFonts w:ascii="Times New Roman" w:hAnsi="Times New Roman"/>
                <w:sz w:val="20"/>
              </w:rPr>
              <w:t>40 millions (3,6 % de la population)</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Projection 2030</w:t>
            </w:r>
          </w:p>
        </w:tc>
        <w:tc>
          <w:tcPr>
            <w:tcW w:type="dxa" w:w="3024"/>
          </w:tcPr>
          <w:p>
            <w:r>
              <w:rPr>
                <w:rFonts w:ascii="Times New Roman" w:hAnsi="Times New Roman"/>
                <w:sz w:val="20"/>
              </w:rPr>
              <w:t>54 millions</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Projection 2050</w:t>
            </w:r>
          </w:p>
        </w:tc>
        <w:tc>
          <w:tcPr>
            <w:tcW w:type="dxa" w:w="3024"/>
          </w:tcPr>
          <w:p>
            <w:r>
              <w:rPr>
                <w:rFonts w:ascii="Times New Roman" w:hAnsi="Times New Roman"/>
                <w:sz w:val="20"/>
              </w:rPr>
              <w:t>97 millions</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Coût économique annuel</w:t>
            </w:r>
          </w:p>
        </w:tc>
        <w:tc>
          <w:tcPr>
            <w:tcW w:type="dxa" w:w="3024"/>
          </w:tcPr>
          <w:p>
            <w:r>
              <w:rPr>
                <w:rFonts w:ascii="Times New Roman" w:hAnsi="Times New Roman"/>
                <w:sz w:val="20"/>
              </w:rPr>
              <w:t>27,1 milliards USD</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Accès aux aides auditives</w:t>
            </w:r>
          </w:p>
        </w:tc>
        <w:tc>
          <w:tcPr>
            <w:tcW w:type="dxa" w:w="3024"/>
          </w:tcPr>
          <w:p>
            <w:r>
              <w:rPr>
                <w:rFonts w:ascii="Times New Roman" w:hAnsi="Times New Roman"/>
                <w:sz w:val="20"/>
              </w:rPr>
              <w:t>~10 % de ceux qui en ont besoin</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Pays avec &lt; 1 ORL par million d'hab.</w:t>
            </w:r>
          </w:p>
        </w:tc>
        <w:tc>
          <w:tcPr>
            <w:tcW w:type="dxa" w:w="3024"/>
          </w:tcPr>
          <w:p>
            <w:r>
              <w:rPr>
                <w:rFonts w:ascii="Times New Roman" w:hAnsi="Times New Roman"/>
                <w:sz w:val="20"/>
              </w:rPr>
              <w:t>&gt; 56 % des pays africains</w:t>
            </w:r>
          </w:p>
        </w:tc>
        <w:tc>
          <w:tcPr>
            <w:tcW w:type="dxa" w:w="3024"/>
          </w:tcPr>
          <w:p>
            <w:r>
              <w:rPr>
                <w:rFonts w:ascii="Times New Roman" w:hAnsi="Times New Roman"/>
                <w:sz w:val="20"/>
              </w:rPr>
              <w:t>OMS/AFRO, 2024</w:t>
            </w:r>
          </w:p>
        </w:tc>
      </w:tr>
      <w:tr>
        <w:tc>
          <w:tcPr>
            <w:tcW w:type="dxa" w:w="3024"/>
          </w:tcPr>
          <w:p>
            <w:r>
              <w:rPr>
                <w:rFonts w:ascii="Times New Roman" w:hAnsi="Times New Roman"/>
                <w:sz w:val="20"/>
              </w:rPr>
              <w:t>Pertes auditives évitables (enfants)</w:t>
            </w:r>
          </w:p>
        </w:tc>
        <w:tc>
          <w:tcPr>
            <w:tcW w:type="dxa" w:w="3024"/>
          </w:tcPr>
          <w:p>
            <w:r>
              <w:rPr>
                <w:rFonts w:ascii="Times New Roman" w:hAnsi="Times New Roman"/>
                <w:sz w:val="20"/>
              </w:rPr>
              <w:t>Jusqu'à 75 % des cas</w:t>
            </w:r>
          </w:p>
        </w:tc>
        <w:tc>
          <w:tcPr>
            <w:tcW w:type="dxa" w:w="3024"/>
          </w:tcPr>
          <w:p>
            <w:r>
              <w:rPr>
                <w:rFonts w:ascii="Times New Roman" w:hAnsi="Times New Roman"/>
                <w:sz w:val="20"/>
              </w:rPr>
              <w:t>OMS/AFRO, 2024</w:t>
            </w:r>
          </w:p>
        </w:tc>
      </w:tr>
    </w:tbl>
    <w:p/>
    <w:p>
      <w:pPr>
        <w:spacing w:before="0" w:after="200"/>
        <w:ind w:firstLine="709"/>
        <w:jc w:val="both"/>
      </w:pPr>
      <w:r>
        <w:rPr>
          <w:rFonts w:ascii="Times New Roman" w:hAnsi="Times New Roman"/>
          <w:sz w:val="24"/>
        </w:rPr>
        <w:t>Ces chiffres révèlent une réalité particulièrement grave : non seulement la déficience auditive est largement répandue en Afrique, mais les ressources médicales pour y répondre sont dramatiquement insuffisantes. Dans ce contexte, les solutions technologiques de communication — qui n'ont pas besoin d'un système de santé développé pour fonctionner — représentent un levier d'action accessible et immédiat.</w:t>
      </w:r>
    </w:p>
    <w:p>
      <w:pPr>
        <w:spacing w:before="240" w:after="120"/>
        <w:jc w:val="left"/>
      </w:pPr>
      <w:r>
        <w:rPr>
          <w:rFonts w:ascii="Times New Roman" w:hAnsi="Times New Roman"/>
          <w:b/>
          <w:sz w:val="26"/>
        </w:rPr>
        <w:t>4. L'infrastructure numérique béninoise : un vecteur de déploiement réaliste</w:t>
      </w:r>
    </w:p>
    <w:p>
      <w:pPr>
        <w:spacing w:before="0" w:after="120"/>
        <w:ind w:firstLine="709"/>
        <w:jc w:val="both"/>
      </w:pPr>
      <w:r>
        <w:rPr>
          <w:rFonts w:ascii="Times New Roman" w:hAnsi="Times New Roman"/>
          <w:sz w:val="24"/>
        </w:rPr>
        <w:t>La faisabilité d'un déploiement à grande échelle de notre solution repose sur l'accessibilité numérique de la population cible. Les données de DataReportal (2026) et de la GSMA (2023) dressent un tableau encourageant de la connectivité au Bénin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Indicateur numérique — Bénin</w:t>
            </w:r>
          </w:p>
        </w:tc>
        <w:tc>
          <w:tcPr>
            <w:tcW w:type="dxa" w:w="3024"/>
          </w:tcPr>
          <w:p>
            <w:pPr>
              <w:jc w:val="center"/>
            </w:pPr>
            <w:r>
              <w:rPr>
                <w:rFonts w:ascii="Times New Roman" w:hAnsi="Times New Roman"/>
                <w:b/>
                <w:sz w:val="20"/>
              </w:rPr>
              <w:t>Valeur</w:t>
            </w:r>
          </w:p>
        </w:tc>
        <w:tc>
          <w:tcPr>
            <w:tcW w:type="dxa" w:w="3024"/>
          </w:tcPr>
          <w:p>
            <w:pPr>
              <w:jc w:val="center"/>
            </w:pPr>
            <w:r>
              <w:rPr>
                <w:rFonts w:ascii="Times New Roman" w:hAnsi="Times New Roman"/>
                <w:b/>
                <w:sz w:val="20"/>
              </w:rPr>
              <w:t>Source</w:t>
            </w:r>
          </w:p>
        </w:tc>
      </w:tr>
      <w:tr>
        <w:tc>
          <w:tcPr>
            <w:tcW w:type="dxa" w:w="3024"/>
          </w:tcPr>
          <w:p>
            <w:r>
              <w:rPr>
                <w:rFonts w:ascii="Times New Roman" w:hAnsi="Times New Roman"/>
                <w:sz w:val="20"/>
              </w:rPr>
              <w:t>Population totale (oct. 2025)</w:t>
            </w:r>
          </w:p>
        </w:tc>
        <w:tc>
          <w:tcPr>
            <w:tcW w:type="dxa" w:w="3024"/>
          </w:tcPr>
          <w:p>
            <w:r>
              <w:rPr>
                <w:rFonts w:ascii="Times New Roman" w:hAnsi="Times New Roman"/>
                <w:sz w:val="20"/>
              </w:rPr>
              <w:t>14,9 millions</w:t>
            </w:r>
          </w:p>
        </w:tc>
        <w:tc>
          <w:tcPr>
            <w:tcW w:type="dxa" w:w="3024"/>
          </w:tcPr>
          <w:p>
            <w:r>
              <w:rPr>
                <w:rFonts w:ascii="Times New Roman" w:hAnsi="Times New Roman"/>
                <w:sz w:val="20"/>
              </w:rPr>
              <w:t>DataReportal, 2026</w:t>
            </w:r>
          </w:p>
        </w:tc>
      </w:tr>
      <w:tr>
        <w:tc>
          <w:tcPr>
            <w:tcW w:type="dxa" w:w="3024"/>
          </w:tcPr>
          <w:p>
            <w:r>
              <w:rPr>
                <w:rFonts w:ascii="Times New Roman" w:hAnsi="Times New Roman"/>
                <w:sz w:val="20"/>
              </w:rPr>
              <w:t>Utilisateurs internet</w:t>
            </w:r>
          </w:p>
        </w:tc>
        <w:tc>
          <w:tcPr>
            <w:tcW w:type="dxa" w:w="3024"/>
          </w:tcPr>
          <w:p>
            <w:r>
              <w:rPr>
                <w:rFonts w:ascii="Times New Roman" w:hAnsi="Times New Roman"/>
                <w:sz w:val="20"/>
              </w:rPr>
              <w:t>4,80 millions (32,2 %)</w:t>
            </w:r>
          </w:p>
        </w:tc>
        <w:tc>
          <w:tcPr>
            <w:tcW w:type="dxa" w:w="3024"/>
          </w:tcPr>
          <w:p>
            <w:r>
              <w:rPr>
                <w:rFonts w:ascii="Times New Roman" w:hAnsi="Times New Roman"/>
                <w:sz w:val="20"/>
              </w:rPr>
              <w:t>DataReportal, 2026</w:t>
            </w:r>
          </w:p>
        </w:tc>
      </w:tr>
      <w:tr>
        <w:tc>
          <w:tcPr>
            <w:tcW w:type="dxa" w:w="3024"/>
          </w:tcPr>
          <w:p>
            <w:r>
              <w:rPr>
                <w:rFonts w:ascii="Times New Roman" w:hAnsi="Times New Roman"/>
                <w:sz w:val="20"/>
              </w:rPr>
              <w:t>Connexions mobiles actives</w:t>
            </w:r>
          </w:p>
        </w:tc>
        <w:tc>
          <w:tcPr>
            <w:tcW w:type="dxa" w:w="3024"/>
          </w:tcPr>
          <w:p>
            <w:r>
              <w:rPr>
                <w:rFonts w:ascii="Times New Roman" w:hAnsi="Times New Roman"/>
                <w:sz w:val="20"/>
              </w:rPr>
              <w:t>16,4 millions (110 % pop.)</w:t>
            </w:r>
          </w:p>
        </w:tc>
        <w:tc>
          <w:tcPr>
            <w:tcW w:type="dxa" w:w="3024"/>
          </w:tcPr>
          <w:p>
            <w:r>
              <w:rPr>
                <w:rFonts w:ascii="Times New Roman" w:hAnsi="Times New Roman"/>
                <w:sz w:val="20"/>
              </w:rPr>
              <w:t>DataReportal, 2026</w:t>
            </w:r>
          </w:p>
        </w:tc>
      </w:tr>
      <w:tr>
        <w:tc>
          <w:tcPr>
            <w:tcW w:type="dxa" w:w="3024"/>
          </w:tcPr>
          <w:p>
            <w:r>
              <w:rPr>
                <w:rFonts w:ascii="Times New Roman" w:hAnsi="Times New Roman"/>
                <w:sz w:val="20"/>
              </w:rPr>
              <w:t>Utilisateurs internet mobile uniques</w:t>
            </w:r>
          </w:p>
        </w:tc>
        <w:tc>
          <w:tcPr>
            <w:tcW w:type="dxa" w:w="3024"/>
          </w:tcPr>
          <w:p>
            <w:r>
              <w:rPr>
                <w:rFonts w:ascii="Times New Roman" w:hAnsi="Times New Roman"/>
                <w:sz w:val="20"/>
              </w:rPr>
              <w:t>7 millions (55,4 % pop.)</w:t>
            </w:r>
          </w:p>
        </w:tc>
        <w:tc>
          <w:tcPr>
            <w:tcW w:type="dxa" w:w="3024"/>
          </w:tcPr>
          <w:p>
            <w:r>
              <w:rPr>
                <w:rFonts w:ascii="Times New Roman" w:hAnsi="Times New Roman"/>
                <w:sz w:val="20"/>
              </w:rPr>
              <w:t>GSMA Intelligence, 2023</w:t>
            </w:r>
          </w:p>
        </w:tc>
      </w:tr>
      <w:tr>
        <w:tc>
          <w:tcPr>
            <w:tcW w:type="dxa" w:w="3024"/>
          </w:tcPr>
          <w:p>
            <w:r>
              <w:rPr>
                <w:rFonts w:ascii="Times New Roman" w:hAnsi="Times New Roman"/>
                <w:sz w:val="20"/>
              </w:rPr>
              <w:t>Couverture 4G du territoire</w:t>
            </w:r>
          </w:p>
        </w:tc>
        <w:tc>
          <w:tcPr>
            <w:tcW w:type="dxa" w:w="3024"/>
          </w:tcPr>
          <w:p>
            <w:r>
              <w:rPr>
                <w:rFonts w:ascii="Times New Roman" w:hAnsi="Times New Roman"/>
                <w:sz w:val="20"/>
              </w:rPr>
              <w:t>88 % (100 % urbain)</w:t>
            </w:r>
          </w:p>
        </w:tc>
        <w:tc>
          <w:tcPr>
            <w:tcW w:type="dxa" w:w="3024"/>
          </w:tcPr>
          <w:p>
            <w:r>
              <w:rPr>
                <w:rFonts w:ascii="Times New Roman" w:hAnsi="Times New Roman"/>
                <w:sz w:val="20"/>
              </w:rPr>
              <w:t>GSMA, 2023</w:t>
            </w:r>
          </w:p>
        </w:tc>
      </w:tr>
      <w:tr>
        <w:tc>
          <w:tcPr>
            <w:tcW w:type="dxa" w:w="3024"/>
          </w:tcPr>
          <w:p>
            <w:r>
              <w:rPr>
                <w:rFonts w:ascii="Times New Roman" w:hAnsi="Times New Roman"/>
                <w:sz w:val="20"/>
              </w:rPr>
              <w:t>Couverture réseau mobile (3G+4G)</w:t>
            </w:r>
          </w:p>
        </w:tc>
        <w:tc>
          <w:tcPr>
            <w:tcW w:type="dxa" w:w="3024"/>
          </w:tcPr>
          <w:p>
            <w:r>
              <w:rPr>
                <w:rFonts w:ascii="Times New Roman" w:hAnsi="Times New Roman"/>
                <w:sz w:val="20"/>
              </w:rPr>
              <w:t>~90 % du territoire</w:t>
            </w:r>
          </w:p>
        </w:tc>
        <w:tc>
          <w:tcPr>
            <w:tcW w:type="dxa" w:w="3024"/>
          </w:tcPr>
          <w:p>
            <w:r>
              <w:rPr>
                <w:rFonts w:ascii="Times New Roman" w:hAnsi="Times New Roman"/>
                <w:sz w:val="20"/>
              </w:rPr>
              <w:t>GSMA, 2023</w:t>
            </w:r>
          </w:p>
        </w:tc>
      </w:tr>
      <w:tr>
        <w:tc>
          <w:tcPr>
            <w:tcW w:type="dxa" w:w="3024"/>
          </w:tcPr>
          <w:p>
            <w:r>
              <w:rPr>
                <w:rFonts w:ascii="Times New Roman" w:hAnsi="Times New Roman"/>
                <w:sz w:val="20"/>
              </w:rPr>
              <w:t>Abonnés internet mobile (Q1 2025)</w:t>
            </w:r>
          </w:p>
        </w:tc>
        <w:tc>
          <w:tcPr>
            <w:tcW w:type="dxa" w:w="3024"/>
          </w:tcPr>
          <w:p>
            <w:r>
              <w:rPr>
                <w:rFonts w:ascii="Times New Roman" w:hAnsi="Times New Roman"/>
                <w:sz w:val="20"/>
              </w:rPr>
              <w:t>11,14 millions</w:t>
            </w:r>
          </w:p>
        </w:tc>
        <w:tc>
          <w:tcPr>
            <w:tcW w:type="dxa" w:w="3024"/>
          </w:tcPr>
          <w:p>
            <w:r>
              <w:rPr>
                <w:rFonts w:ascii="Times New Roman" w:hAnsi="Times New Roman"/>
                <w:sz w:val="20"/>
              </w:rPr>
              <w:t>ARCEP Bénin, 2025</w:t>
            </w:r>
          </w:p>
        </w:tc>
      </w:tr>
    </w:tbl>
    <w:p/>
    <w:p>
      <w:pPr>
        <w:spacing w:before="0" w:after="200"/>
        <w:ind w:firstLine="709"/>
        <w:jc w:val="both"/>
      </w:pPr>
      <w:r>
        <w:rPr>
          <w:rFonts w:ascii="Times New Roman" w:hAnsi="Times New Roman"/>
          <w:sz w:val="24"/>
        </w:rPr>
        <w:t>Avec 7 millions d'utilisateurs internet mobile uniques et une couverture 4G atteignant 88 % du territoire national (100 % en zone urbaine), le Bénin dispose d'une infrastructure numérique suffisante pour qu'une application web temps réel soit accessible à une part significative de la population. Notre architecture navigateur — sans téléchargement ni installation — est directement compatible avec les smartphones d'entrée de gamme sous Android, système le plus répandu en Afrique de l'Ouest.</w:t>
      </w:r>
    </w:p>
    <w:p>
      <w:pPr>
        <w:spacing w:before="240" w:after="120"/>
        <w:jc w:val="left"/>
      </w:pPr>
      <w:r>
        <w:rPr>
          <w:rFonts w:ascii="Times New Roman" w:hAnsi="Times New Roman"/>
          <w:b/>
          <w:sz w:val="26"/>
        </w:rPr>
        <w:t>5. Un vide technologique confirmé par la recherche scientifique</w:t>
      </w:r>
    </w:p>
    <w:p>
      <w:pPr>
        <w:spacing w:before="0" w:after="120"/>
        <w:ind w:firstLine="709"/>
        <w:jc w:val="both"/>
      </w:pPr>
      <w:r>
        <w:rPr>
          <w:rFonts w:ascii="Times New Roman" w:hAnsi="Times New Roman"/>
          <w:sz w:val="24"/>
        </w:rPr>
        <w:t>La revue de littérature confirme l'absence totale de système de reconnaissance automatique de la langue des signes béninoise. La publication la plus récente et la plus exhaustive sur ce sujet — le projet AfriSign (Springer Nature, janvier 2025), qui constitue le premier jeu de données de traduction automatique pour les langues des signes africaines — couvre six langues des signes du continent (Ghana, Nigeria, Kenya, Zambie, Zimbabwe, Afrique du Sud), mais exclut explicitement le Bénin et la Langue des Signes de l'Afrique Francophone (LSAF).</w:t>
      </w:r>
    </w:p>
    <w:p>
      <w:pPr>
        <w:spacing w:before="0" w:after="200"/>
        <w:ind w:firstLine="709"/>
        <w:jc w:val="both"/>
      </w:pPr>
      <w:r>
        <w:rPr>
          <w:rFonts w:ascii="Times New Roman" w:hAnsi="Times New Roman"/>
          <w:sz w:val="24"/>
        </w:rPr>
        <w:t>Les auteurs d'AfriSign eux-mêmes concluent que « peu de choses sont connues sur la traduction des langues des signes africaines ». Notre système SignInterpreter constitue donc, à notre connaissance, la première tentative documentée de reconnaissance automatique des signes utilisés par la communauté sourde béninoise.</w:t>
      </w:r>
    </w:p>
    <w:p>
      <w:pPr>
        <w:spacing w:before="240" w:after="120"/>
        <w:jc w:val="left"/>
      </w:pPr>
      <w:r>
        <w:rPr>
          <w:rFonts w:ascii="Times New Roman" w:hAnsi="Times New Roman"/>
          <w:b/>
          <w:sz w:val="26"/>
        </w:rPr>
        <w:t>6. Un cadre juridique international qui soutient cette démarche</w:t>
      </w:r>
    </w:p>
    <w:p>
      <w:pPr>
        <w:spacing w:before="0" w:after="120"/>
        <w:ind w:firstLine="709"/>
        <w:jc w:val="both"/>
      </w:pPr>
      <w:r>
        <w:rPr>
          <w:rFonts w:ascii="Times New Roman" w:hAnsi="Times New Roman"/>
          <w:sz w:val="24"/>
        </w:rPr>
        <w:t>Notre solution s'inscrit dans des engagements formels pris par le Bénin :</w:t>
      </w:r>
    </w:p>
    <w:p>
      <w:pPr>
        <w:pStyle w:val="ListBullet"/>
        <w:spacing w:after="100"/>
      </w:pPr>
      <w:r>
        <w:rPr>
          <w:rFonts w:ascii="Times New Roman" w:hAnsi="Times New Roman"/>
          <w:sz w:val="24"/>
        </w:rPr>
        <w:t>Convention relative aux droits des personnes handicapées (CRPD, ONU, 2006) : ratifiée par le Bénin le 5 juillet 2012. L'article 9 oblige les États à garantir l'accès des personnes handicapées aux technologies de l'information et de la communication.</w:t>
      </w:r>
    </w:p>
    <w:p>
      <w:pPr>
        <w:pStyle w:val="ListBullet"/>
        <w:spacing w:after="100"/>
      </w:pPr>
      <w:r>
        <w:rPr>
          <w:rFonts w:ascii="Times New Roman" w:hAnsi="Times New Roman"/>
          <w:sz w:val="24"/>
        </w:rPr>
        <w:t>Objectifs de Développement Durable n°10 (Réduction des inégalités, ONU, 2015) : cible l'inclusion sociale et économique de toutes les personnes, indépendamment de leur situation de handicap.</w:t>
      </w:r>
    </w:p>
    <w:p>
      <w:pPr>
        <w:pStyle w:val="ListBullet"/>
        <w:spacing w:after="100"/>
      </w:pPr>
      <w:r>
        <w:rPr>
          <w:rFonts w:ascii="Times New Roman" w:hAnsi="Times New Roman"/>
          <w:sz w:val="24"/>
        </w:rPr>
        <w:t>Stratégie Nationale d'Intelligence Artificielle et de Mégadonnées du Bénin 2023-2027 : identifie l'accessibilité pour les personnes en situation de handicap parmi ses axes d'intervention prioritaires.</w:t>
      </w:r>
    </w:p>
    <w:p>
      <w:pPr>
        <w:spacing w:before="120" w:after="120"/>
        <w:ind w:firstLine="709"/>
        <w:jc w:val="both"/>
      </w:pPr>
      <w:r>
        <w:rPr>
          <w:rFonts w:ascii="Times New Roman" w:hAnsi="Times New Roman"/>
          <w:sz w:val="24"/>
        </w:rPr>
        <w:t>L'ensemble de ces éléments — population sourde documentée (12 512 à 16 649 personnes), absence totale d'interprètes qualifiés, infrastructure numérique couvrant 88 % du territoire, et vide technologique confirmé par la communauté scientifique internationale — justifie pleinement le développement d'une solution de traduction automatique de la langue des signes adaptée au contexte béninois.</w:t>
      </w:r>
    </w:p>
    <w:p>
      <w:pPr>
        <w:spacing w:before="400" w:after="120"/>
        <w:jc w:val="left"/>
      </w:pPr>
      <w:r>
        <w:rPr>
          <w:rFonts w:ascii="Times New Roman" w:hAnsi="Times New Roman"/>
          <w:b/>
          <w:sz w:val="22"/>
        </w:rPr>
        <w:t>Références de cette section</w:t>
      </w:r>
    </w:p>
    <w:p>
      <w:pPr>
        <w:spacing w:before="0" w:after="80"/>
        <w:ind w:left="454" w:hanging="454"/>
      </w:pPr>
      <w:r>
        <w:rPr>
          <w:rFonts w:ascii="Times New Roman" w:hAnsi="Times New Roman"/>
          <w:sz w:val="20"/>
        </w:rPr>
        <w:t>African Sign Languages Resource Center (2024). Benin. https://africansignlanguagesresourcecenter.com/benin/</w:t>
      </w:r>
    </w:p>
    <w:p>
      <w:pPr>
        <w:spacing w:before="0" w:after="80"/>
        <w:ind w:left="454" w:hanging="454"/>
      </w:pPr>
      <w:r>
        <w:rPr>
          <w:rFonts w:ascii="Times New Roman" w:hAnsi="Times New Roman"/>
          <w:sz w:val="20"/>
        </w:rPr>
        <w:t>ARCEP Bénin (2025). Marché de l'internet mobile — Rapport T1 et T2 2025. Autorité de Régulation des Communications Électroniques et de la Poste.</w:t>
      </w:r>
    </w:p>
    <w:p>
      <w:pPr>
        <w:spacing w:before="0" w:after="80"/>
        <w:ind w:left="454" w:hanging="454"/>
      </w:pPr>
      <w:r>
        <w:rPr>
          <w:rFonts w:ascii="Times New Roman" w:hAnsi="Times New Roman"/>
          <w:sz w:val="20"/>
        </w:rPr>
        <w:t>ASFA Parrainage. École de sourds de Cotonou. https://www.asfa-parrainage.org/ecole-de-sourds-de-cotonou/</w:t>
      </w:r>
    </w:p>
    <w:p>
      <w:pPr>
        <w:spacing w:before="0" w:after="80"/>
        <w:ind w:left="454" w:hanging="454"/>
      </w:pPr>
      <w:r>
        <w:rPr>
          <w:rFonts w:ascii="Times New Roman" w:hAnsi="Times New Roman"/>
          <w:sz w:val="20"/>
        </w:rPr>
        <w:t>ASUNOES Bénin (2023). Résultats de l'année scolaire 2023-2024. https://www.asunoes-benin.org/</w:t>
      </w:r>
    </w:p>
    <w:p>
      <w:pPr>
        <w:spacing w:before="0" w:after="80"/>
        <w:ind w:left="454" w:hanging="454"/>
      </w:pPr>
      <w:r>
        <w:rPr>
          <w:rFonts w:ascii="Times New Roman" w:hAnsi="Times New Roman"/>
          <w:sz w:val="20"/>
        </w:rPr>
        <w:t>DataReportal (2026). Digital 2026: Benin. Kepios / GSMA Intelligence / ITU. https://datareportal.com/reports/digital-2026-benin</w:t>
      </w:r>
    </w:p>
    <w:p>
      <w:pPr>
        <w:spacing w:before="0" w:after="80"/>
        <w:ind w:left="454" w:hanging="454"/>
      </w:pPr>
      <w:r>
        <w:rPr>
          <w:rFonts w:ascii="Times New Roman" w:hAnsi="Times New Roman"/>
          <w:sz w:val="20"/>
        </w:rPr>
        <w:t>Djissenou, A.S., Kélani, R.R. &amp; Houessou, P. (2021). Education Inclusive En République Du Bénin. European Scientific Journal, 17(15), 335. https://doi.org/10.19044/esj.2021.v17n15p335</w:t>
      </w:r>
    </w:p>
    <w:p>
      <w:pPr>
        <w:spacing w:before="0" w:after="80"/>
        <w:ind w:left="454" w:hanging="454"/>
      </w:pPr>
      <w:r>
        <w:rPr>
          <w:rFonts w:ascii="Times New Roman" w:hAnsi="Times New Roman"/>
          <w:sz w:val="20"/>
        </w:rPr>
        <w:t>GSMA Intelligence (2023). The Mobile Economy: Benin. GSM Association. https://extensia.tech/benin-94-mobile-internet-coverage-but-actual-usage-can-improve-gsma/</w:t>
      </w:r>
    </w:p>
    <w:p>
      <w:pPr>
        <w:spacing w:before="0" w:after="80"/>
        <w:ind w:left="454" w:hanging="454"/>
      </w:pPr>
      <w:r>
        <w:rPr>
          <w:rFonts w:ascii="Times New Roman" w:hAnsi="Times New Roman"/>
          <w:sz w:val="20"/>
        </w:rPr>
        <w:t>INSAE (2013). Quatrième Recensement Général de la Population et de l'Habitat (RGPH4). Institut National de la Statistique et de l'Analyse Économique, Bénin.</w:t>
      </w:r>
    </w:p>
    <w:p>
      <w:pPr>
        <w:spacing w:before="0" w:after="80"/>
        <w:ind w:left="454" w:hanging="454"/>
      </w:pPr>
      <w:r>
        <w:rPr>
          <w:rFonts w:ascii="Times New Roman" w:hAnsi="Times New Roman"/>
          <w:sz w:val="20"/>
        </w:rPr>
        <w:t>Mabunde, S. et al. (2025). AfriSign: African Sign Languages Machine Translation. Discover Artificial Intelligence, Springer Nature. https://link.springer.com/article/10.1007/s44163-025-00227-7</w:t>
      </w:r>
    </w:p>
    <w:p>
      <w:pPr>
        <w:spacing w:before="0" w:after="80"/>
        <w:ind w:left="454" w:hanging="454"/>
      </w:pPr>
      <w:r>
        <w:rPr>
          <w:rFonts w:ascii="Times New Roman" w:hAnsi="Times New Roman"/>
          <w:sz w:val="20"/>
        </w:rPr>
        <w:t>OMS / Bureau Régional pour l'Afrique (2024). Status Report on Ear and Hearing Care in the WHO African Region. Organisation Mondiale de la Santé, Brazzaville. https://www.afro.who.int/publications/status-report-ear-and-hearing-care-who-african-region</w:t>
      </w:r>
    </w:p>
    <w:p>
      <w:pPr>
        <w:spacing w:before="0" w:after="80"/>
        <w:ind w:left="454" w:hanging="454"/>
      </w:pPr>
      <w:r>
        <w:rPr>
          <w:rFonts w:ascii="Times New Roman" w:hAnsi="Times New Roman"/>
          <w:sz w:val="20"/>
        </w:rPr>
        <w:t>ONU (2006). Convention relative aux droits des personnes handicapées (CRPD). Nations Unies, New York. Ratifiée par le Bénin le 5 juillet 2012.</w:t>
      </w:r>
    </w:p>
    <w:p>
      <w:pPr>
        <w:spacing w:before="0" w:after="80"/>
        <w:ind w:left="454" w:hanging="454"/>
      </w:pPr>
      <w:r>
        <w:rPr>
          <w:rFonts w:ascii="Times New Roman" w:hAnsi="Times New Roman"/>
          <w:sz w:val="20"/>
        </w:rPr>
        <w:t>ONU (2015). Objectifs de Développement Durable — ODD 10 : Réduction des inégalités.</w:t>
      </w:r>
    </w:p>
    <w:p>
      <w:pPr>
        <w:spacing w:before="0" w:after="80"/>
        <w:ind w:left="454" w:hanging="454"/>
      </w:pPr>
      <w:r>
        <w:rPr>
          <w:rFonts w:ascii="Times New Roman" w:hAnsi="Times New Roman"/>
          <w:sz w:val="20"/>
        </w:rPr>
        <w:t>Prévot, A. (2011). La surdité et les sourds au Bénin. Mémoire de Master 1, Université Stendhal Grenoble 3. HAL: dumas-00620765.</w:t>
      </w:r>
    </w:p>
    <w:p>
      <w:pPr>
        <w:spacing w:before="0" w:after="80"/>
        <w:ind w:left="454" w:hanging="454"/>
      </w:pPr>
      <w:r>
        <w:rPr>
          <w:rFonts w:ascii="Times New Roman" w:hAnsi="Times New Roman"/>
          <w:sz w:val="20"/>
        </w:rPr>
        <w:t>République du Bénin — Ministère du Numérique et de la Digitalisation (2023). Stratégie Nationale d'Intelligence Artificielle et de Mégadonnées 2023-2027.</w:t>
      </w:r>
    </w:p>
    <w:p>
      <w:pPr>
        <w:spacing w:before="0" w:after="80"/>
        <w:ind w:left="454" w:hanging="454"/>
      </w:pPr>
      <w:r>
        <w:rPr>
          <w:rFonts w:ascii="Times New Roman" w:hAnsi="Times New Roman"/>
          <w:sz w:val="20"/>
        </w:rPr>
        <w:t>Wikipedia (2024). Deafness in Benin. https://en.wikipedia.org/wiki/Deafness_in_Benin</w:t>
      </w:r>
    </w:p>
    <w:p>
      <w:pPr>
        <w:spacing w:before="0" w:after="80"/>
        <w:ind w:left="454" w:hanging="454"/>
      </w:pPr>
      <w:r>
        <w:rPr>
          <w:rFonts w:ascii="Times New Roman" w:hAnsi="Times New Roman"/>
          <w:sz w:val="20"/>
        </w:rPr>
        <w:t>World Federation of the Deaf (2008). WFD Global Survey Report. Helsinki : WFD.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