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Calibri" w:hAnsi="Calibri"/>
          <w:b/>
          <w:color w:val="1F497D"/>
          <w:sz w:val="32"/>
        </w:rPr>
        <w:t>Pipeline d'inférence temps réel — Paramètres du mode CTC</w:t>
      </w:r>
    </w:p>
    <w:p>
      <w:pPr>
        <w:spacing w:before="0" w:after="400"/>
        <w:jc w:val="center"/>
      </w:pPr>
      <w:r>
        <w:rPr>
          <w:rFonts w:ascii="Calibri" w:hAnsi="Calibri"/>
          <w:i/>
          <w:color w:val="595959"/>
          <w:sz w:val="20"/>
        </w:rPr>
        <w:t>Valeurs extraites de inference_ws.py — Mode CTC principal (V11)</w:t>
      </w:r>
    </w:p>
    <w:p>
      <w:pPr>
        <w:pStyle w:val="Heading1"/>
        <w:spacing w:before="240" w:after="120"/>
      </w:pPr>
      <w:r>
        <w:rPr>
          <w:rFonts w:ascii="Calibri" w:hAnsi="Calibri"/>
          <w:b/>
          <w:sz w:val="26"/>
        </w:rPr>
        <w:t>8.  Pipeline d'inférence temps réel</w:t>
      </w:r>
    </w:p>
    <w:p>
      <w:pPr>
        <w:spacing w:before="80" w:after="160"/>
        <w:jc w:val="left"/>
      </w:pPr>
      <w:r>
        <w:rPr>
          <w:rFonts w:ascii="Calibri" w:hAnsi="Calibri"/>
          <w:b w:val="0"/>
          <w:i w:val="0"/>
          <w:sz w:val="22"/>
        </w:rPr>
        <w:t>La pipeline d'inférence reçoit, à chaque trame vidéo, un vecteur de 171 caractéristiques construit par MediaPipe côté navigateur. Le serveur Python (FastAPI + WebSocket) accumule ces vecteurs dans un tampon flottant et les soumet au modèle BiLSTM-CTC pour décodage progressif. Une couche de détection de repos identifie les limites de phrase ; lorsqu'une limite est franchie, la séquence de signes accumulée est transmise au module de traduction seq2seq pour produire la phrase française finale.</w:t>
      </w:r>
    </w:p>
    <w:p>
      <w:pPr>
        <w:spacing w:before="0" w:after="240"/>
        <w:jc w:val="left"/>
      </w:pPr>
      <w:r>
        <w:rPr>
          <w:rFonts w:ascii="Calibri" w:hAnsi="Calibri"/>
          <w:b w:val="0"/>
          <w:i w:val="0"/>
          <w:sz w:val="22"/>
        </w:rPr>
        <w:t>La pipeline est gouvernée par deux familles de paramètres : les paramètres CTC qui contrôlent le décodage séquentiel, et les paramètres de segmentation qui délimitent les phrases. Ces valeurs ont été calibrées empiriquement sur des sessions de test en conditions réelles (webcam 30 fps, locuteur unique).</w:t>
      </w:r>
    </w:p>
    <w:p>
      <w:pPr>
        <w:pStyle w:val="Heading2"/>
        <w:spacing w:before="240" w:after="120"/>
      </w:pPr>
      <w:r>
        <w:rPr>
          <w:rFonts w:ascii="Calibri" w:hAnsi="Calibri"/>
          <w:b/>
          <w:sz w:val="24"/>
        </w:rPr>
        <w:t>8.1  Paramètres de décodage CTC</w:t>
      </w:r>
    </w:p>
    <w:p>
      <w:pPr>
        <w:spacing w:before="80" w:after="200"/>
        <w:jc w:val="left"/>
      </w:pPr>
      <w:r>
        <w:rPr>
          <w:rFonts w:ascii="Calibri" w:hAnsi="Calibri"/>
          <w:b w:val="0"/>
          <w:i w:val="0"/>
          <w:sz w:val="22"/>
        </w:rPr>
        <w:t>Le décodage CTC s'effectue de manière progressive : le tampon de trames est ré-analysé toutes les CTC_STRIDE trames pour mettre à jour la liste des signes détectés sans attendre la fin de la phrase. Un seuil minimal CTC_MIN_FRAMES évite les décodages sur des séquences trop courtes, peu fiables.</w:t>
      </w:r>
    </w:p>
    <w:tbl>
      <w:tblPr>
        <w:tblW w:type="auto" w:w="0"/>
        <w:jc w:val="center"/>
        <w:tblLook w:firstColumn="1" w:firstRow="1" w:lastColumn="0" w:lastRow="0" w:noHBand="0" w:noVBand="1" w:val="04A0"/>
      </w:tblPr>
      <w:tblGrid>
        <w:gridCol w:w="2280"/>
        <w:gridCol w:w="2280"/>
        <w:gridCol w:w="2280"/>
        <w:gridCol w:w="2280"/>
      </w:tblGrid>
      <w:tr>
        <w:tc>
          <w:tcPr>
            <w:tcW w:type="dxa" w:w="181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Paramètre</w:t>
            </w:r>
          </w:p>
        </w:tc>
        <w:tc>
          <w:tcPr>
            <w:tcW w:type="dxa" w:w="113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Valeur</w:t>
            </w:r>
          </w:p>
        </w:tc>
        <w:tc>
          <w:tcPr>
            <w:tcW w:type="dxa" w:w="113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Unité</w:t>
            </w:r>
          </w:p>
        </w:tc>
        <w:tc>
          <w:tcPr>
            <w:tcW w:type="dxa" w:w="442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Rôle</w:t>
            </w:r>
          </w:p>
        </w:tc>
      </w:tr>
      <w:tr>
        <w:tc>
          <w:tcPr>
            <w:tcW w:type="dxa" w:w="181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CTC_MIN_FRAMES</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30</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trames</w:t>
            </w:r>
          </w:p>
        </w:tc>
        <w:tc>
          <w:tcPr>
            <w:tcW w:type="dxa" w:w="4422"/>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Taille minimale du tampon avant le premier décodage (~1 s à 30 fps)</w:t>
            </w:r>
          </w:p>
        </w:tc>
      </w:tr>
      <w:tr>
        <w:tc>
          <w:tcPr>
            <w:tcW w:type="dxa" w:w="181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CTC_STRIDE</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20</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trames</w:t>
            </w:r>
          </w:p>
        </w:tc>
        <w:tc>
          <w:tcPr>
            <w:tcW w:type="dxa" w:w="4422"/>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Intervalle entre deux décodages progressifs (~0,67 s à 30 fps)</w:t>
            </w:r>
          </w:p>
        </w:tc>
      </w:tr>
    </w:tbl>
    <w:p>
      <w:pPr>
        <w:spacing w:before="80" w:after="280"/>
        <w:jc w:val="center"/>
      </w:pPr>
      <w:r>
        <w:rPr>
          <w:rFonts w:ascii="Calibri" w:hAnsi="Calibri"/>
          <w:i/>
          <w:sz w:val="18"/>
        </w:rPr>
        <w:t>Tableau 2.8a — Paramètres de décodage CTC (</w:t>
      </w:r>
      <w:r>
        <w:rPr>
          <w:rFonts w:ascii="Courier New" w:hAnsi="Courier New"/>
          <w:color w:val="1F497D"/>
          <w:sz w:val="18"/>
        </w:rPr>
        <w:t>inference_ws.py</w:t>
      </w:r>
      <w:r>
        <w:rPr>
          <w:rFonts w:ascii="Calibri" w:hAnsi="Calibri"/>
          <w:i/>
          <w:sz w:val="18"/>
        </w:rPr>
        <w:t>, lignes 40–41)</w:t>
      </w:r>
    </w:p>
    <w:p>
      <w:pPr>
        <w:pStyle w:val="Heading2"/>
        <w:spacing w:before="240" w:after="120"/>
      </w:pPr>
      <w:r>
        <w:rPr>
          <w:rFonts w:ascii="Calibri" w:hAnsi="Calibri"/>
          <w:b/>
          <w:sz w:val="24"/>
        </w:rPr>
        <w:t>8.2  Paramètres de segmentation de phrase</w:t>
      </w:r>
    </w:p>
    <w:p>
      <w:pPr>
        <w:spacing w:before="80" w:after="200"/>
        <w:jc w:val="left"/>
      </w:pPr>
      <w:r>
        <w:rPr>
          <w:rFonts w:ascii="Calibri" w:hAnsi="Calibri"/>
          <w:b w:val="0"/>
          <w:i w:val="0"/>
          <w:sz w:val="22"/>
        </w:rPr>
        <w:t>La segmentation de phrase repose sur deux mécanismes complémentaires : la détection de repos (mains basses, immobiles) et la disparition des mains hors du champ. Un délai de grâce évite les coupures prématurées dues aux occultations momentanées. Un timeout global termine automatiquement la session après une période d'inactivité prolongée.</w:t>
      </w:r>
    </w:p>
    <w:tbl>
      <w:tblPr>
        <w:tblW w:type="auto" w:w="0"/>
        <w:jc w:val="center"/>
        <w:tblLook w:firstColumn="1" w:firstRow="1" w:lastColumn="0" w:lastRow="0" w:noHBand="0" w:noVBand="1" w:val="04A0"/>
      </w:tblPr>
      <w:tblGrid>
        <w:gridCol w:w="2280"/>
        <w:gridCol w:w="2280"/>
        <w:gridCol w:w="2280"/>
        <w:gridCol w:w="2280"/>
      </w:tblGrid>
      <w:tr>
        <w:tc>
          <w:tcPr>
            <w:tcW w:type="dxa" w:w="215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Paramètre</w:t>
            </w:r>
          </w:p>
        </w:tc>
        <w:tc>
          <w:tcPr>
            <w:tcW w:type="dxa" w:w="113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Valeur</w:t>
            </w:r>
          </w:p>
        </w:tc>
        <w:tc>
          <w:tcPr>
            <w:tcW w:type="dxa" w:w="124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Unité</w:t>
            </w:r>
          </w:p>
        </w:tc>
        <w:tc>
          <w:tcPr>
            <w:tcW w:type="dxa" w:w="3969"/>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Description</w:t>
            </w:r>
          </w:p>
        </w:tc>
      </w:tr>
      <w:tr>
        <w:tc>
          <w:tcPr>
            <w:tcW w:type="dxa" w:w="9120"/>
            <w:gridSpan w:val="4"/>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left"/>
            </w:pPr>
            <w:r>
              <w:rPr>
                <w:rFonts w:ascii="Calibri" w:hAnsi="Calibri"/>
                <w:b/>
                <w:i w:val="0"/>
                <w:color w:val="1F497D"/>
                <w:sz w:val="20"/>
              </w:rPr>
              <w:t xml:space="preserve">  Détection de la position de repos</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REST_WRIST_Y</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0.8</w:t>
            </w:r>
          </w:p>
        </w:tc>
        <w:tc>
          <w:tcPr>
            <w:tcW w:type="dxa" w:w="124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norm.</w:t>
            </w:r>
          </w:p>
        </w:tc>
        <w:tc>
          <w:tcPr>
            <w:tcW w:type="dxa" w:w="3969"/>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Seuil de coordonnée Y normalisée du poignet (0 = haut, 1 = bas) ; au-delà, la main est considérée basse</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REST_MOTION_MAX</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0.02</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norm./tr</w:t>
            </w:r>
          </w:p>
        </w:tc>
        <w:tc>
          <w:tcPr>
            <w:tcW w:type="dxa" w:w="3969"/>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Énergie de mouvement maximale tolérée pour valider l'état de repos</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REST_FRAMES</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8</w:t>
            </w:r>
          </w:p>
        </w:tc>
        <w:tc>
          <w:tcPr>
            <w:tcW w:type="dxa" w:w="124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trames</w:t>
            </w:r>
          </w:p>
        </w:tc>
        <w:tc>
          <w:tcPr>
            <w:tcW w:type="dxa" w:w="3969"/>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Nombre de trames consécutives de repos requises pour déclencher la finalisation (~267 ms à 30 fps)</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REST_MIN_GAP</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0.3</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s</w:t>
            </w:r>
          </w:p>
        </w:tc>
        <w:tc>
          <w:tcPr>
            <w:tcW w:type="dxa" w:w="3969"/>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Délai minimal depuis le dernier signe reconnu avant autorisation de finalisation</w:t>
            </w:r>
          </w:p>
        </w:tc>
      </w:tr>
      <w:tr>
        <w:tc>
          <w:tcPr>
            <w:tcW w:type="dxa" w:w="9120"/>
            <w:gridSpan w:val="4"/>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left"/>
            </w:pPr>
            <w:r>
              <w:rPr>
                <w:rFonts w:ascii="Calibri" w:hAnsi="Calibri"/>
                <w:b/>
                <w:i w:val="0"/>
                <w:color w:val="1F497D"/>
                <w:sz w:val="20"/>
              </w:rPr>
              <w:t xml:space="preserve">  Disparition des mains (hors champ)</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PAUSE_THRESHOLD</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0.8</w:t>
            </w:r>
          </w:p>
        </w:tc>
        <w:tc>
          <w:tcPr>
            <w:tcW w:type="dxa" w:w="124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s</w:t>
            </w:r>
          </w:p>
        </w:tc>
        <w:tc>
          <w:tcPr>
            <w:tcW w:type="dxa" w:w="3969"/>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Durée d'absence des mains déclenchant la finalisation de la phrase en cours</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HAND_GRACE</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25</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trames</w:t>
            </w:r>
          </w:p>
        </w:tc>
        <w:tc>
          <w:tcPr>
            <w:tcW w:type="dxa" w:w="3969"/>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Délai de grâce avant de considérer les mains comme perdues (~833 ms à 30 fps)</w:t>
            </w:r>
          </w:p>
        </w:tc>
      </w:tr>
      <w:tr>
        <w:tc>
          <w:tcPr>
            <w:tcW w:type="dxa" w:w="9120"/>
            <w:gridSpan w:val="4"/>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left"/>
            </w:pPr>
            <w:r>
              <w:rPr>
                <w:rFonts w:ascii="Calibri" w:hAnsi="Calibri"/>
                <w:b/>
                <w:i w:val="0"/>
                <w:color w:val="1F497D"/>
                <w:sz w:val="20"/>
              </w:rPr>
              <w:t xml:space="preserve">  Timeout global (inactivité)</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i w:val="0"/>
                <w:color w:val="1F497D"/>
                <w:sz w:val="20"/>
              </w:rPr>
              <w:t>IDLE_TIMEOUT</w:t>
            </w:r>
          </w:p>
        </w:tc>
        <w:tc>
          <w:tcPr>
            <w:tcW w:type="dxa" w:w="113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3.0</w:t>
            </w:r>
          </w:p>
        </w:tc>
        <w:tc>
          <w:tcPr>
            <w:tcW w:type="dxa" w:w="124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sz w:val="20"/>
              </w:rPr>
              <w:t>s</w:t>
            </w:r>
          </w:p>
        </w:tc>
        <w:tc>
          <w:tcPr>
            <w:tcW w:type="dxa" w:w="3969"/>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20"/>
              </w:rPr>
              <w:t>Durée d'inactivité totale au-delà de laquelle la session WebSocket est considérée terminée</w:t>
            </w:r>
          </w:p>
        </w:tc>
      </w:tr>
    </w:tbl>
    <w:p>
      <w:pPr>
        <w:spacing w:before="80" w:after="320"/>
        <w:jc w:val="center"/>
      </w:pPr>
      <w:r>
        <w:rPr>
          <w:rFonts w:ascii="Calibri" w:hAnsi="Calibri"/>
          <w:i/>
          <w:sz w:val="18"/>
        </w:rPr>
        <w:t>Tableau 2.8b — Paramètres de segmentation de phrase (</w:t>
      </w:r>
      <w:r>
        <w:rPr>
          <w:rFonts w:ascii="Courier New" w:hAnsi="Courier New"/>
          <w:color w:val="1F497D"/>
          <w:sz w:val="18"/>
        </w:rPr>
        <w:t>inference_ws.py</w:t>
      </w:r>
      <w:r>
        <w:rPr>
          <w:rFonts w:ascii="Calibri" w:hAnsi="Calibri"/>
          <w:i/>
          <w:sz w:val="18"/>
        </w:rPr>
        <w:t>, lignes 33–91)</w:t>
      </w:r>
    </w:p>
    <w:p>
      <w:pPr>
        <w:pStyle w:val="Heading2"/>
        <w:spacing w:before="240" w:after="120"/>
      </w:pPr>
      <w:r>
        <w:rPr>
          <w:rFonts w:ascii="Calibri" w:hAnsi="Calibri"/>
          <w:b/>
          <w:sz w:val="24"/>
        </w:rPr>
        <w:t>Note — Rôle du SlidingWindowClassifier en mode CTC</w:t>
      </w:r>
    </w:p>
    <w:p>
      <w:pPr>
        <w:spacing w:before="80" w:after="160"/>
        <w:jc w:val="left"/>
      </w:pPr>
      <w:r>
        <w:rPr>
          <w:rFonts w:ascii="Calibri" w:hAnsi="Calibri"/>
          <w:b w:val="0"/>
          <w:i w:val="0"/>
          <w:sz w:val="22"/>
        </w:rPr>
        <w:t>Lorsque le modèle CTC est chargé, le SlidingWindowClassifier continue de s'exécuter à chaque trame, mais son rôle est réduit à deux fonctions auxiliaires : (1) calculer l'énergie de mouvement utilisée par la détection de repos, et (2) fournir une prédiction instantanée et le streak_progress pour le retour visuel de l'interface. Sa sortie de reconnaissance de signe n'est utilisée que si le moteur CTC n'est pas disponible (mode dégradé).</w:t>
      </w:r>
    </w:p>
    <w:p>
      <w:pPr>
        <w:spacing w:before="80" w:after="320"/>
        <w:ind w:left="454" w:right="454"/>
      </w:pPr>
      <w:r>
        <w:rPr>
          <w:rFonts w:ascii="Calibri" w:hAnsi="Calibri"/>
          <w:i/>
          <w:color w:val="595959"/>
          <w:sz w:val="20"/>
        </w:rPr>
        <w:t>Les paramètres propres au SlidingWindowClassifier (WINDOW_SIZE, CONFIDENCE_THRESHOLD, STREAK_REQUIRED, etc.) définis dans constants.py ne figurent pas dans ce tableau : ils ne participent pas au chemin de reconnaissance principal en mode CTC. Ils restent configurables pour le mode dégradé.</w:t>
      </w:r>
    </w:p>
    <w:p>
      <w:pPr>
        <w:pStyle w:val="Heading2"/>
        <w:spacing w:before="240" w:after="120"/>
      </w:pPr>
      <w:r>
        <w:rPr>
          <w:rFonts w:ascii="Calibri" w:hAnsi="Calibri"/>
          <w:b/>
          <w:sz w:val="24"/>
        </w:rPr>
        <w:t>8.3  Flux de décision simplifié</w:t>
      </w:r>
    </w:p>
    <w:p>
      <w:pPr>
        <w:spacing w:before="80" w:after="120"/>
        <w:jc w:val="left"/>
      </w:pPr>
      <w:r>
        <w:rPr>
          <w:rFonts w:ascii="Calibri" w:hAnsi="Calibri"/>
          <w:b w:val="0"/>
          <w:i w:val="0"/>
          <w:sz w:val="22"/>
        </w:rPr>
        <w:t>À chaque trame reçue, la pipeline effectue les opérations suivantes dans l'ordre :</w:t>
      </w:r>
    </w:p>
    <w:p>
      <w:pPr>
        <w:spacing w:before="60" w:after="60"/>
        <w:ind w:left="283"/>
      </w:pPr>
      <w:r>
        <w:rPr>
          <w:rFonts w:ascii="Calibri" w:hAnsi="Calibri"/>
          <w:b/>
          <w:color w:val="1F497D"/>
          <w:sz w:val="22"/>
        </w:rPr>
        <w:t xml:space="preserve">1. </w:t>
      </w:r>
      <w:r>
        <w:rPr>
          <w:rFonts w:ascii="Calibri" w:hAnsi="Calibri"/>
          <w:b/>
          <w:sz w:val="22"/>
        </w:rPr>
        <w:t xml:space="preserve">Extraction des caractéristiques — </w:t>
      </w:r>
      <w:r>
        <w:rPr>
          <w:rFonts w:ascii="Calibri" w:hAnsi="Calibri"/>
          <w:sz w:val="22"/>
        </w:rPr>
        <w:t>Le vecteur de 171 flottants est validé (dimension, absence de NaN) et ajouté au tampon CTC ctc_buf.</w:t>
      </w:r>
    </w:p>
    <w:p>
      <w:pPr>
        <w:spacing w:before="60" w:after="60"/>
        <w:ind w:left="283"/>
      </w:pPr>
      <w:r>
        <w:rPr>
          <w:rFonts w:ascii="Calibri" w:hAnsi="Calibri"/>
          <w:b/>
          <w:color w:val="1F497D"/>
          <w:sz w:val="22"/>
        </w:rPr>
        <w:t xml:space="preserve">2. </w:t>
      </w:r>
      <w:r>
        <w:rPr>
          <w:rFonts w:ascii="Calibri" w:hAnsi="Calibri"/>
          <w:b/>
          <w:sz w:val="22"/>
        </w:rPr>
        <w:t xml:space="preserve">Mise à jour du SlidingWindowClassifier — </w:t>
      </w:r>
      <w:r>
        <w:rPr>
          <w:rFonts w:ascii="Calibri" w:hAnsi="Calibri"/>
          <w:sz w:val="22"/>
        </w:rPr>
        <w:t>Le classificateur à fenêtre glissante est alimenté pour calculer l'énergie de mouvement (motion_energy) et mettre à jour le retour visuel UI.</w:t>
      </w:r>
    </w:p>
    <w:p>
      <w:pPr>
        <w:spacing w:before="60" w:after="60"/>
        <w:ind w:left="283"/>
      </w:pPr>
      <w:r>
        <w:rPr>
          <w:rFonts w:ascii="Calibri" w:hAnsi="Calibri"/>
          <w:b/>
          <w:color w:val="1F497D"/>
          <w:sz w:val="22"/>
        </w:rPr>
        <w:t xml:space="preserve">3. </w:t>
      </w:r>
      <w:r>
        <w:rPr>
          <w:rFonts w:ascii="Calibri" w:hAnsi="Calibri"/>
          <w:b/>
          <w:sz w:val="22"/>
        </w:rPr>
        <w:t xml:space="preserve">Détection de présence des mains — </w:t>
      </w:r>
      <w:r>
        <w:rPr>
          <w:rFonts w:ascii="Calibri" w:hAnsi="Calibri"/>
          <w:sz w:val="22"/>
        </w:rPr>
        <w:t>Si aucune main n'est détectée, hand_miss_count est incrémenté. Passé HAND_GRACE = 25 trames (~833 ms), la phrase est finalisée.</w:t>
      </w:r>
    </w:p>
    <w:p>
      <w:pPr>
        <w:spacing w:before="60" w:after="60"/>
        <w:ind w:left="283"/>
      </w:pPr>
      <w:r>
        <w:rPr>
          <w:rFonts w:ascii="Calibri" w:hAnsi="Calibri"/>
          <w:b/>
          <w:color w:val="1F497D"/>
          <w:sz w:val="22"/>
        </w:rPr>
        <w:t xml:space="preserve">4. </w:t>
      </w:r>
      <w:r>
        <w:rPr>
          <w:rFonts w:ascii="Calibri" w:hAnsi="Calibri"/>
          <w:b/>
          <w:sz w:val="22"/>
        </w:rPr>
        <w:t xml:space="preserve">Détection de repos — </w:t>
      </w:r>
      <w:r>
        <w:rPr>
          <w:rFonts w:ascii="Calibri" w:hAnsi="Calibri"/>
          <w:sz w:val="22"/>
        </w:rPr>
        <w:t>Si les deux poignets dépassent REST_WRIST_Y = 0.8 et que motion_energy &lt; REST_MOTION_MAX = 0.02 pendant REST_FRAMES = 8 trames consécutives, et si le dernier signe remonte à plus de REST_MIN_GAP = 0.3 s, la phrase est finalisée.</w:t>
      </w:r>
    </w:p>
    <w:p>
      <w:pPr>
        <w:spacing w:before="60" w:after="60"/>
        <w:ind w:left="283"/>
      </w:pPr>
      <w:r>
        <w:rPr>
          <w:rFonts w:ascii="Calibri" w:hAnsi="Calibri"/>
          <w:b/>
          <w:color w:val="1F497D"/>
          <w:sz w:val="22"/>
        </w:rPr>
        <w:t xml:space="preserve">5. </w:t>
      </w:r>
      <w:r>
        <w:rPr>
          <w:rFonts w:ascii="Calibri" w:hAnsi="Calibri"/>
          <w:b/>
          <w:sz w:val="22"/>
        </w:rPr>
        <w:t xml:space="preserve">Décodage CTC progressif — </w:t>
      </w:r>
      <w:r>
        <w:rPr>
          <w:rFonts w:ascii="Calibri" w:hAnsi="Calibri"/>
          <w:sz w:val="22"/>
        </w:rPr>
        <w:t>Toutes les CTC_STRIDE = 20 trames, si le tampon contient au moins CTC_MIN_FRAMES = 30 trames, le modèle BiLSTM-CTC décode la séquence et met à jour la liste de signes courants.</w:t>
      </w:r>
    </w:p>
    <w:p>
      <w:pPr>
        <w:spacing w:before="60" w:after="60"/>
        <w:ind w:left="283"/>
      </w:pPr>
      <w:r>
        <w:rPr>
          <w:rFonts w:ascii="Calibri" w:hAnsi="Calibri"/>
          <w:b/>
          <w:color w:val="1F497D"/>
          <w:sz w:val="22"/>
        </w:rPr>
        <w:t xml:space="preserve">6. </w:t>
      </w:r>
      <w:r>
        <w:rPr>
          <w:rFonts w:ascii="Calibri" w:hAnsi="Calibri"/>
          <w:b/>
          <w:sz w:val="22"/>
        </w:rPr>
        <w:t xml:space="preserve">Finalisation et traduction — </w:t>
      </w:r>
      <w:r>
        <w:rPr>
          <w:rFonts w:ascii="Calibri" w:hAnsi="Calibri"/>
          <w:sz w:val="22"/>
        </w:rPr>
        <w:t>Lors d'une limite de phrase (repos ou disparition), une passe CTC finale est effectuée, la séquence de signes est transmise au module seq2seq, et la phrase traduite est envoyée au client via WebSocket.</w:t>
      </w:r>
    </w:p>
    <w:p>
      <w:pPr>
        <w:spacing w:before="200" w:after="80"/>
        <w:jc w:val="left"/>
      </w:pPr>
    </w:p>
    <w:p>
      <w:pPr>
        <w:spacing w:before="320"/>
        <w:jc w:val="center"/>
      </w:pPr>
      <w:r>
        <w:rPr>
          <w:rFonts w:ascii="Calibri" w:hAnsi="Calibri"/>
          <w:i/>
          <w:color w:val="595959"/>
          <w:sz w:val="18"/>
        </w:rPr>
        <w:t>Toutes les valeurs sont extraites de V11/server/routers/inference_ws.py · Aucune valeur de fallback incluse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