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b/>
          <w:bCs/>
          <w:sz w:val="48"/>
          <w:szCs w:val="48"/>
        </w:rPr>
      </w:pPr>
    </w:p>
    <w:p>
      <w:pPr>
        <w:jc w:val="center"/>
        <w:rPr>
          <w:rFonts w:hint="eastAsia" w:ascii="宋体" w:hAnsi="宋体"/>
          <w:b/>
          <w:bCs/>
          <w:sz w:val="48"/>
          <w:szCs w:val="48"/>
        </w:rPr>
      </w:pPr>
    </w:p>
    <w:p>
      <w:pPr>
        <w:jc w:val="center"/>
        <w:rPr>
          <w:b/>
          <w:bCs/>
          <w:sz w:val="48"/>
          <w:szCs w:val="48"/>
        </w:rPr>
      </w:pPr>
      <w:r>
        <w:rPr>
          <w:sz w:val="48"/>
          <w:szCs w:val="48"/>
        </w:rPr>
        <w:drawing>
          <wp:inline distT="0" distB="0" distL="114300" distR="114300">
            <wp:extent cx="1941830" cy="558165"/>
            <wp:effectExtent l="0" t="0" r="8890" b="5715"/>
            <wp:docPr id="23" name="图片 1"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school"/>
                    <pic:cNvPicPr>
                      <a:picLocks noChangeAspect="1"/>
                    </pic:cNvPicPr>
                  </pic:nvPicPr>
                  <pic:blipFill>
                    <a:blip r:embed="rId49"/>
                    <a:stretch>
                      <a:fillRect/>
                    </a:stretch>
                  </pic:blipFill>
                  <pic:spPr>
                    <a:xfrm>
                      <a:off x="0" y="0"/>
                      <a:ext cx="1941830" cy="558165"/>
                    </a:xfrm>
                    <a:prstGeom prst="rect">
                      <a:avLst/>
                    </a:prstGeom>
                    <a:noFill/>
                    <a:ln>
                      <a:noFill/>
                    </a:ln>
                  </pic:spPr>
                </pic:pic>
              </a:graphicData>
            </a:graphic>
          </wp:inline>
        </w:drawing>
      </w:r>
    </w:p>
    <w:p>
      <w:pPr>
        <w:jc w:val="center"/>
        <w:rPr>
          <w:b/>
          <w:bCs/>
          <w:sz w:val="48"/>
          <w:szCs w:val="48"/>
        </w:rPr>
      </w:pPr>
    </w:p>
    <w:p>
      <w:pPr>
        <w:jc w:val="center"/>
        <w:rPr>
          <w:b/>
          <w:bCs/>
          <w:sz w:val="48"/>
          <w:szCs w:val="48"/>
        </w:rPr>
      </w:pPr>
      <w:r>
        <w:rPr>
          <w:b/>
          <w:bCs/>
          <w:sz w:val="48"/>
          <w:szCs w:val="48"/>
        </w:rPr>
        <w:t>本科毕业设计（论文）外文翻译译文</w:t>
      </w: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spacing w:line="360" w:lineRule="auto"/>
        <w:ind w:firstLine="1771" w:firstLineChars="630"/>
        <w:rPr>
          <w:b/>
          <w:sz w:val="28"/>
          <w:u w:val="single"/>
        </w:rPr>
      </w:pPr>
      <w:r>
        <w:rPr>
          <w:b/>
          <w:sz w:val="28"/>
        </w:rPr>
        <w:t>学生姓名</w:t>
      </w:r>
      <w:r>
        <w:rPr>
          <w:sz w:val="28"/>
        </w:rPr>
        <w:t>：</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rFonts w:hint="eastAsia"/>
          <w:b/>
          <w:sz w:val="28"/>
          <w:u w:val="single"/>
        </w:rPr>
        <w:t xml:space="preserve"> </w:t>
      </w:r>
      <w:r>
        <w:rPr>
          <w:b/>
          <w:sz w:val="28"/>
          <w:u w:val="single"/>
        </w:rPr>
        <w:t xml:space="preserve">   </w:t>
      </w:r>
      <w:r>
        <w:rPr>
          <w:rFonts w:hint="eastAsia"/>
          <w:b/>
          <w:sz w:val="28"/>
          <w:u w:val="single"/>
          <w:lang w:val="en-US" w:eastAsia="zh-CN"/>
        </w:rPr>
        <w:t>高森</w:t>
      </w:r>
      <w:r>
        <w:rPr>
          <w:b/>
          <w:sz w:val="28"/>
          <w:u w:val="single"/>
        </w:rPr>
        <w:t xml:space="preserve">              </w:t>
      </w:r>
    </w:p>
    <w:p>
      <w:pPr>
        <w:spacing w:line="360" w:lineRule="auto"/>
        <w:ind w:firstLine="1771" w:firstLineChars="630"/>
        <w:rPr>
          <w:b/>
          <w:sz w:val="28"/>
          <w:szCs w:val="28"/>
          <w:u w:val="single"/>
        </w:rPr>
      </w:pPr>
      <w:r>
        <w:rPr>
          <w:b/>
          <w:sz w:val="28"/>
        </w:rPr>
        <w:t>院 （系）：</w:t>
      </w:r>
      <w:r>
        <w:rPr>
          <w:b/>
          <w:sz w:val="28"/>
          <w:szCs w:val="28"/>
          <w:u w:val="single"/>
        </w:rPr>
        <w:t xml:space="preserve">      材料科学与工程学院         </w:t>
      </w:r>
    </w:p>
    <w:p>
      <w:pPr>
        <w:spacing w:line="360" w:lineRule="auto"/>
        <w:ind w:firstLine="1740" w:firstLineChars="619"/>
        <w:rPr>
          <w:b/>
          <w:sz w:val="28"/>
          <w:u w:val="single"/>
        </w:rPr>
      </w:pPr>
      <w:r>
        <w:rPr>
          <w:b/>
          <w:sz w:val="28"/>
        </w:rPr>
        <w:t>专业班级：</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焊接180</w:t>
      </w:r>
      <w:r>
        <w:rPr>
          <w:rFonts w:hint="eastAsia"/>
          <w:b/>
          <w:sz w:val="28"/>
          <w:u w:val="single"/>
          <w:lang w:val="en-US" w:eastAsia="zh-CN"/>
        </w:rPr>
        <w:t>1</w:t>
      </w:r>
      <w:r>
        <w:rPr>
          <w:b/>
          <w:sz w:val="28"/>
          <w:u w:val="single"/>
        </w:rPr>
        <w:t xml:space="preserve">        </w:t>
      </w:r>
      <w:r>
        <w:rPr>
          <w:rFonts w:hint="eastAsia"/>
          <w:b/>
          <w:sz w:val="28"/>
          <w:u w:val="single"/>
        </w:rPr>
        <w:t xml:space="preserve"> </w:t>
      </w:r>
      <w:r>
        <w:rPr>
          <w:b/>
          <w:sz w:val="28"/>
          <w:u w:val="single"/>
        </w:rPr>
        <w:t xml:space="preserve">    </w:t>
      </w:r>
    </w:p>
    <w:p>
      <w:pPr>
        <w:spacing w:line="360" w:lineRule="auto"/>
        <w:ind w:firstLine="1771" w:firstLineChars="630"/>
        <w:rPr>
          <w:b/>
          <w:sz w:val="28"/>
          <w:u w:val="single"/>
        </w:rPr>
      </w:pPr>
      <w:r>
        <w:rPr>
          <w:b/>
          <w:sz w:val="28"/>
        </w:rPr>
        <w:t>指导教师：</w:t>
      </w:r>
      <w:r>
        <w:rPr>
          <w:b/>
          <w:sz w:val="28"/>
          <w:u w:val="single"/>
        </w:rPr>
        <w:t xml:space="preserve">      </w:t>
      </w:r>
      <w:r>
        <w:rPr>
          <w:rFonts w:hint="eastAsia"/>
          <w:b/>
          <w:sz w:val="28"/>
          <w:u w:val="single"/>
        </w:rPr>
        <w:t xml:space="preserve">   </w:t>
      </w:r>
      <w:r>
        <w:rPr>
          <w:b/>
          <w:sz w:val="28"/>
          <w:u w:val="single"/>
        </w:rPr>
        <w:t xml:space="preserve">    路永新               </w:t>
      </w:r>
    </w:p>
    <w:p>
      <w:pPr>
        <w:tabs>
          <w:tab w:val="left" w:pos="1614"/>
          <w:tab w:val="left" w:pos="1794"/>
        </w:tabs>
        <w:spacing w:line="360" w:lineRule="auto"/>
        <w:ind w:firstLine="1827" w:firstLineChars="650"/>
        <w:rPr>
          <w:sz w:val="28"/>
          <w:u w:val="single"/>
        </w:rPr>
      </w:pPr>
      <w:r>
        <w:rPr>
          <w:b/>
          <w:sz w:val="28"/>
        </w:rPr>
        <w:t>完成日期：</w:t>
      </w:r>
      <w:r>
        <w:rPr>
          <w:b/>
          <w:sz w:val="28"/>
          <w:u w:val="single"/>
        </w:rPr>
        <w:t xml:space="preserve">   </w:t>
      </w:r>
      <w:r>
        <w:rPr>
          <w:rFonts w:hint="eastAsia"/>
          <w:b/>
          <w:sz w:val="28"/>
          <w:u w:val="single"/>
        </w:rPr>
        <w:t xml:space="preserve"> </w:t>
      </w:r>
      <w:r>
        <w:rPr>
          <w:b/>
          <w:sz w:val="28"/>
          <w:u w:val="single"/>
        </w:rPr>
        <w:t xml:space="preserve"> 20</w:t>
      </w:r>
      <w:r>
        <w:rPr>
          <w:rFonts w:hint="eastAsia"/>
          <w:b/>
          <w:sz w:val="28"/>
          <w:u w:val="single"/>
        </w:rPr>
        <w:t>22</w:t>
      </w:r>
      <w:r>
        <w:rPr>
          <w:b/>
          <w:sz w:val="28"/>
          <w:u w:val="single"/>
        </w:rPr>
        <w:t xml:space="preserve">  年 </w:t>
      </w:r>
      <w:r>
        <w:rPr>
          <w:rFonts w:hint="eastAsia"/>
          <w:b/>
          <w:sz w:val="28"/>
          <w:u w:val="single"/>
          <w:lang w:val="en-US" w:eastAsia="zh-CN"/>
        </w:rPr>
        <w:t>2</w:t>
      </w:r>
      <w:r>
        <w:rPr>
          <w:b/>
          <w:sz w:val="28"/>
          <w:u w:val="single"/>
        </w:rPr>
        <w:t xml:space="preserve">  月 </w:t>
      </w:r>
      <w:r>
        <w:rPr>
          <w:rFonts w:hint="eastAsia"/>
          <w:b/>
          <w:sz w:val="28"/>
          <w:u w:val="single"/>
          <w:lang w:val="en-US" w:eastAsia="zh-CN"/>
        </w:rPr>
        <w:t>25</w:t>
      </w:r>
      <w:r>
        <w:rPr>
          <w:b/>
          <w:sz w:val="28"/>
          <w:u w:val="single"/>
        </w:rPr>
        <w:t xml:space="preserve"> 日  </w:t>
      </w:r>
      <w:r>
        <w:rPr>
          <w:rFonts w:hint="eastAsia"/>
          <w:b/>
          <w:sz w:val="28"/>
          <w:u w:val="single"/>
        </w:rPr>
        <w:t xml:space="preserve"> </w:t>
      </w:r>
      <w:r>
        <w:rPr>
          <w:rFonts w:hint="eastAsia"/>
          <w:sz w:val="28"/>
          <w:u w:val="single"/>
        </w:rPr>
        <w:t xml:space="preserve">  </w:t>
      </w:r>
      <w:r>
        <w:rPr>
          <w:sz w:val="28"/>
          <w:u w:val="single"/>
        </w:rPr>
        <w:t xml:space="preserve">   </w:t>
      </w:r>
    </w:p>
    <w:p>
      <w:pPr>
        <w:ind w:left="0" w:leftChars="0" w:firstLine="0" w:firstLineChars="0"/>
        <w:jc w:val="both"/>
        <w:rPr>
          <w:sz w:val="36"/>
          <w:szCs w:val="36"/>
        </w:rPr>
      </w:pPr>
    </w:p>
    <w:p>
      <w:pPr>
        <w:pStyle w:val="10"/>
        <w:spacing w:line="240" w:lineRule="auto"/>
        <w:ind w:left="0" w:leftChars="0" w:firstLine="0" w:firstLineChars="0"/>
        <w:jc w:val="center"/>
        <w:rPr>
          <w:b/>
          <w:sz w:val="36"/>
        </w:rPr>
      </w:pPr>
      <w:r>
        <w:rPr>
          <w:b/>
          <w:sz w:val="36"/>
        </w:rPr>
        <w:t>要  求</w:t>
      </w:r>
    </w:p>
    <w:p>
      <w:pPr>
        <w:pStyle w:val="10"/>
        <w:spacing w:line="240" w:lineRule="auto"/>
        <w:ind w:firstLine="157" w:firstLineChars="65"/>
        <w:jc w:val="center"/>
        <w:rPr>
          <w:b/>
          <w:bCs/>
        </w:rPr>
      </w:pPr>
    </w:p>
    <w:p>
      <w:pPr>
        <w:pStyle w:val="10"/>
        <w:tabs>
          <w:tab w:val="left" w:pos="9354"/>
        </w:tabs>
        <w:spacing w:line="360" w:lineRule="auto"/>
        <w:ind w:left="2" w:leftChars="1" w:right="-5" w:rightChars="-2" w:firstLineChars="200"/>
      </w:pPr>
      <w:r>
        <w:t>1、外文翻译是毕业设计（论文）的主要内容之一，必须学生独立完成。</w:t>
      </w:r>
    </w:p>
    <w:p>
      <w:pPr>
        <w:pStyle w:val="10"/>
        <w:spacing w:line="360" w:lineRule="auto"/>
        <w:ind w:left="1" w:right="-5" w:rightChars="-2" w:firstLineChars="200"/>
      </w:pPr>
      <w:r>
        <w:t>2、外文翻译译文内容应与学生的专业或毕业设计（论文）内容相关，不得少于15000印刷符号。</w:t>
      </w:r>
    </w:p>
    <w:p>
      <w:pPr>
        <w:pStyle w:val="10"/>
        <w:spacing w:line="360" w:lineRule="auto"/>
        <w:ind w:left="1" w:right="-5" w:rightChars="-2" w:firstLineChars="200"/>
      </w:pPr>
      <w:r>
        <w:t>3.外文翻译译文用A4纸打印。文章标题用3号宋体，章节标题用4号宋体，正文用小4号宋体，20磅行距；页边距上、下、左、右均为2.5cm，左侧装订，装订线0.5cm。按中文翻译在上，外文原文在下的顺序装订。</w:t>
      </w:r>
    </w:p>
    <w:p>
      <w:pPr>
        <w:pStyle w:val="10"/>
        <w:spacing w:line="360" w:lineRule="auto"/>
        <w:ind w:left="1" w:right="-5" w:rightChars="-2" w:firstLineChars="200"/>
      </w:pPr>
      <w:r>
        <w:t>4、年月日等的填写，用阿拉伯数字书写，要符合《关于出版物上数字用法的试行规定》，如“2005年2月26日”。</w:t>
      </w:r>
    </w:p>
    <w:p>
      <w:pPr>
        <w:pStyle w:val="10"/>
        <w:spacing w:line="360" w:lineRule="auto"/>
        <w:ind w:left="1" w:right="-5" w:rightChars="-2" w:firstLineChars="200"/>
      </w:pPr>
      <w:r>
        <w:t>5、所有签名必须手写，不得打印。</w:t>
      </w:r>
    </w:p>
    <w:p>
      <w:pPr>
        <w:pStyle w:val="10"/>
        <w:spacing w:line="440" w:lineRule="exact"/>
        <w:ind w:right="523" w:rightChars="218" w:firstLine="0"/>
      </w:pPr>
    </w:p>
    <w:p>
      <w:pPr>
        <w:ind w:firstLine="0" w:firstLineChars="0"/>
        <w:jc w:val="center"/>
        <w:rPr>
          <w:rFonts w:cs="Times New Roman"/>
          <w:b/>
          <w:bCs/>
          <w:sz w:val="30"/>
          <w:szCs w:val="30"/>
        </w:rPr>
        <w:sectPr>
          <w:headerReference r:id="rId5" w:type="default"/>
          <w:footerReference r:id="rId7" w:type="default"/>
          <w:headerReference r:id="rId6" w:type="even"/>
          <w:footerReference r:id="rId8" w:type="even"/>
          <w:footnotePr>
            <w:numFmt w:val="decimalEnclosedCircleChinese"/>
            <w:numRestart w:val="eachSect"/>
          </w:footnotePr>
          <w:pgSz w:w="11906" w:h="16838"/>
          <w:pgMar w:top="1440" w:right="1800" w:bottom="1440" w:left="1800" w:header="851" w:footer="992" w:gutter="0"/>
          <w:cols w:space="425" w:num="1"/>
          <w:docGrid w:type="lines" w:linePitch="312" w:charSpace="7430"/>
        </w:sectPr>
      </w:pPr>
    </w:p>
    <w:p>
      <w:pPr>
        <w:ind w:firstLine="0" w:firstLineChars="0"/>
        <w:jc w:val="center"/>
        <w:rPr>
          <w:rFonts w:cs="Times New Roman"/>
          <w:b/>
          <w:bCs/>
          <w:sz w:val="30"/>
          <w:szCs w:val="30"/>
        </w:rPr>
      </w:pPr>
      <w:r>
        <w:rPr>
          <w:rFonts w:cs="Times New Roman"/>
          <w:b/>
          <w:bCs/>
          <w:sz w:val="30"/>
          <w:szCs w:val="30"/>
        </w:rPr>
        <w:t>采用超声冲击处理和电火花沉积相结合的方法在Ti–6Al–4V合金上制备Ti–Al金属间化合物涂层</w:t>
      </w:r>
    </w:p>
    <w:p>
      <w:pPr>
        <w:spacing w:after="100" w:afterAutospacing="1" w:line="240" w:lineRule="auto"/>
        <w:ind w:firstLine="0" w:firstLineChars="0"/>
        <w:jc w:val="center"/>
        <w:rPr>
          <w:b/>
          <w:bCs/>
          <w:sz w:val="32"/>
          <w:szCs w:val="32"/>
        </w:rPr>
      </w:pPr>
      <w:r>
        <w:rPr>
          <w:b/>
          <w:bCs/>
          <w:sz w:val="32"/>
          <w:szCs w:val="32"/>
        </w:rPr>
        <w:t>Novel method to fabricate Ti–Al intermetallic compound coatings</w:t>
      </w:r>
      <w:r>
        <w:rPr>
          <w:rFonts w:hint="eastAsia"/>
          <w:b/>
          <w:bCs/>
          <w:sz w:val="32"/>
          <w:szCs w:val="32"/>
        </w:rPr>
        <w:t xml:space="preserve"> </w:t>
      </w:r>
      <w:r>
        <w:rPr>
          <w:b/>
          <w:bCs/>
          <w:sz w:val="32"/>
          <w:szCs w:val="32"/>
        </w:rPr>
        <w:t>on Ti–6Al–4V alloy by combined ultrasonic impact treatment</w:t>
      </w:r>
      <w:r>
        <w:rPr>
          <w:rFonts w:hint="eastAsia"/>
          <w:b/>
          <w:bCs/>
          <w:sz w:val="32"/>
          <w:szCs w:val="32"/>
        </w:rPr>
        <w:t xml:space="preserve"> </w:t>
      </w:r>
      <w:r>
        <w:rPr>
          <w:b/>
          <w:bCs/>
          <w:sz w:val="32"/>
          <w:szCs w:val="32"/>
        </w:rPr>
        <w:t>and electrospark deposition</w:t>
      </w:r>
    </w:p>
    <w:p>
      <w:pPr>
        <w:ind w:firstLine="520"/>
        <w:rPr>
          <w:rFonts w:ascii="Arial" w:hAnsi="Arial" w:cs="Arial"/>
          <w:spacing w:val="15"/>
          <w:sz w:val="23"/>
          <w:szCs w:val="23"/>
        </w:rPr>
      </w:pPr>
    </w:p>
    <w:p>
      <w:pPr>
        <w:ind w:firstLine="0" w:firstLineChars="0"/>
        <w:rPr>
          <w:rFonts w:ascii="Arial" w:hAnsi="Arial" w:cs="Arial"/>
          <w:spacing w:val="15"/>
          <w:sz w:val="23"/>
          <w:szCs w:val="23"/>
        </w:rPr>
      </w:pPr>
      <w:r>
        <w:rPr>
          <w:b/>
          <w:bCs/>
          <w:szCs w:val="24"/>
        </w:rPr>
        <w:t>作者</w:t>
      </w:r>
      <w:r>
        <w:rPr>
          <w:rFonts w:hint="eastAsia"/>
          <w:b/>
          <w:bCs/>
          <w:szCs w:val="24"/>
        </w:rPr>
        <w:t xml:space="preserve"> ：</w:t>
      </w:r>
      <w:r>
        <w:rPr>
          <w:rFonts w:ascii="Arial" w:hAnsi="Arial" w:cs="Arial"/>
          <w:spacing w:val="15"/>
          <w:sz w:val="23"/>
          <w:szCs w:val="23"/>
        </w:rPr>
        <w:t xml:space="preserve">Yang Liu, Dongpo Wang, Caiyan Deng </w:t>
      </w:r>
    </w:p>
    <w:p>
      <w:pPr>
        <w:ind w:firstLine="0" w:firstLineChars="0"/>
      </w:pPr>
      <w:r>
        <w:rPr>
          <w:rFonts w:ascii="Arial" w:hAnsi="Arial" w:cs="Arial"/>
          <w:spacing w:val="15"/>
          <w:sz w:val="23"/>
          <w:szCs w:val="23"/>
        </w:rPr>
        <w:t>, Lixing Huo, Lijun Wang, Rui Fang</w:t>
      </w:r>
    </w:p>
    <w:p>
      <w:pPr>
        <w:ind w:firstLine="0" w:firstLineChars="0"/>
      </w:pPr>
      <w:r>
        <w:rPr>
          <w:rFonts w:hint="eastAsia" w:cs="Times New Roman"/>
          <w:b/>
          <w:szCs w:val="24"/>
        </w:rPr>
        <w:t>起止页码：</w:t>
      </w:r>
      <w:r>
        <w:rPr>
          <w:rFonts w:hint="eastAsia" w:cs="Times New Roman"/>
          <w:bCs/>
          <w:szCs w:val="24"/>
        </w:rPr>
        <w:t>208-212</w:t>
      </w:r>
    </w:p>
    <w:p>
      <w:pPr>
        <w:ind w:firstLine="0" w:firstLineChars="0"/>
      </w:pPr>
      <w:r>
        <w:rPr>
          <w:rFonts w:hint="eastAsia" w:ascii="仿宋_GB2312" w:cs="宋体"/>
          <w:b/>
          <w:color w:val="000000"/>
          <w:kern w:val="0"/>
        </w:rPr>
        <w:t>出版日期（期刊号）：628（2015）</w:t>
      </w:r>
    </w:p>
    <w:p>
      <w:pPr>
        <w:ind w:firstLine="0" w:firstLineChars="0"/>
        <w:rPr>
          <w:rFonts w:ascii="Arial" w:hAnsi="Arial" w:cs="Arial"/>
          <w:bCs/>
          <w:spacing w:val="15"/>
          <w:sz w:val="23"/>
          <w:szCs w:val="23"/>
          <w:lang w:bidi="ar"/>
        </w:rPr>
        <w:sectPr>
          <w:footnotePr>
            <w:numFmt w:val="decimalEnclosedCircleChinese"/>
            <w:numRestart w:val="eachSect"/>
          </w:footnotePr>
          <w:pgSz w:w="11906" w:h="16838"/>
          <w:pgMar w:top="1440" w:right="1800" w:bottom="1440" w:left="1800" w:header="851" w:footer="992" w:gutter="0"/>
          <w:cols w:space="425" w:num="1"/>
          <w:docGrid w:type="lines" w:linePitch="312" w:charSpace="7430"/>
        </w:sectPr>
      </w:pPr>
      <w:r>
        <w:rPr>
          <w:rFonts w:hint="eastAsia" w:ascii="仿宋_GB2312" w:cs="宋体"/>
          <w:b/>
          <w:color w:val="000000"/>
          <w:kern w:val="0"/>
        </w:rPr>
        <w:t xml:space="preserve">出版单位： </w:t>
      </w:r>
      <w:r>
        <w:rPr>
          <w:rFonts w:cs="Times New Roman"/>
          <w:bCs/>
          <w:color w:val="000000"/>
          <w:kern w:val="0"/>
        </w:rPr>
        <w:t>Journal of Alloys and Compound</w:t>
      </w:r>
    </w:p>
    <w:p>
      <w:pPr>
        <w:ind w:firstLine="0" w:firstLineChars="0"/>
        <w:rPr>
          <w:rFonts w:ascii="Arial" w:hAnsi="Arial" w:eastAsia="等线" w:cs="Arial"/>
          <w:spacing w:val="15"/>
          <w:sz w:val="23"/>
          <w:szCs w:val="23"/>
          <w:lang w:bidi="ar"/>
        </w:rPr>
      </w:pPr>
    </w:p>
    <w:p>
      <w:pPr>
        <w:pStyle w:val="2"/>
        <w:spacing w:before="312" w:after="624"/>
      </w:pPr>
      <w:bookmarkStart w:id="0" w:name="_Toc28944"/>
      <w:r>
        <w:rPr>
          <w:rFonts w:hint="eastAsia"/>
        </w:rPr>
        <w:t>摘要</w:t>
      </w:r>
      <w:bookmarkEnd w:id="0"/>
    </w:p>
    <w:p>
      <w:pPr>
        <w:ind w:firstLine="480"/>
        <w:rPr>
          <w:rFonts w:ascii="Arial" w:hAnsi="Arial" w:cs="Arial"/>
          <w:spacing w:val="15"/>
          <w:sz w:val="23"/>
          <w:szCs w:val="23"/>
          <w:lang w:bidi="ar"/>
        </w:rPr>
      </w:pPr>
      <w:r>
        <w:t>采用超声冲击处理和电火花沉积相结合的方法，在Ti–6Al–4V合金表面制备了Ti–Al金属间化合物涂层。通过对涂层的化学状态、显微组织、相组成、显微硬度和表面残余应力的研究，详细阐述了复合工艺的原理。发现许多不同于沉积材料的新Ti–Al金属间化合物与少量Al</w:t>
      </w:r>
      <w:r>
        <w:rPr>
          <w:vertAlign w:val="subscript"/>
        </w:rPr>
        <w:t>2</w:t>
      </w:r>
      <w:r>
        <w:t>O</w:t>
      </w:r>
      <w:r>
        <w:rPr>
          <w:vertAlign w:val="subscript"/>
        </w:rPr>
        <w:t>3</w:t>
      </w:r>
      <w:r>
        <w:t xml:space="preserve">一起构成涂层。电火花的高能量促进了元素之间的化学反应。此外，冲击过程产生塑性变形层。涂层下Ti–6Al–4V的显微硬度也因塑性变形层而增加。最后，经复合工艺处理的试样表面残余应力为压应力。 </w:t>
      </w:r>
    </w:p>
    <w:p>
      <w:pPr>
        <w:pStyle w:val="20"/>
        <w:spacing w:before="0" w:beforeAutospacing="0" w:after="0" w:afterAutospacing="0" w:line="368" w:lineRule="atLeast"/>
        <w:ind w:firstLine="0" w:firstLineChars="0"/>
        <w:jc w:val="both"/>
      </w:pPr>
      <w:r>
        <w:rPr>
          <w:rFonts w:hint="eastAsia"/>
          <w:b/>
          <w:bCs/>
        </w:rPr>
        <w:t>关键词</w:t>
      </w:r>
      <w:r>
        <w:rPr>
          <w:rFonts w:hint="eastAsia" w:ascii="Arial" w:hAnsi="Arial" w:cs="Arial"/>
          <w:spacing w:val="15"/>
          <w:sz w:val="23"/>
          <w:szCs w:val="23"/>
          <w:lang w:bidi="ar"/>
        </w:rPr>
        <w:t>：</w:t>
      </w:r>
      <w:r>
        <w:t>涂层</w:t>
      </w:r>
      <w:r>
        <w:rPr>
          <w:rFonts w:hint="eastAsia"/>
        </w:rPr>
        <w:t>；</w:t>
      </w:r>
      <w:r>
        <w:t>超声波冲击处理</w:t>
      </w:r>
      <w:r>
        <w:rPr>
          <w:rFonts w:hint="eastAsia"/>
        </w:rPr>
        <w:t>；</w:t>
      </w:r>
      <w:r>
        <w:t>金属间化合物</w:t>
      </w:r>
      <w:r>
        <w:rPr>
          <w:rFonts w:hint="eastAsia"/>
        </w:rPr>
        <w:t>；</w:t>
      </w:r>
      <w:r>
        <w:t>X射线光电子能谱</w:t>
      </w:r>
      <w:r>
        <w:rPr>
          <w:rFonts w:hint="eastAsia"/>
        </w:rPr>
        <w:t>；</w:t>
      </w:r>
      <w:r>
        <w:t xml:space="preserve">残余应力 </w:t>
      </w:r>
    </w:p>
    <w:p>
      <w:pPr>
        <w:pStyle w:val="20"/>
        <w:spacing w:before="0" w:beforeAutospacing="0" w:after="0" w:afterAutospacing="0" w:line="368" w:lineRule="atLeast"/>
        <w:ind w:firstLine="520"/>
        <w:jc w:val="both"/>
        <w:rPr>
          <w:rFonts w:ascii="Arial" w:hAnsi="Arial" w:cs="Arial"/>
          <w:spacing w:val="15"/>
          <w:sz w:val="23"/>
          <w:szCs w:val="23"/>
          <w:lang w:bidi="ar"/>
        </w:rPr>
        <w:sectPr>
          <w:headerReference r:id="rId9" w:type="default"/>
          <w:footerReference r:id="rId11" w:type="default"/>
          <w:headerReference r:id="rId10" w:type="even"/>
          <w:footerReference r:id="rId12" w:type="even"/>
          <w:footnotePr>
            <w:numFmt w:val="decimalEnclosedCircleChinese"/>
            <w:numRestart w:val="eachSect"/>
          </w:footnotePr>
          <w:pgSz w:w="11906" w:h="16838"/>
          <w:pgMar w:top="1440" w:right="1800" w:bottom="1440" w:left="1800" w:header="851" w:footer="992" w:gutter="0"/>
          <w:pgNumType w:start="1"/>
          <w:cols w:space="425" w:num="1"/>
          <w:docGrid w:type="lines" w:linePitch="312" w:charSpace="7430"/>
        </w:sectPr>
      </w:pPr>
    </w:p>
    <w:sdt>
      <w:sdtPr>
        <w:rPr>
          <w:rFonts w:ascii="宋体" w:hAnsi="宋体"/>
          <w:sz w:val="21"/>
        </w:rPr>
        <w:id w:val="147481042"/>
        <w15:color w:val="DBDBDB"/>
        <w:docPartObj>
          <w:docPartGallery w:val="Table of Contents"/>
          <w:docPartUnique/>
        </w:docPartObj>
      </w:sdtPr>
      <w:sdtEndPr>
        <w:rPr>
          <w:rFonts w:hint="eastAsia" w:ascii="Arial" w:hAnsi="Arial" w:cs="Arial"/>
          <w:spacing w:val="15"/>
          <w:kern w:val="0"/>
          <w:sz w:val="24"/>
          <w:szCs w:val="23"/>
          <w:lang w:bidi="ar"/>
        </w:rPr>
      </w:sdtEndPr>
      <w:sdtContent>
        <w:p>
          <w:pPr>
            <w:spacing w:line="240" w:lineRule="auto"/>
            <w:ind w:firstLine="0" w:firstLineChars="0"/>
            <w:jc w:val="center"/>
          </w:pPr>
          <w:r>
            <w:rPr>
              <w:rFonts w:ascii="宋体" w:hAnsi="宋体"/>
              <w:sz w:val="21"/>
            </w:rPr>
            <w:t>目录</w:t>
          </w:r>
        </w:p>
        <w:p>
          <w:pPr>
            <w:pStyle w:val="17"/>
            <w:tabs>
              <w:tab w:val="right" w:leader="dot" w:pos="8306"/>
            </w:tabs>
            <w:ind w:firstLine="460"/>
          </w:pPr>
          <w:r>
            <w:rPr>
              <w:rFonts w:hint="eastAsia" w:ascii="Arial" w:hAnsi="Arial" w:cs="Arial"/>
              <w:spacing w:val="15"/>
              <w:sz w:val="23"/>
              <w:szCs w:val="23"/>
              <w:lang w:bidi="ar"/>
            </w:rPr>
            <w:fldChar w:fldCharType="begin"/>
          </w:r>
          <w:r>
            <w:rPr>
              <w:rFonts w:hint="eastAsia" w:ascii="Arial" w:hAnsi="Arial" w:cs="Arial"/>
              <w:spacing w:val="15"/>
              <w:sz w:val="23"/>
              <w:szCs w:val="23"/>
              <w:lang w:bidi="ar"/>
            </w:rPr>
            <w:instrText xml:space="preserve">TOC \o "1-1" \h \u </w:instrText>
          </w:r>
          <w:r>
            <w:rPr>
              <w:rFonts w:hint="eastAsia" w:ascii="Arial" w:hAnsi="Arial" w:cs="Arial"/>
              <w:spacing w:val="15"/>
              <w:sz w:val="23"/>
              <w:szCs w:val="23"/>
              <w:lang w:bidi="ar"/>
            </w:rPr>
            <w:fldChar w:fldCharType="separate"/>
          </w:r>
          <w:r>
            <w:fldChar w:fldCharType="begin"/>
          </w:r>
          <w:r>
            <w:instrText xml:space="preserve"> HYPERLINK \l "_Toc28944" </w:instrText>
          </w:r>
          <w:r>
            <w:fldChar w:fldCharType="separate"/>
          </w:r>
          <w:r>
            <w:rPr>
              <w:rFonts w:hint="eastAsia"/>
            </w:rPr>
            <w:t>摘要</w:t>
          </w:r>
          <w:r>
            <w:tab/>
          </w:r>
          <w:r>
            <w:fldChar w:fldCharType="begin"/>
          </w:r>
          <w:r>
            <w:instrText xml:space="preserve"> PAGEREF _Toc28944 \h </w:instrText>
          </w:r>
          <w:r>
            <w:fldChar w:fldCharType="separate"/>
          </w:r>
          <w:r>
            <w:t>1</w:t>
          </w:r>
          <w:r>
            <w:fldChar w:fldCharType="end"/>
          </w:r>
          <w:r>
            <w:fldChar w:fldCharType="end"/>
          </w:r>
        </w:p>
        <w:p>
          <w:pPr>
            <w:pStyle w:val="17"/>
            <w:tabs>
              <w:tab w:val="right" w:leader="dot" w:pos="8306"/>
            </w:tabs>
            <w:ind w:firstLine="480"/>
          </w:pPr>
          <w:r>
            <w:fldChar w:fldCharType="begin"/>
          </w:r>
          <w:r>
            <w:instrText xml:space="preserve"> HYPERLINK \l "_Toc3748" </w:instrText>
          </w:r>
          <w:r>
            <w:fldChar w:fldCharType="separate"/>
          </w:r>
          <w:r>
            <w:t xml:space="preserve">1. </w:t>
          </w:r>
          <w:r>
            <w:rPr>
              <w:rFonts w:hint="eastAsia"/>
            </w:rPr>
            <w:t>导论</w:t>
          </w:r>
          <w:r>
            <w:tab/>
          </w:r>
          <w:r>
            <w:fldChar w:fldCharType="begin"/>
          </w:r>
          <w:r>
            <w:instrText xml:space="preserve"> PAGEREF _Toc3748 \h </w:instrText>
          </w:r>
          <w:r>
            <w:fldChar w:fldCharType="separate"/>
          </w:r>
          <w:r>
            <w:t>1</w:t>
          </w:r>
          <w:r>
            <w:fldChar w:fldCharType="end"/>
          </w:r>
          <w:r>
            <w:fldChar w:fldCharType="end"/>
          </w:r>
        </w:p>
        <w:p>
          <w:pPr>
            <w:pStyle w:val="17"/>
            <w:tabs>
              <w:tab w:val="right" w:leader="dot" w:pos="8306"/>
            </w:tabs>
            <w:ind w:firstLine="480"/>
          </w:pPr>
          <w:r>
            <w:fldChar w:fldCharType="begin"/>
          </w:r>
          <w:r>
            <w:instrText xml:space="preserve"> HYPERLINK \l "_Toc10845" </w:instrText>
          </w:r>
          <w:r>
            <w:fldChar w:fldCharType="separate"/>
          </w:r>
          <w:r>
            <w:t>2. 实验性</w:t>
          </w:r>
          <w:r>
            <w:tab/>
          </w:r>
          <w:r>
            <w:fldChar w:fldCharType="begin"/>
          </w:r>
          <w:r>
            <w:instrText xml:space="preserve"> PAGEREF _Toc10845 \h </w:instrText>
          </w:r>
          <w:r>
            <w:fldChar w:fldCharType="separate"/>
          </w:r>
          <w:r>
            <w:t>2</w:t>
          </w:r>
          <w:r>
            <w:fldChar w:fldCharType="end"/>
          </w:r>
          <w:r>
            <w:fldChar w:fldCharType="end"/>
          </w:r>
        </w:p>
        <w:p>
          <w:pPr>
            <w:pStyle w:val="17"/>
            <w:tabs>
              <w:tab w:val="right" w:leader="dot" w:pos="8306"/>
            </w:tabs>
            <w:ind w:firstLine="480"/>
          </w:pPr>
          <w:r>
            <w:fldChar w:fldCharType="begin"/>
          </w:r>
          <w:r>
            <w:instrText xml:space="preserve"> HYPERLINK \l "_Toc28933" </w:instrText>
          </w:r>
          <w:r>
            <w:fldChar w:fldCharType="separate"/>
          </w:r>
          <w:r>
            <w:t>3. 结果与讨论</w:t>
          </w:r>
          <w:r>
            <w:tab/>
          </w:r>
          <w:r>
            <w:fldChar w:fldCharType="begin"/>
          </w:r>
          <w:r>
            <w:instrText xml:space="preserve"> PAGEREF _Toc28933 \h </w:instrText>
          </w:r>
          <w:r>
            <w:fldChar w:fldCharType="separate"/>
          </w:r>
          <w:r>
            <w:t>4</w:t>
          </w:r>
          <w:r>
            <w:fldChar w:fldCharType="end"/>
          </w:r>
          <w:r>
            <w:fldChar w:fldCharType="end"/>
          </w:r>
        </w:p>
        <w:p>
          <w:pPr>
            <w:pStyle w:val="17"/>
            <w:tabs>
              <w:tab w:val="right" w:leader="dot" w:pos="8306"/>
            </w:tabs>
            <w:ind w:firstLine="480"/>
          </w:pPr>
          <w:r>
            <w:fldChar w:fldCharType="begin"/>
          </w:r>
          <w:r>
            <w:instrText xml:space="preserve"> HYPERLINK \l "_Toc10754" </w:instrText>
          </w:r>
          <w:r>
            <w:fldChar w:fldCharType="separate"/>
          </w:r>
          <w:r>
            <w:t>4. 结论</w:t>
          </w:r>
          <w:r>
            <w:tab/>
          </w:r>
          <w:r>
            <w:fldChar w:fldCharType="begin"/>
          </w:r>
          <w:r>
            <w:instrText xml:space="preserve"> PAGEREF _Toc10754 \h </w:instrText>
          </w:r>
          <w:r>
            <w:fldChar w:fldCharType="separate"/>
          </w:r>
          <w:r>
            <w:t>8</w:t>
          </w:r>
          <w:r>
            <w:fldChar w:fldCharType="end"/>
          </w:r>
          <w:r>
            <w:fldChar w:fldCharType="end"/>
          </w:r>
        </w:p>
        <w:p>
          <w:pPr>
            <w:pStyle w:val="17"/>
            <w:tabs>
              <w:tab w:val="right" w:leader="dot" w:pos="8306"/>
            </w:tabs>
            <w:ind w:firstLine="480"/>
          </w:pPr>
          <w:r>
            <w:fldChar w:fldCharType="begin"/>
          </w:r>
          <w:r>
            <w:instrText xml:space="preserve"> HYPERLINK \l "_Toc2271" </w:instrText>
          </w:r>
          <w:r>
            <w:fldChar w:fldCharType="separate"/>
          </w:r>
          <w:r>
            <w:rPr>
              <w:rFonts w:hint="eastAsia"/>
            </w:rPr>
            <w:t>参考文献</w:t>
          </w:r>
          <w:r>
            <w:tab/>
          </w:r>
          <w:r>
            <w:fldChar w:fldCharType="begin"/>
          </w:r>
          <w:r>
            <w:instrText xml:space="preserve"> PAGEREF _Toc2271 \h </w:instrText>
          </w:r>
          <w:r>
            <w:fldChar w:fldCharType="separate"/>
          </w:r>
          <w:r>
            <w:t>9</w:t>
          </w:r>
          <w:r>
            <w:fldChar w:fldCharType="end"/>
          </w:r>
          <w:r>
            <w:fldChar w:fldCharType="end"/>
          </w:r>
        </w:p>
        <w:p>
          <w:pPr>
            <w:pStyle w:val="20"/>
            <w:spacing w:before="0" w:beforeAutospacing="0" w:after="0" w:afterAutospacing="0" w:line="368" w:lineRule="atLeast"/>
            <w:ind w:firstLine="480"/>
            <w:jc w:val="both"/>
            <w:rPr>
              <w:rFonts w:ascii="Arial" w:hAnsi="Arial" w:cs="Arial"/>
              <w:spacing w:val="15"/>
              <w:sz w:val="23"/>
              <w:szCs w:val="23"/>
              <w:lang w:bidi="ar"/>
            </w:rPr>
            <w:sectPr>
              <w:headerReference r:id="rId13" w:type="default"/>
              <w:footnotePr>
                <w:numFmt w:val="decimalEnclosedCircleChinese"/>
                <w:numRestart w:val="eachSect"/>
              </w:footnotePr>
              <w:pgSz w:w="11906" w:h="16838"/>
              <w:pgMar w:top="1440" w:right="1800" w:bottom="1440" w:left="1800" w:header="851" w:footer="992" w:gutter="0"/>
              <w:pgNumType w:start="1"/>
              <w:cols w:space="425" w:num="1"/>
              <w:docGrid w:type="lines" w:linePitch="312" w:charSpace="7430"/>
            </w:sectPr>
          </w:pPr>
          <w:r>
            <w:rPr>
              <w:rFonts w:hint="eastAsia" w:ascii="Arial" w:hAnsi="Arial" w:cs="Arial"/>
              <w:spacing w:val="15"/>
              <w:szCs w:val="23"/>
              <w:lang w:bidi="ar"/>
            </w:rPr>
            <w:fldChar w:fldCharType="end"/>
          </w:r>
        </w:p>
      </w:sdtContent>
    </w:sdt>
    <w:p>
      <w:pPr>
        <w:pStyle w:val="2"/>
        <w:numPr>
          <w:ilvl w:val="0"/>
          <w:numId w:val="1"/>
        </w:numPr>
        <w:spacing w:before="240" w:after="480"/>
      </w:pPr>
      <w:bookmarkStart w:id="1" w:name="_Toc3748"/>
      <w:r>
        <w:rPr>
          <w:rFonts w:hint="eastAsia"/>
        </w:rPr>
        <w:t>导论</w:t>
      </w:r>
      <w:bookmarkEnd w:id="1"/>
    </w:p>
    <w:p>
      <w:pPr>
        <w:ind w:firstLine="480"/>
      </w:pPr>
      <w:r>
        <w:t>钛及其合金因其优异的机械性能（高强度和耐疲劳性）和化学稳定性（耐腐蚀性）而广泛应用于航空和航天技术。然而，钛合金的摩擦性能较差，这降低了其可能的使用范围[1]。为了提高材料的耐磨性，已经开发了许多表面改性方法，如粉末烧结[2]、电火花沉积[3]、物理气相沉积[4]、等离子体浸没离子注入[5]、微弧放电氧化[6]和激光扩散氮化</w:t>
      </w:r>
    </w:p>
    <w:p>
      <w:pPr>
        <w:ind w:firstLine="480"/>
      </w:pPr>
      <w:r>
        <w:t>超声波冲击处理（UIT）[8]最初是作为一种方法开发的，用于缓解焊接残余应力，降低焊趾的应力集中系数，并形成压缩残余应力，以改善焊接结构的疲劳性能[9–15]。然而，近年来，UIT及其变体也被用于材料的表面改性[16–18]。然而，由于UIT是一种表面机械处理，几乎不能改变合金的元素组成，因此UIT表面改性的应用范围受到很大限制。与UIT相比，电火花沉积可以很容易地将电极材料或其他元素转移到靶材上。然而，在传统的电火花沉积过程中会产生熔池，熔池凝固导致涂层中的拉伸残余应力会对合金的磨损、疲劳和应力腐蚀性能产生巨大的潜在负面影响[19]。</w:t>
      </w:r>
    </w:p>
    <w:p>
      <w:pPr>
        <w:ind w:firstLine="480"/>
      </w:pPr>
      <w:r>
        <w:t>可用的实验数据表明，Ti–Al系统的铝化物相可以用作工业钛合金的保护层[20]。特别是，金属间化合物Ti</w:t>
      </w:r>
      <w:r>
        <w:rPr>
          <w:vertAlign w:val="subscript"/>
        </w:rPr>
        <w:t>3</w:t>
      </w:r>
      <w:r>
        <w:t>Al、TiAl和TiAl</w:t>
      </w:r>
      <w:r>
        <w:rPr>
          <w:vertAlign w:val="subscript"/>
        </w:rPr>
        <w:t>3</w:t>
      </w:r>
      <w:r>
        <w:t>具有许多独特的性能，可以提高钛合金的表面硬度和耐磨性[21]。</w:t>
      </w:r>
    </w:p>
    <w:p>
      <w:pPr>
        <w:ind w:firstLine="480"/>
        <w:sectPr>
          <w:headerReference r:id="rId14" w:type="default"/>
          <w:footerReference r:id="rId15" w:type="default"/>
          <w:footerReference r:id="rId16"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t>本工作探索了通过组合UIT和电火花沉积（超声波冲击电火花处理，UIET）在Ti–6Al–4V合金上制备Ti–Al金属间化合物涂层的可行性。此外，还描述了UIET的原理。</w:t>
      </w:r>
    </w:p>
    <w:p>
      <w:pPr>
        <w:ind w:firstLine="480"/>
      </w:pPr>
    </w:p>
    <w:p>
      <w:pPr>
        <w:pStyle w:val="2"/>
        <w:numPr>
          <w:ilvl w:val="0"/>
          <w:numId w:val="1"/>
        </w:numPr>
        <w:spacing w:before="240" w:after="480"/>
      </w:pPr>
      <w:bookmarkStart w:id="2" w:name="_Toc10845"/>
      <w:r>
        <w:t>实验性</w:t>
      </w:r>
      <w:bookmarkEnd w:id="2"/>
    </w:p>
    <w:p>
      <w:pPr>
        <w:ind w:firstLine="480"/>
      </w:pPr>
      <w:r>
        <w:t>使用定制的UIET机器制造涂层。图1a中提供了显示UIET过程的典型照片，图1b中给出了用于评估UIET原理的实验装置的示意图。在此设置中，超声换能器将来自超声发生器的电能转换为频率为20 kHz的超声振动。在静压下，冲击球在超声换能器和目标表面之间快速振动。为了将电火花工艺与UIT相结合，冲击球和靶分别连接到直流电源的阳极和阴极。直流电源、冲击球、靶和导线组成了电火花电路。利用双通道示波器采集电火花电路的冲击信号和电流信号。</w:t>
      </w:r>
    </w:p>
    <w:p>
      <w:pPr>
        <w:ind w:firstLine="480"/>
      </w:pPr>
    </w:p>
    <w:p>
      <w:pPr>
        <w:ind w:firstLine="0" w:firstLineChars="0"/>
        <w:jc w:val="center"/>
      </w:pPr>
      <w:r>
        <w:drawing>
          <wp:inline distT="0" distB="0" distL="114300" distR="114300">
            <wp:extent cx="5392420" cy="2326005"/>
            <wp:effectExtent l="0" t="0" r="254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0"/>
                    <a:srcRect l="1777" t="5179" r="1503" b="1828"/>
                    <a:stretch>
                      <a:fillRect/>
                    </a:stretch>
                  </pic:blipFill>
                  <pic:spPr>
                    <a:xfrm>
                      <a:off x="0" y="0"/>
                      <a:ext cx="5392420" cy="2326005"/>
                    </a:xfrm>
                    <a:prstGeom prst="rect">
                      <a:avLst/>
                    </a:prstGeom>
                    <a:noFill/>
                    <a:ln>
                      <a:noFill/>
                    </a:ln>
                  </pic:spPr>
                </pic:pic>
              </a:graphicData>
            </a:graphic>
          </wp:inline>
        </w:drawing>
      </w:r>
    </w:p>
    <w:p>
      <w:pPr>
        <w:pStyle w:val="9"/>
        <w:ind w:firstLine="400"/>
        <w:jc w:val="center"/>
      </w:pPr>
      <w:r>
        <w:t xml:space="preserve">图 </w:t>
      </w:r>
      <w:r>
        <w:rPr>
          <w:rFonts w:hint="eastAsia"/>
        </w:rPr>
        <w:t xml:space="preserve">1  </w:t>
      </w:r>
      <w:r>
        <w:t>（a） UIET过程的典型照片和（b）用于评估UIET原理的实验装置示意图。</w:t>
      </w:r>
    </w:p>
    <w:p>
      <w:pPr>
        <w:pStyle w:val="9"/>
        <w:ind w:firstLine="0" w:firstLineChars="0"/>
        <w:jc w:val="center"/>
      </w:pPr>
    </w:p>
    <w:p>
      <w:pPr>
        <w:ind w:firstLine="480"/>
      </w:pPr>
      <w:r>
        <w:t>UIET的原理如图2所示。图2a的上半部分显示了从压电测力元件收集的电压信号，表示对目标的冲击。图2a的下半部分显示了电火花电路</w:t>
      </w:r>
    </w:p>
    <w:p>
      <w:pPr>
        <w:ind w:firstLine="480"/>
      </w:pPr>
      <w:r>
        <w:t>当冲击球撞击目标时，压电测力元件输出脉冲信号。同时，电火花电路的电流值约为短路电流（见图2a中的A和图2b中的冲击过程）。两个相邻脉冲之间的中点对应于冲击球反弹的时刻。此时，电火花电路的电流值降低至约6A，这表明在冲击球和目标之间产生电火花（参见图2a中的B和图2b中的电火花过程）。电流减少是因为电火花增加了电路的总电阻。每次碰撞对应一次短路，每次反弹对应一次电火花。冲击和电火花过程持续循环，构成UIET过程。从图2a可以看出，UIET的频率为6khz，即，每个UIET周期的时间约为167us。</w:t>
      </w:r>
    </w:p>
    <w:p>
      <w:pPr>
        <w:ind w:firstLine="480"/>
      </w:pPr>
      <w:r>
        <w:t>与UIT一样，在冲击过程中，目标表面会发生各种变化，如塑性变形和压缩残余应力的引入[10]。所使用的超声换能器为压电陶瓷换能器，激励信号为正弦波信号，即连续激励信号。使用Statnikov等人报告的计算方法获得的用于估算超声换能器能量利用率[8]的计算结果如下：超声换能器振动频率为20 kHz，冲击频率为6 kHz，UIET的冲击效率为30%。</w:t>
      </w:r>
    </w:p>
    <w:p>
      <w:pPr>
        <w:ind w:firstLine="480"/>
        <w:sectPr>
          <w:headerReference r:id="rId17" w:type="even"/>
          <w:footnotePr>
            <w:numFmt w:val="decimalEnclosedCircleChinese"/>
            <w:numRestart w:val="eachSect"/>
          </w:footnotePr>
          <w:pgSz w:w="11907" w:h="16840"/>
          <w:pgMar w:top="1418" w:right="1418" w:bottom="1418" w:left="1701" w:header="850" w:footer="850" w:gutter="0"/>
          <w:cols w:space="425" w:num="1"/>
          <w:docGrid w:linePitch="384" w:charSpace="7430"/>
        </w:sectPr>
      </w:pPr>
    </w:p>
    <w:p>
      <w:pPr>
        <w:ind w:firstLine="480"/>
      </w:pPr>
      <w:r>
        <w:t>在电火花加工过程中，电弧热熔化电火花电极，即冲击球和目标表面的部分。在靶材表面形成微尺度熔池。由于重力的作用，冲击球的熔融部分落入微尺度熔池中。此外，电火花区域中的冷却液和空气被电离。因此，微尺度熔池中有来自基板、电极、冷却液和空气的许多元素，它们共同提供了适当的化学品混合和反应（参见图2b中熔池周围区域的局部放大）。在随后的碰撞过程中，电火花熄灭。周围的冷却液导致微尺度熔池快速（微秒）凝固，即形成涂层。</w:t>
      </w:r>
    </w:p>
    <w:p>
      <w:pPr>
        <w:ind w:firstLine="480"/>
      </w:pPr>
      <w:r>
        <w:t>将厚度为3 mm的Ti–6Al–4V基板切割成尺寸为300 mm</w:t>
      </w:r>
      <w:r>
        <w:rPr>
          <w:rFonts w:hint="eastAsia" w:ascii="微软雅黑" w:hAnsi="微软雅黑" w:eastAsia="微软雅黑" w:cs="微软雅黑"/>
        </w:rPr>
        <w:t>×</w:t>
      </w:r>
      <w:r>
        <w:t>300 mm</w:t>
      </w:r>
      <w:r>
        <w:rPr>
          <w:rFonts w:hint="eastAsia"/>
        </w:rPr>
        <w:t>的矩形</w:t>
      </w:r>
      <w:r>
        <w:t xml:space="preserve">，并使用SiC砂纸研磨至600粒度，以便进行UIET。冲击球由TiAl合金制成，直径为15 mm。其化学成分（at%）为45.29%Al、46.85%Ti和7.86%V。超声换能器的振幅为25 </w:t>
      </w:r>
      <w:r>
        <w:rPr>
          <w:rFonts w:cs="Times New Roman"/>
        </w:rPr>
        <w:t>u</w:t>
      </w:r>
      <w:r>
        <w:t>m。静压为100N。电火花电路的短路电流为22A。冷却液为电火花加工的切削液。X射线光电子能谱（XPS）测量采用Kratos轴超DLD。用扫描电镜（SEM）和能谱仪（EDX）研究了样品的横截面微观结构和元素组成。用XRD研究了样品的相组成和表面残余应力。使用数字式显微硬度计（MHV-2000）在0.49 N的外加载荷下，在15 s的载荷时间内测量显微硬度。通过连续电解材料去除来确定亚表面显微硬度的深度分布。</w:t>
      </w:r>
    </w:p>
    <w:p>
      <w:pPr>
        <w:ind w:firstLine="0" w:firstLineChars="0"/>
      </w:pPr>
      <w:r>
        <w:rPr>
          <w:sz w:val="24"/>
        </w:rPr>
        <mc:AlternateContent>
          <mc:Choice Requires="wps">
            <w:drawing>
              <wp:anchor distT="0" distB="0" distL="114300" distR="114300" simplePos="0" relativeHeight="251660288" behindDoc="0" locked="0" layoutInCell="1" allowOverlap="1">
                <wp:simplePos x="0" y="0"/>
                <wp:positionH relativeFrom="column">
                  <wp:posOffset>2012315</wp:posOffset>
                </wp:positionH>
                <wp:positionV relativeFrom="paragraph">
                  <wp:posOffset>356870</wp:posOffset>
                </wp:positionV>
                <wp:extent cx="1728470" cy="381000"/>
                <wp:effectExtent l="13970" t="23495" r="10160" b="22225"/>
                <wp:wrapNone/>
                <wp:docPr id="22" name="直接箭头连接符 22"/>
                <wp:cNvGraphicFramePr/>
                <a:graphic xmlns:a="http://schemas.openxmlformats.org/drawingml/2006/main">
                  <a:graphicData uri="http://schemas.microsoft.com/office/word/2010/wordprocessingShape">
                    <wps:wsp>
                      <wps:cNvCnPr/>
                      <wps:spPr>
                        <a:xfrm flipV="1">
                          <a:off x="0" y="0"/>
                          <a:ext cx="1728470" cy="381000"/>
                        </a:xfrm>
                        <a:prstGeom prst="straightConnector1">
                          <a:avLst/>
                        </a:prstGeom>
                        <a:ln w="28575" cap="rnd" cmpd="sng">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8.45pt;margin-top:28.1pt;height:30pt;width:136.1pt;z-index:251660288;mso-width-relative:page;mso-height-relative:page;" filled="f" stroked="t" coordsize="21600,21600" o:gfxdata="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4uAb9oAAAAKAQAADwAA&#10;AAAAAAABACAAAAAiAAAAZHJzL2Rvd25yZXYueG1sUEsBAhQAFAAAAAgAh07iQCqdCEcUAgAA8gMA&#10;AA4AAAAAAAAAAQAgAAAAKQEAAGRycy9lMm9Eb2MueG1sUEsFBgAAAAAGAAYAWQEAAK8FAAAAAA==&#10;">
                <v:fill on="f" focussize="0,0"/>
                <v:stroke weight="2.25pt" color="#FF0000 [3204]" miterlimit="8" joinstyle="miter" endcap="round" endarrow="block"/>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1893570</wp:posOffset>
                </wp:positionH>
                <wp:positionV relativeFrom="paragraph">
                  <wp:posOffset>233045</wp:posOffset>
                </wp:positionV>
                <wp:extent cx="775335" cy="152400"/>
                <wp:effectExtent l="13970" t="13970" r="3175" b="31750"/>
                <wp:wrapNone/>
                <wp:docPr id="5" name="直接箭头连接符 5"/>
                <wp:cNvGraphicFramePr/>
                <a:graphic xmlns:a="http://schemas.openxmlformats.org/drawingml/2006/main">
                  <a:graphicData uri="http://schemas.microsoft.com/office/word/2010/wordprocessingShape">
                    <wps:wsp>
                      <wps:cNvCnPr/>
                      <wps:spPr>
                        <a:xfrm>
                          <a:off x="2973705" y="4671695"/>
                          <a:ext cx="775335" cy="152400"/>
                        </a:xfrm>
                        <a:prstGeom prst="straightConnector1">
                          <a:avLst/>
                        </a:prstGeom>
                        <a:ln w="28575" cap="rnd" cmpd="sng">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9.1pt;margin-top:18.35pt;height:12pt;width:61.05pt;z-index:251659264;mso-width-relative:page;mso-height-relative:page;" filled="f" stroked="t" coordsize="21600,21600" o:gfxdata="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2No4D2AAAAAkB&#10;AAAPAAAAAAAAAAEAIAAAACIAAABkcnMvZG93bnJldi54bWxQSwECFAAUAAAACACHTuJAMDNX/BsC&#10;AADxAwAADgAAAAAAAAABACAAAAAnAQAAZHJzL2Uyb0RvYy54bWxQSwUGAAAAAAYABgBZAQAAtAUA&#10;AAAA&#10;">
                <v:fill on="f" focussize="0,0"/>
                <v:stroke weight="2.25pt" color="#FF0000 [3204]" miterlimit="8" joinstyle="miter" endcap="round" endarrow="block"/>
                <v:imagedata o:title=""/>
                <o:lock v:ext="edit" aspectratio="f"/>
              </v:shape>
            </w:pict>
          </mc:Fallback>
        </mc:AlternateContent>
      </w:r>
      <w:r>
        <w:rPr>
          <w:rFonts w:hint="eastAsia"/>
        </w:rPr>
        <w:drawing>
          <wp:inline distT="0" distB="0" distL="114300" distR="114300">
            <wp:extent cx="2396490" cy="2249805"/>
            <wp:effectExtent l="0" t="0" r="11430" b="5715"/>
            <wp:docPr id="20" name="图片 20" descr="n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new1"/>
                    <pic:cNvPicPr>
                      <a:picLocks noChangeAspect="1"/>
                    </pic:cNvPicPr>
                  </pic:nvPicPr>
                  <pic:blipFill>
                    <a:blip r:embed="rId51"/>
                    <a:srcRect t="773" b="46557"/>
                    <a:stretch>
                      <a:fillRect/>
                    </a:stretch>
                  </pic:blipFill>
                  <pic:spPr>
                    <a:xfrm>
                      <a:off x="0" y="0"/>
                      <a:ext cx="2396490" cy="2249805"/>
                    </a:xfrm>
                    <a:prstGeom prst="rect">
                      <a:avLst/>
                    </a:prstGeom>
                  </pic:spPr>
                </pic:pic>
              </a:graphicData>
            </a:graphic>
          </wp:inline>
        </w:drawing>
      </w:r>
      <w:r>
        <w:rPr>
          <w:rFonts w:hint="eastAsia"/>
        </w:rPr>
        <w:drawing>
          <wp:inline distT="0" distB="0" distL="114300" distR="114300">
            <wp:extent cx="2715895" cy="2339975"/>
            <wp:effectExtent l="0" t="0" r="12065" b="0"/>
            <wp:docPr id="21" name="图片 21" descr="n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new1"/>
                    <pic:cNvPicPr>
                      <a:picLocks noChangeAspect="1"/>
                    </pic:cNvPicPr>
                  </pic:nvPicPr>
                  <pic:blipFill>
                    <a:blip r:embed="rId51"/>
                    <a:srcRect t="53844" b="-2183"/>
                    <a:stretch>
                      <a:fillRect/>
                    </a:stretch>
                  </pic:blipFill>
                  <pic:spPr>
                    <a:xfrm>
                      <a:off x="0" y="0"/>
                      <a:ext cx="2715895" cy="2339975"/>
                    </a:xfrm>
                    <a:prstGeom prst="rect">
                      <a:avLst/>
                    </a:prstGeom>
                  </pic:spPr>
                </pic:pic>
              </a:graphicData>
            </a:graphic>
          </wp:inline>
        </w:drawing>
      </w:r>
    </w:p>
    <w:p>
      <w:pPr>
        <w:ind w:firstLine="0" w:firstLineChars="0"/>
      </w:pPr>
    </w:p>
    <w:p>
      <w:pPr>
        <w:pStyle w:val="9"/>
        <w:ind w:firstLine="400"/>
        <w:jc w:val="center"/>
      </w:pPr>
      <w:r>
        <w:t xml:space="preserve">图 </w:t>
      </w:r>
      <w:r>
        <w:rPr>
          <w:rFonts w:hint="eastAsia"/>
        </w:rPr>
        <w:t xml:space="preserve">2  </w:t>
      </w:r>
      <w:r>
        <w:t>（a） 示波器读数显示电火花电路的影响和电流，以及（b）UIET的原理。</w:t>
      </w:r>
    </w:p>
    <w:p>
      <w:pPr>
        <w:pStyle w:val="9"/>
        <w:ind w:firstLine="400"/>
        <w:jc w:val="center"/>
      </w:pPr>
    </w:p>
    <w:p>
      <w:pPr>
        <w:pStyle w:val="9"/>
        <w:ind w:firstLine="0" w:firstLineChars="0"/>
        <w:sectPr>
          <w:headerReference r:id="rId18" w:type="default"/>
          <w:footnotePr>
            <w:numFmt w:val="decimalEnclosedCircleChinese"/>
            <w:numRestart w:val="eachSect"/>
          </w:footnotePr>
          <w:type w:val="continuous"/>
          <w:pgSz w:w="11907" w:h="16840"/>
          <w:pgMar w:top="1418" w:right="1418" w:bottom="1418" w:left="1701" w:header="850" w:footer="850" w:gutter="0"/>
          <w:cols w:space="425" w:num="1"/>
          <w:docGrid w:linePitch="384" w:charSpace="7430"/>
        </w:sectPr>
      </w:pPr>
    </w:p>
    <w:p>
      <w:pPr>
        <w:pStyle w:val="20"/>
        <w:spacing w:before="0" w:beforeAutospacing="0" w:after="0" w:afterAutospacing="0" w:line="420" w:lineRule="atLeast"/>
        <w:ind w:firstLine="0" w:firstLineChars="0"/>
        <w:jc w:val="both"/>
        <w:rPr>
          <w:rFonts w:ascii="Arial" w:hAnsi="Arial" w:cs="Arial"/>
          <w:spacing w:val="15"/>
          <w:sz w:val="23"/>
          <w:szCs w:val="23"/>
        </w:rPr>
      </w:pPr>
    </w:p>
    <w:p>
      <w:pPr>
        <w:pStyle w:val="2"/>
        <w:numPr>
          <w:ilvl w:val="0"/>
          <w:numId w:val="1"/>
        </w:numPr>
        <w:spacing w:before="240" w:after="480"/>
      </w:pPr>
      <w:bookmarkStart w:id="3" w:name="_Toc28933"/>
      <w:r>
        <w:t>结果与讨论</w:t>
      </w:r>
      <w:bookmarkEnd w:id="3"/>
    </w:p>
    <w:p>
      <w:pPr>
        <w:ind w:firstLine="480"/>
      </w:pPr>
      <w:r>
        <w:t>UIET后Ti–6Al–4V合金的XPS表面分析显示存在主要成分Ti、Al、O、C和N。图3显示了适合的Ti 2p、A L2P、O 1s、C 1s和N 1s高分辨率XP UIET后合金的光谱。处理样品的Ti 2p</w:t>
      </w:r>
      <w:r>
        <w:rPr>
          <w:vertAlign w:val="subscript"/>
        </w:rPr>
        <w:t>3/2</w:t>
      </w:r>
      <w:r>
        <w:t>络合物峰包络可通过使用两种组分的双峰充分合成（图3a）。Ti 2p</w:t>
      </w:r>
      <w:r>
        <w:rPr>
          <w:vertAlign w:val="subscript"/>
        </w:rPr>
        <w:t>3/2</w:t>
      </w:r>
      <w:r>
        <w:t>光谱中次要成分的Ti 2p</w:t>
      </w:r>
      <w:r>
        <w:rPr>
          <w:vertAlign w:val="subscript"/>
        </w:rPr>
        <w:t>3/2</w:t>
      </w:r>
      <w:r>
        <w:t>结合能（BE）=454.10 eV（约占总峰面积的17.4%）与Ti–Al键的报告数据一致[22]。此外，Ti 2p3/2在458.65 eV处的峰值约为82.6%，可归因于TiO</w:t>
      </w:r>
      <w:r>
        <w:rPr>
          <w:vertAlign w:val="subscript"/>
        </w:rPr>
        <w:t>2</w:t>
      </w:r>
      <w:r>
        <w:t>中的Ti4+。与Ti 2p光谱类似，Al 2p光谱包含一个由BE=74.59 eV的成分主导的强烈峰，该峰与Al–O键有关[23]。根据参考文献[22]中收集的数据，对应于Al–Ti键的Al 2p包络中72.22 eV的次要成分与Ti 2p光谱中Ti–Al成分的存在一致（参见图3a和b），并为合金表面上Ti–Al金属间化合物的形成提供了直接证据。对氧1s峰的反褶积可以识别合金表面上氧的两种不同化学状态（图3c）。BE=531.36 eV时的最大成分（约为峰面积的70%）明显与O</w:t>
      </w:r>
      <w:r>
        <w:rPr>
          <w:vertAlign w:val="superscript"/>
        </w:rPr>
        <w:t>2</w:t>
      </w:r>
      <w:r>
        <w:rPr>
          <w:rFonts w:hint="eastAsia"/>
          <w:vertAlign w:val="superscript"/>
        </w:rPr>
        <w:t>-</w:t>
      </w:r>
      <w:r>
        <w:t>氧化铝中的离子[24]。BE=530.03 eV时的次要成分在TiO</w:t>
      </w:r>
      <w:r>
        <w:rPr>
          <w:vertAlign w:val="subscript"/>
        </w:rPr>
        <w:t>2</w:t>
      </w:r>
      <w:r>
        <w:t xml:space="preserve">的BEs范围内[25,26]。C 1s线很宽，在BE=283 eV时显示一个明显的路肩（图3d）。要安装此带，至少需要三个部件。这些284.60、282.75和286.74 eV的成分分别对应于C–C、C–H和C–O物种 </w:t>
      </w:r>
    </w:p>
    <w:p>
      <w:pPr>
        <w:ind w:firstLine="0" w:firstLineChars="0"/>
        <w:jc w:val="center"/>
      </w:pPr>
      <w:r>
        <w:drawing>
          <wp:inline distT="0" distB="0" distL="114300" distR="114300">
            <wp:extent cx="5553075" cy="3879850"/>
            <wp:effectExtent l="0" t="0" r="952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2"/>
                    <a:srcRect t="2115" r="410"/>
                    <a:stretch>
                      <a:fillRect/>
                    </a:stretch>
                  </pic:blipFill>
                  <pic:spPr>
                    <a:xfrm>
                      <a:off x="0" y="0"/>
                      <a:ext cx="5553075" cy="3879850"/>
                    </a:xfrm>
                    <a:prstGeom prst="rect">
                      <a:avLst/>
                    </a:prstGeom>
                    <a:noFill/>
                    <a:ln>
                      <a:noFill/>
                    </a:ln>
                  </pic:spPr>
                </pic:pic>
              </a:graphicData>
            </a:graphic>
          </wp:inline>
        </w:drawing>
      </w:r>
    </w:p>
    <w:p>
      <w:pPr>
        <w:pStyle w:val="9"/>
        <w:ind w:firstLine="400"/>
        <w:jc w:val="center"/>
      </w:pPr>
      <w:r>
        <w:t xml:space="preserve">图 </w:t>
      </w:r>
      <w:r>
        <w:rPr>
          <w:rFonts w:hint="eastAsia"/>
        </w:rPr>
        <w:t xml:space="preserve">3  </w:t>
      </w:r>
      <w:r>
        <w:t>UIET后Ti–6Al–4V合金的（a）Ti 2p，（b）Al 2p，（c）O 1s，（d）c 1s和（e）N 1s X射线光电子核心级光谱曲线拟合。</w:t>
      </w:r>
    </w:p>
    <w:p>
      <w:pPr>
        <w:ind w:firstLine="480"/>
      </w:pPr>
    </w:p>
    <w:p>
      <w:pPr>
        <w:ind w:firstLine="480"/>
      </w:pPr>
      <w:r>
        <w:t xml:space="preserve">UIET后，样品由外涂层和内塑性变形层组成（见图4a）。涂层厚度为10-15 </w:t>
      </w:r>
      <w:r>
        <w:rPr>
          <w:rFonts w:cs="Times New Roman"/>
        </w:rPr>
        <w:t>u</w:t>
      </w:r>
      <w:r>
        <w:t xml:space="preserve">m，非常致密，无明显裂纹，并与塑性变形层紧密结合。涂层的局部EDX显微分析结果如表1所示。光谱1来自涂层，涂层主要由大量铝和钒以及钛和氧组成。然而，涂层中铝的比例小于冲击球中的比例。这表明熔化的冲击球材料在电火花产生的微尺度熔池中与基体金属混合。光谱2来自塑性变形层。光谱2显示的成分与Ti–6Al–4V合金的成分相同。通过元素线扫描测量涂层和塑性变形层中主要元素钛和铝的分布，如图4b所示。过渡层的厚度明显为几微米，这证实了涂层和塑性变形层之间的冶金结合。涂层中基体元素的存在也证明了涂层与塑性变形层之间具有良好的冶金结合。EDX结果表明，在UIET过程中，钛和铝从冲击球转移到靶表面的微尺度熔池中，并与基体混合。 </w:t>
      </w:r>
    </w:p>
    <w:p>
      <w:pPr>
        <w:ind w:firstLine="0" w:firstLineChars="0"/>
        <w:jc w:val="center"/>
      </w:pPr>
      <w:r>
        <w:drawing>
          <wp:inline distT="0" distB="0" distL="114300" distR="114300">
            <wp:extent cx="2520315" cy="2256155"/>
            <wp:effectExtent l="0" t="0" r="9525" b="146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53"/>
                    <a:stretch>
                      <a:fillRect/>
                    </a:stretch>
                  </pic:blipFill>
                  <pic:spPr>
                    <a:xfrm>
                      <a:off x="0" y="0"/>
                      <a:ext cx="2520315" cy="2256155"/>
                    </a:xfrm>
                    <a:prstGeom prst="rect">
                      <a:avLst/>
                    </a:prstGeom>
                    <a:noFill/>
                    <a:ln>
                      <a:noFill/>
                    </a:ln>
                  </pic:spPr>
                </pic:pic>
              </a:graphicData>
            </a:graphic>
          </wp:inline>
        </w:drawing>
      </w:r>
      <w:r>
        <w:drawing>
          <wp:inline distT="0" distB="0" distL="114300" distR="114300">
            <wp:extent cx="2802255" cy="2160270"/>
            <wp:effectExtent l="0" t="0" r="1905"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54"/>
                    <a:srcRect l="2516" r="2201"/>
                    <a:stretch>
                      <a:fillRect/>
                    </a:stretch>
                  </pic:blipFill>
                  <pic:spPr>
                    <a:xfrm>
                      <a:off x="0" y="0"/>
                      <a:ext cx="2802255" cy="2160270"/>
                    </a:xfrm>
                    <a:prstGeom prst="rect">
                      <a:avLst/>
                    </a:prstGeom>
                    <a:noFill/>
                    <a:ln>
                      <a:noFill/>
                    </a:ln>
                  </pic:spPr>
                </pic:pic>
              </a:graphicData>
            </a:graphic>
          </wp:inline>
        </w:drawing>
      </w:r>
    </w:p>
    <w:p>
      <w:pPr>
        <w:pStyle w:val="20"/>
        <w:spacing w:before="0" w:beforeAutospacing="0" w:after="0" w:afterAutospacing="0" w:line="368" w:lineRule="atLeast"/>
        <w:ind w:firstLine="400"/>
        <w:jc w:val="center"/>
        <w:rPr>
          <w:rFonts w:ascii="Arial" w:hAnsi="Arial" w:cs="Arial"/>
          <w:spacing w:val="12"/>
          <w:sz w:val="19"/>
          <w:szCs w:val="19"/>
        </w:rPr>
      </w:pPr>
      <w:r>
        <w:rPr>
          <w:rStyle w:val="47"/>
        </w:rPr>
        <w:t xml:space="preserve">图 </w:t>
      </w:r>
      <w:r>
        <w:rPr>
          <w:rStyle w:val="47"/>
          <w:rFonts w:hint="eastAsia"/>
        </w:rPr>
        <w:t xml:space="preserve">4  </w:t>
      </w:r>
      <w:r>
        <w:rPr>
          <w:rStyle w:val="47"/>
        </w:rPr>
        <w:t>（a） UIET后Ti–6Al–4V合金的横截面微观结构和（b）沿深度方向的钛/铝分布。</w:t>
      </w:r>
    </w:p>
    <w:p>
      <w:pPr>
        <w:pStyle w:val="9"/>
        <w:ind w:firstLine="0" w:firstLineChars="0"/>
        <w:jc w:val="center"/>
      </w:pPr>
    </w:p>
    <w:p>
      <w:pPr>
        <w:ind w:firstLine="480"/>
      </w:pPr>
      <w:r>
        <w:t>显示了UIET后基板、冲击球和样品的X射线衍射图。从这些结果可以看出，冲击球（TiAl合金）主要由TiAl和Ti</w:t>
      </w:r>
      <w:r>
        <w:rPr>
          <w:vertAlign w:val="subscript"/>
        </w:rPr>
        <w:t>3</w:t>
      </w:r>
      <w:r>
        <w:t>Al组成。UIET后，在改性表面上观察到新的金属间化合物峰（主要是TiAl</w:t>
      </w:r>
      <w:r>
        <w:rPr>
          <w:vertAlign w:val="subscript"/>
        </w:rPr>
        <w:t>3</w:t>
      </w:r>
      <w:r>
        <w:t>和Ti</w:t>
      </w:r>
      <w:r>
        <w:rPr>
          <w:vertAlign w:val="subscript"/>
        </w:rPr>
        <w:t>3</w:t>
      </w:r>
      <w:r>
        <w:t>Al），与基体和冲击球的峰不同。这说明在电火花加工过程中，微尺度熔池中的元素之间发生剧烈的化学反应。此外，在改性表面上形成少量Al</w:t>
      </w:r>
      <w:r>
        <w:rPr>
          <w:vertAlign w:val="subscript"/>
        </w:rPr>
        <w:t>2</w:t>
      </w:r>
      <w:r>
        <w:t>O</w:t>
      </w:r>
      <w:r>
        <w:rPr>
          <w:vertAlign w:val="subscript"/>
        </w:rPr>
        <w:t>3</w:t>
      </w:r>
      <w:r>
        <w:t>，这与XPS结果中的Al2p和O1s峰一致（见图3b和c）。由于涂层的快速凝固，涂层在深度方向上是不均匀的。因此XPS和XRD结果中的成分不同，而涂层的成分相同（见图3和图5）。</w:t>
      </w:r>
    </w:p>
    <w:p>
      <w:pPr>
        <w:pStyle w:val="9"/>
        <w:ind w:firstLine="400"/>
        <w:jc w:val="center"/>
      </w:pPr>
      <w:r>
        <w:t xml:space="preserve">表 </w:t>
      </w:r>
      <w:r>
        <w:rPr>
          <w:rFonts w:hint="eastAsia"/>
        </w:rPr>
        <w:t xml:space="preserve">1  </w:t>
      </w:r>
      <w:r>
        <w:t>UIET后Ti–6Al–4V合金横截面中元素的EDX衍生原子浓度（at%）</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single" w:color="auto" w:sz="12" w:space="0"/>
              <w:left w:val="nil"/>
              <w:right w:val="nil"/>
            </w:tcBorders>
          </w:tcPr>
          <w:p>
            <w:pPr>
              <w:ind w:firstLine="0" w:firstLineChars="0"/>
              <w:jc w:val="center"/>
            </w:pPr>
            <w:r>
              <w:rPr>
                <w:rFonts w:hint="eastAsia"/>
              </w:rPr>
              <w:t>Spectrum</w:t>
            </w:r>
          </w:p>
        </w:tc>
        <w:tc>
          <w:tcPr>
            <w:tcW w:w="1801" w:type="dxa"/>
            <w:tcBorders>
              <w:top w:val="single" w:color="auto" w:sz="12" w:space="0"/>
              <w:left w:val="nil"/>
              <w:right w:val="nil"/>
            </w:tcBorders>
          </w:tcPr>
          <w:p>
            <w:pPr>
              <w:ind w:firstLine="0" w:firstLineChars="0"/>
              <w:jc w:val="center"/>
            </w:pPr>
            <w:r>
              <w:rPr>
                <w:rFonts w:hint="eastAsia"/>
              </w:rPr>
              <w:t>Ti</w:t>
            </w:r>
          </w:p>
        </w:tc>
        <w:tc>
          <w:tcPr>
            <w:tcW w:w="1801" w:type="dxa"/>
            <w:tcBorders>
              <w:top w:val="single" w:color="auto" w:sz="12" w:space="0"/>
              <w:left w:val="nil"/>
              <w:right w:val="nil"/>
            </w:tcBorders>
          </w:tcPr>
          <w:p>
            <w:pPr>
              <w:ind w:firstLine="0" w:firstLineChars="0"/>
              <w:jc w:val="center"/>
            </w:pPr>
            <w:r>
              <w:rPr>
                <w:rFonts w:hint="eastAsia"/>
              </w:rPr>
              <w:t>Al</w:t>
            </w:r>
          </w:p>
        </w:tc>
        <w:tc>
          <w:tcPr>
            <w:tcW w:w="1801" w:type="dxa"/>
            <w:tcBorders>
              <w:top w:val="single" w:color="auto" w:sz="12" w:space="0"/>
              <w:left w:val="nil"/>
              <w:right w:val="nil"/>
            </w:tcBorders>
          </w:tcPr>
          <w:p>
            <w:pPr>
              <w:ind w:firstLine="0" w:firstLineChars="0"/>
              <w:jc w:val="center"/>
            </w:pPr>
            <w:r>
              <w:rPr>
                <w:rFonts w:hint="eastAsia"/>
              </w:rPr>
              <w:t>V</w:t>
            </w:r>
          </w:p>
        </w:tc>
        <w:tc>
          <w:tcPr>
            <w:tcW w:w="1801" w:type="dxa"/>
            <w:tcBorders>
              <w:top w:val="single" w:color="auto" w:sz="12" w:space="0"/>
              <w:left w:val="nil"/>
              <w:right w:val="nil"/>
            </w:tcBorders>
          </w:tcPr>
          <w:p>
            <w:pPr>
              <w:ind w:firstLine="0" w:firstLineChars="0"/>
              <w:jc w:val="center"/>
            </w:pPr>
            <w:r>
              <w:rPr>
                <w:rFonts w:hint="eastAsia"/>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left w:val="nil"/>
              <w:right w:val="nil"/>
            </w:tcBorders>
          </w:tcPr>
          <w:p>
            <w:pPr>
              <w:ind w:firstLine="0" w:firstLineChars="0"/>
              <w:jc w:val="center"/>
            </w:pPr>
            <w:r>
              <w:rPr>
                <w:rFonts w:hint="eastAsia"/>
              </w:rPr>
              <w:t>1</w:t>
            </w:r>
          </w:p>
        </w:tc>
        <w:tc>
          <w:tcPr>
            <w:tcW w:w="1801" w:type="dxa"/>
            <w:tcBorders>
              <w:left w:val="nil"/>
              <w:right w:val="nil"/>
            </w:tcBorders>
          </w:tcPr>
          <w:p>
            <w:pPr>
              <w:ind w:firstLine="0" w:firstLineChars="0"/>
              <w:jc w:val="center"/>
            </w:pPr>
            <w:r>
              <w:rPr>
                <w:rFonts w:hint="eastAsia"/>
              </w:rPr>
              <w:t>49.99</w:t>
            </w:r>
          </w:p>
        </w:tc>
        <w:tc>
          <w:tcPr>
            <w:tcW w:w="1801" w:type="dxa"/>
            <w:tcBorders>
              <w:left w:val="nil"/>
              <w:right w:val="nil"/>
            </w:tcBorders>
          </w:tcPr>
          <w:p>
            <w:pPr>
              <w:ind w:firstLine="0" w:firstLineChars="0"/>
              <w:jc w:val="center"/>
            </w:pPr>
            <w:r>
              <w:rPr>
                <w:rFonts w:hint="eastAsia"/>
              </w:rPr>
              <w:t>36.79</w:t>
            </w:r>
          </w:p>
        </w:tc>
        <w:tc>
          <w:tcPr>
            <w:tcW w:w="1801" w:type="dxa"/>
            <w:tcBorders>
              <w:left w:val="nil"/>
              <w:right w:val="nil"/>
            </w:tcBorders>
          </w:tcPr>
          <w:p>
            <w:pPr>
              <w:ind w:firstLine="0" w:firstLineChars="0"/>
              <w:jc w:val="center"/>
            </w:pPr>
            <w:r>
              <w:rPr>
                <w:rFonts w:hint="eastAsia"/>
              </w:rPr>
              <w:t>6.48</w:t>
            </w:r>
          </w:p>
        </w:tc>
        <w:tc>
          <w:tcPr>
            <w:tcW w:w="1801" w:type="dxa"/>
            <w:tcBorders>
              <w:left w:val="nil"/>
              <w:right w:val="nil"/>
            </w:tcBorders>
          </w:tcPr>
          <w:p>
            <w:pPr>
              <w:ind w:firstLine="0" w:firstLineChars="0"/>
              <w:jc w:val="center"/>
            </w:pPr>
            <w:r>
              <w:rPr>
                <w:rFonts w:hint="eastAsia"/>
              </w:rPr>
              <w:t>6.74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left w:val="nil"/>
              <w:bottom w:val="single" w:color="auto" w:sz="12" w:space="0"/>
              <w:right w:val="nil"/>
            </w:tcBorders>
          </w:tcPr>
          <w:p>
            <w:pPr>
              <w:ind w:firstLine="0" w:firstLineChars="0"/>
              <w:jc w:val="center"/>
            </w:pPr>
            <w:r>
              <w:rPr>
                <w:rFonts w:hint="eastAsia"/>
              </w:rPr>
              <w:t>2</w:t>
            </w:r>
          </w:p>
        </w:tc>
        <w:tc>
          <w:tcPr>
            <w:tcW w:w="1801" w:type="dxa"/>
            <w:tcBorders>
              <w:left w:val="nil"/>
              <w:bottom w:val="single" w:color="auto" w:sz="12" w:space="0"/>
              <w:right w:val="nil"/>
            </w:tcBorders>
          </w:tcPr>
          <w:p>
            <w:pPr>
              <w:ind w:firstLine="0" w:firstLineChars="0"/>
              <w:jc w:val="center"/>
            </w:pPr>
            <w:r>
              <w:rPr>
                <w:rFonts w:hint="eastAsia"/>
              </w:rPr>
              <w:t>86.57</w:t>
            </w:r>
          </w:p>
        </w:tc>
        <w:tc>
          <w:tcPr>
            <w:tcW w:w="1801" w:type="dxa"/>
            <w:tcBorders>
              <w:left w:val="nil"/>
              <w:bottom w:val="single" w:color="auto" w:sz="12" w:space="0"/>
              <w:right w:val="nil"/>
            </w:tcBorders>
          </w:tcPr>
          <w:p>
            <w:pPr>
              <w:ind w:firstLine="0" w:firstLineChars="0"/>
              <w:jc w:val="center"/>
            </w:pPr>
            <w:r>
              <w:rPr>
                <w:rFonts w:hint="eastAsia"/>
              </w:rPr>
              <w:t>11.74</w:t>
            </w:r>
          </w:p>
        </w:tc>
        <w:tc>
          <w:tcPr>
            <w:tcW w:w="1801" w:type="dxa"/>
            <w:tcBorders>
              <w:left w:val="nil"/>
              <w:bottom w:val="single" w:color="auto" w:sz="12" w:space="0"/>
              <w:right w:val="nil"/>
            </w:tcBorders>
          </w:tcPr>
          <w:p>
            <w:pPr>
              <w:ind w:firstLine="0" w:firstLineChars="0"/>
              <w:jc w:val="center"/>
            </w:pPr>
            <w:r>
              <w:rPr>
                <w:rFonts w:hint="eastAsia"/>
              </w:rPr>
              <w:t>1.69</w:t>
            </w:r>
          </w:p>
        </w:tc>
        <w:tc>
          <w:tcPr>
            <w:tcW w:w="1801" w:type="dxa"/>
            <w:tcBorders>
              <w:left w:val="nil"/>
              <w:bottom w:val="single" w:color="auto" w:sz="12" w:space="0"/>
              <w:right w:val="nil"/>
            </w:tcBorders>
          </w:tcPr>
          <w:p>
            <w:pPr>
              <w:ind w:firstLine="0" w:firstLineChars="0"/>
              <w:jc w:val="center"/>
            </w:pPr>
            <w:r>
              <w:rPr>
                <w:rFonts w:hint="eastAsia"/>
              </w:rPr>
              <w:t>0.00</w:t>
            </w:r>
          </w:p>
        </w:tc>
      </w:tr>
    </w:tbl>
    <w:p>
      <w:pPr>
        <w:ind w:firstLine="480"/>
      </w:pPr>
    </w:p>
    <w:p>
      <w:pPr>
        <w:ind w:firstLine="480"/>
      </w:pPr>
      <w:r>
        <w:t xml:space="preserve">UIET后沿试样深度的显微硬度分布如图6所示。改性表面顶部的最大显微硬度约为540HV。随着深度增加至8 </w:t>
      </w:r>
      <w:r>
        <w:rPr>
          <w:rFonts w:cs="Times New Roman"/>
        </w:rPr>
        <w:t>u</w:t>
      </w:r>
      <w:r>
        <w:t xml:space="preserve">m，显微硬度急剧下降至约380 HV。当深度从20 </w:t>
      </w:r>
      <w:r>
        <w:rPr>
          <w:rFonts w:cs="Times New Roman"/>
        </w:rPr>
        <w:t>u</w:t>
      </w:r>
      <w:r>
        <w:t xml:space="preserve">m增加到110 </w:t>
      </w:r>
      <w:r>
        <w:rPr>
          <w:rFonts w:cs="Times New Roman"/>
        </w:rPr>
        <w:t>u</w:t>
      </w:r>
      <w:r>
        <w:t xml:space="preserve">m时，显微硬度开始低于TiAl合金（冲击球材料）的显微硬度，并缓慢下降至基体（Ti–6Al–4V）的显微硬度。当深度大于110 lm时，显微硬度稳定。如图4a所示，涂层厚度为10–15 </w:t>
      </w:r>
      <w:r>
        <w:rPr>
          <w:rFonts w:cs="Times New Roman"/>
        </w:rPr>
        <w:t>u</w:t>
      </w:r>
      <w:r>
        <w:t>m。前两个测试点的压痕深度在涂层中，因此这两个值</w:t>
      </w:r>
    </w:p>
    <w:p>
      <w:pPr>
        <w:ind w:firstLine="0" w:firstLineChars="0"/>
        <w:jc w:val="center"/>
      </w:pPr>
      <w:r>
        <w:drawing>
          <wp:inline distT="0" distB="0" distL="114300" distR="114300">
            <wp:extent cx="3611880" cy="286512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55"/>
                    <a:stretch>
                      <a:fillRect/>
                    </a:stretch>
                  </pic:blipFill>
                  <pic:spPr>
                    <a:xfrm>
                      <a:off x="0" y="0"/>
                      <a:ext cx="3611880" cy="2865120"/>
                    </a:xfrm>
                    <a:prstGeom prst="rect">
                      <a:avLst/>
                    </a:prstGeom>
                    <a:noFill/>
                    <a:ln>
                      <a:noFill/>
                    </a:ln>
                  </pic:spPr>
                </pic:pic>
              </a:graphicData>
            </a:graphic>
          </wp:inline>
        </w:drawing>
      </w:r>
    </w:p>
    <w:p>
      <w:pPr>
        <w:pStyle w:val="20"/>
        <w:spacing w:before="0" w:beforeAutospacing="0" w:after="0" w:afterAutospacing="0" w:line="368" w:lineRule="atLeast"/>
        <w:ind w:firstLine="400"/>
        <w:jc w:val="center"/>
        <w:rPr>
          <w:rStyle w:val="47"/>
        </w:rPr>
      </w:pPr>
      <w:r>
        <w:rPr>
          <w:rStyle w:val="47"/>
        </w:rPr>
        <w:t xml:space="preserve">图 </w:t>
      </w:r>
      <w:r>
        <w:rPr>
          <w:rStyle w:val="47"/>
          <w:rFonts w:hint="eastAsia"/>
        </w:rPr>
        <w:t xml:space="preserve">5 </w:t>
      </w:r>
      <w:r>
        <w:rPr>
          <w:rStyle w:val="47"/>
        </w:rPr>
        <w:t>UIET后基板、冲击球和样品的XRD光谱</w:t>
      </w:r>
    </w:p>
    <w:p>
      <w:pPr>
        <w:pStyle w:val="20"/>
        <w:spacing w:before="0" w:beforeAutospacing="0" w:after="0" w:afterAutospacing="0" w:line="368" w:lineRule="atLeast"/>
        <w:ind w:firstLine="480"/>
        <w:jc w:val="center"/>
      </w:pPr>
      <w:r>
        <w:drawing>
          <wp:inline distT="0" distB="0" distL="114300" distR="114300">
            <wp:extent cx="3840480" cy="284226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56"/>
                    <a:stretch>
                      <a:fillRect/>
                    </a:stretch>
                  </pic:blipFill>
                  <pic:spPr>
                    <a:xfrm>
                      <a:off x="0" y="0"/>
                      <a:ext cx="3840480" cy="2842260"/>
                    </a:xfrm>
                    <a:prstGeom prst="rect">
                      <a:avLst/>
                    </a:prstGeom>
                    <a:noFill/>
                    <a:ln>
                      <a:noFill/>
                    </a:ln>
                  </pic:spPr>
                </pic:pic>
              </a:graphicData>
            </a:graphic>
          </wp:inline>
        </w:drawing>
      </w:r>
    </w:p>
    <w:p>
      <w:pPr>
        <w:pStyle w:val="9"/>
        <w:ind w:firstLine="400"/>
        <w:jc w:val="center"/>
      </w:pPr>
      <w:r>
        <w:t xml:space="preserve">图 </w:t>
      </w:r>
      <w:r>
        <w:rPr>
          <w:rFonts w:hint="eastAsia"/>
        </w:rPr>
        <w:t xml:space="preserve">6  </w:t>
      </w:r>
      <w:r>
        <w:t>UIET后样品的显微硬度曲线。</w:t>
      </w:r>
    </w:p>
    <w:p>
      <w:pPr>
        <w:ind w:firstLine="0" w:firstLineChars="0"/>
      </w:pPr>
    </w:p>
    <w:p>
      <w:pPr>
        <w:ind w:firstLine="0" w:firstLineChars="0"/>
        <w:rPr>
          <w:rFonts w:eastAsia="黑体"/>
        </w:rPr>
      </w:pPr>
      <w:r>
        <w:t xml:space="preserve">相似。深度大于8 </w:t>
      </w:r>
      <w:r>
        <w:rPr>
          <w:rFonts w:cs="Times New Roman"/>
        </w:rPr>
        <w:t>u</w:t>
      </w:r>
      <w:r>
        <w:t xml:space="preserve">m后，压头尖端穿透涂层，因此显微硬度降低，同时受涂层和塑性变形层的影响。当深度大于20 </w:t>
      </w:r>
      <w:r>
        <w:rPr>
          <w:rFonts w:cs="Times New Roman"/>
        </w:rPr>
        <w:t>u</w:t>
      </w:r>
      <w:r>
        <w:t xml:space="preserve">m时，所有涂层均已去除。因此，这些深度的显微硬度缓慢下降仅是由于塑性变形层。该层中的塑性变形量沿深度从大到小逐渐减小[16,27]。当深度大于110 </w:t>
      </w:r>
      <w:r>
        <w:rPr>
          <w:rFonts w:cs="Times New Roman"/>
        </w:rPr>
        <w:t>u</w:t>
      </w:r>
      <w:r>
        <w:t>m时，显微硬度与基体相似，因为没有塑性变形。涂层的显微硬度比TiAl合金（冲击球）的显微硬度高70%。这说明涂层显微硬度的增加不仅是由于TiAl合金的沉积，还由于微观熔池中多种复杂的金属间化合物成分（见图5）以及涂层可能的细晶粒或高位错密度[28,29]。这种细小晶粒可归因于电火花过程中的剧烈反应，而冲击过程中的机械冲击可能导致如此高的位错密度[16]（见图2b）。根据先前研究的报告，晶粒尺寸随着冷却速度的增加而大大减小，这是因为过冷度大，凝固前的凝固时间缩短[30,31]。随着冷却速度的增加，合金的晶粒尺寸大大减小，从而硬度增加[31]。基于上述讨论，显微硬度分布可分为对应于涂层、塑性变形层和基材的截面。</w:t>
      </w:r>
    </w:p>
    <w:p>
      <w:pPr>
        <w:ind w:firstLine="480"/>
        <w:sectPr>
          <w:headerReference r:id="rId19" w:type="even"/>
          <w:footnotePr>
            <w:numFmt w:val="decimalEnclosedCircleChinese"/>
            <w:numRestart w:val="eachSect"/>
          </w:footnotePr>
          <w:pgSz w:w="11907" w:h="16840"/>
          <w:pgMar w:top="1418" w:right="1418" w:bottom="1418" w:left="1701" w:header="850" w:footer="850" w:gutter="0"/>
          <w:cols w:space="425" w:num="1"/>
          <w:docGrid w:linePitch="384" w:charSpace="7430"/>
        </w:sectPr>
      </w:pPr>
      <w:r>
        <w:t>已经对涂层中的残余应力进行了广泛的研究[19]。Ahmaniemi等人发现，残余应力状态与其他涂层性能相关，如显微硬度、孔隙率、微观结构和干摩擦耐磨性[32]。与传统的涂层工艺相比，UIET具有在涂层中产生较大残余压应力的显著优势。UIET后，试样的表面残余应力</w:t>
      </w:r>
      <w:r>
        <w:rPr>
          <w:rFonts w:hint="eastAsia"/>
        </w:rPr>
        <w:t>—</w:t>
      </w:r>
      <w:r>
        <w:t>585.89 MPa，这可能有助于提高涂层的耐磨性[33]、抗疲劳性[11]和抗应力腐蚀性[34]。</w:t>
      </w:r>
    </w:p>
    <w:p>
      <w:pPr>
        <w:ind w:firstLine="480"/>
      </w:pPr>
    </w:p>
    <w:p>
      <w:pPr>
        <w:pStyle w:val="2"/>
        <w:numPr>
          <w:ilvl w:val="0"/>
          <w:numId w:val="1"/>
        </w:numPr>
        <w:spacing w:before="240" w:after="480"/>
      </w:pPr>
      <w:bookmarkStart w:id="4" w:name="_Toc10754"/>
      <w:r>
        <w:t>结论</w:t>
      </w:r>
      <w:bookmarkEnd w:id="4"/>
    </w:p>
    <w:p>
      <w:pPr>
        <w:ind w:firstLine="480"/>
        <w:sectPr>
          <w:headerReference r:id="rId20" w:type="even"/>
          <w:footnotePr>
            <w:numFmt w:val="decimalEnclosedCircleChinese"/>
            <w:numRestart w:val="eachSect"/>
          </w:footnotePr>
          <w:pgSz w:w="11907" w:h="16840"/>
          <w:pgMar w:top="1418" w:right="1418" w:bottom="1418" w:left="1701" w:header="850" w:footer="850" w:gutter="0"/>
          <w:cols w:space="425" w:num="1"/>
          <w:docGrid w:linePitch="384" w:charSpace="7430"/>
        </w:sectPr>
      </w:pPr>
      <w:r>
        <w:t xml:space="preserve">采用UIET技术在Ti–6Al–4V合金表面制备了Ti–Al金属间化合物涂层，详细介绍了UIET的原理。获得了厚度约为12 </w:t>
      </w:r>
      <w:r>
        <w:rPr>
          <w:rFonts w:cs="Times New Roman"/>
        </w:rPr>
        <w:t>u</w:t>
      </w:r>
      <w:r>
        <w:t>m的致密涂层，并在涂层下方观察到塑性变形层。在涂层和塑性变形层之间建立了冶金结合。特别是，在涂层中获得了新的Ti–Al金属间化合物相。涂层的显微硬度高于冲击球材料（TiAl合金），涂层下的显微硬度也有所提高。此外，UIET后试样的表面残余应力为压应力。因此，UIET可能有助于提高各种涂层的耐磨性、疲劳性和抗应力腐蚀性。</w:t>
      </w:r>
    </w:p>
    <w:p>
      <w:pPr>
        <w:pStyle w:val="2"/>
        <w:spacing w:before="240" w:after="480"/>
      </w:pPr>
      <w:bookmarkStart w:id="5" w:name="_Toc2271"/>
      <w:r>
        <w:rPr>
          <w:rFonts w:hint="eastAsia"/>
        </w:rPr>
        <w:t>参考文献</w:t>
      </w:r>
      <w:bookmarkEnd w:id="5"/>
    </w:p>
    <w:p>
      <w:pPr>
        <w:spacing w:line="240" w:lineRule="auto"/>
        <w:ind w:left="420" w:hanging="420" w:hangingChars="200"/>
        <w:rPr>
          <w:rFonts w:cs="Times New Roman"/>
          <w:sz w:val="21"/>
          <w:szCs w:val="21"/>
        </w:rPr>
      </w:pPr>
      <w:r>
        <w:rPr>
          <w:rFonts w:cs="Times New Roman"/>
          <w:sz w:val="21"/>
          <w:szCs w:val="21"/>
        </w:rPr>
        <w:t>[1] P. Budzynski, A.A. Youssef, J. Sielanko, Wear 261 (2006) 1271–1276.</w:t>
      </w:r>
    </w:p>
    <w:p>
      <w:pPr>
        <w:spacing w:line="240" w:lineRule="auto"/>
        <w:ind w:left="420" w:hanging="420" w:hangingChars="200"/>
        <w:rPr>
          <w:rFonts w:cs="Times New Roman"/>
          <w:sz w:val="21"/>
          <w:szCs w:val="21"/>
        </w:rPr>
      </w:pPr>
      <w:r>
        <w:rPr>
          <w:rFonts w:cs="Times New Roman"/>
          <w:sz w:val="21"/>
          <w:szCs w:val="21"/>
        </w:rPr>
        <w:t>[2] R.-H. Hu, J.-K. Lim, Mater. Des. 31 (2010) 2670–2675.</w:t>
      </w:r>
    </w:p>
    <w:p>
      <w:pPr>
        <w:spacing w:line="240" w:lineRule="auto"/>
        <w:ind w:left="420" w:hanging="420" w:hangingChars="200"/>
        <w:rPr>
          <w:rFonts w:cs="Times New Roman"/>
          <w:sz w:val="21"/>
          <w:szCs w:val="21"/>
        </w:rPr>
      </w:pPr>
      <w:r>
        <w:rPr>
          <w:rFonts w:cs="Times New Roman"/>
          <w:sz w:val="21"/>
          <w:szCs w:val="21"/>
        </w:rPr>
        <w:t>[3] Y. Xie, M. Wang, J. Alloys Comp. 484 (2009) 21–24.</w:t>
      </w:r>
    </w:p>
    <w:p>
      <w:pPr>
        <w:spacing w:line="240" w:lineRule="auto"/>
        <w:ind w:left="420" w:hanging="420" w:hangingChars="200"/>
        <w:rPr>
          <w:rFonts w:cs="Times New Roman"/>
          <w:sz w:val="21"/>
          <w:szCs w:val="21"/>
        </w:rPr>
      </w:pPr>
      <w:r>
        <w:rPr>
          <w:rFonts w:cs="Times New Roman"/>
          <w:sz w:val="21"/>
          <w:szCs w:val="21"/>
        </w:rPr>
        <w:t>[4] Z. Xu, L. He, R. Mu, X. Zhong, Y. Zhang, J. Zhang, X. Cao, J. Alloys Comp. 473</w:t>
      </w:r>
    </w:p>
    <w:p>
      <w:pPr>
        <w:spacing w:line="240" w:lineRule="auto"/>
        <w:ind w:left="420" w:hanging="420" w:hangingChars="200"/>
        <w:rPr>
          <w:rFonts w:cs="Times New Roman"/>
          <w:sz w:val="21"/>
          <w:szCs w:val="21"/>
        </w:rPr>
      </w:pPr>
      <w:r>
        <w:rPr>
          <w:rFonts w:cs="Times New Roman"/>
          <w:sz w:val="21"/>
          <w:szCs w:val="21"/>
        </w:rPr>
        <w:t>(2009) 509–515.</w:t>
      </w:r>
    </w:p>
    <w:p>
      <w:pPr>
        <w:spacing w:line="240" w:lineRule="auto"/>
        <w:ind w:left="420" w:hanging="420" w:hangingChars="200"/>
        <w:rPr>
          <w:rFonts w:cs="Times New Roman"/>
          <w:sz w:val="21"/>
          <w:szCs w:val="21"/>
        </w:rPr>
      </w:pPr>
      <w:r>
        <w:rPr>
          <w:rFonts w:cs="Times New Roman"/>
          <w:sz w:val="21"/>
          <w:szCs w:val="21"/>
        </w:rPr>
        <w:t>[5] Y.L. Pei, Y. Luan, J. Alloys Comp. 581 (2013) 873–876.</w:t>
      </w:r>
    </w:p>
    <w:p>
      <w:pPr>
        <w:spacing w:line="240" w:lineRule="auto"/>
        <w:ind w:left="420" w:hanging="420" w:hangingChars="200"/>
        <w:rPr>
          <w:rFonts w:cs="Times New Roman"/>
          <w:sz w:val="21"/>
          <w:szCs w:val="21"/>
        </w:rPr>
      </w:pPr>
      <w:r>
        <w:rPr>
          <w:rFonts w:cs="Times New Roman"/>
          <w:sz w:val="21"/>
          <w:szCs w:val="21"/>
        </w:rPr>
        <w:t>[6] A. Polat, M. Makaraci, M. Usta, J. Alloys Comp. 504 (2010) 519–526.</w:t>
      </w:r>
    </w:p>
    <w:p>
      <w:pPr>
        <w:spacing w:line="240" w:lineRule="auto"/>
        <w:ind w:left="420" w:hanging="420" w:hangingChars="200"/>
        <w:rPr>
          <w:rFonts w:cs="Times New Roman"/>
          <w:sz w:val="21"/>
          <w:szCs w:val="21"/>
        </w:rPr>
      </w:pPr>
      <w:r>
        <w:rPr>
          <w:rFonts w:cs="Times New Roman"/>
          <w:sz w:val="21"/>
          <w:szCs w:val="21"/>
        </w:rPr>
        <w:t>[7] H.C. Man, M. Bai, F.T. Cheng, Appl. Surf. Sci. 258 (2011) 436–441.</w:t>
      </w:r>
    </w:p>
    <w:p>
      <w:pPr>
        <w:spacing w:line="240" w:lineRule="auto"/>
        <w:ind w:left="420" w:hanging="420" w:hangingChars="200"/>
        <w:rPr>
          <w:rFonts w:cs="Times New Roman"/>
          <w:sz w:val="21"/>
          <w:szCs w:val="21"/>
        </w:rPr>
      </w:pPr>
      <w:r>
        <w:rPr>
          <w:rFonts w:cs="Times New Roman"/>
          <w:sz w:val="21"/>
          <w:szCs w:val="21"/>
        </w:rPr>
        <w:t>[8] E.S. Statnikov, O.V. Korolkov, V.N. Vityazev, Ultrasonics 44 (2006) e533–e538.</w:t>
      </w:r>
    </w:p>
    <w:p>
      <w:pPr>
        <w:spacing w:line="240" w:lineRule="auto"/>
        <w:ind w:left="420" w:hanging="420" w:hangingChars="200"/>
        <w:rPr>
          <w:rFonts w:cs="Times New Roman"/>
          <w:sz w:val="21"/>
          <w:szCs w:val="21"/>
        </w:rPr>
      </w:pPr>
      <w:r>
        <w:rPr>
          <w:rFonts w:cs="Times New Roman"/>
          <w:sz w:val="21"/>
          <w:szCs w:val="21"/>
        </w:rPr>
        <w:t>[9] S. Roy, J.W. Fisher, B.T. Yen, Int. J. Fatigue 25 (2003) 1239–1247.</w:t>
      </w:r>
    </w:p>
    <w:p>
      <w:pPr>
        <w:spacing w:line="240" w:lineRule="auto"/>
        <w:ind w:left="420" w:hanging="420" w:hangingChars="200"/>
        <w:rPr>
          <w:rFonts w:cs="Times New Roman"/>
          <w:sz w:val="21"/>
          <w:szCs w:val="21"/>
        </w:rPr>
      </w:pPr>
      <w:r>
        <w:rPr>
          <w:rFonts w:cs="Times New Roman"/>
          <w:sz w:val="21"/>
          <w:szCs w:val="21"/>
        </w:rPr>
        <w:t>[10] B.N. Mordyuk, G.I. Prokopenko, J. Sound Vib. 308 (2007) 855–866.</w:t>
      </w:r>
    </w:p>
    <w:p>
      <w:pPr>
        <w:spacing w:line="240" w:lineRule="auto"/>
        <w:ind w:left="420" w:hanging="420" w:hangingChars="200"/>
        <w:rPr>
          <w:rFonts w:cs="Times New Roman"/>
          <w:sz w:val="21"/>
          <w:szCs w:val="21"/>
        </w:rPr>
      </w:pPr>
      <w:r>
        <w:rPr>
          <w:rFonts w:cs="Times New Roman"/>
          <w:sz w:val="21"/>
          <w:szCs w:val="21"/>
        </w:rPr>
        <w:t>[11] T. Wang, D. Wang, L. Huo, Y. Zhang, Int. J. Fatigue 31 (2009) 644–650.</w:t>
      </w:r>
    </w:p>
    <w:p>
      <w:pPr>
        <w:spacing w:line="240" w:lineRule="auto"/>
        <w:ind w:left="420" w:hanging="420" w:hangingChars="200"/>
        <w:rPr>
          <w:rFonts w:cs="Times New Roman"/>
          <w:sz w:val="21"/>
          <w:szCs w:val="21"/>
        </w:rPr>
      </w:pPr>
      <w:r>
        <w:rPr>
          <w:rFonts w:cs="Times New Roman"/>
          <w:sz w:val="21"/>
          <w:szCs w:val="21"/>
        </w:rPr>
        <w:t>[12] X. Zhao, D. Wang, L. Huo, Mater. Des. 32 (2011) 88–96.</w:t>
      </w:r>
    </w:p>
    <w:p>
      <w:pPr>
        <w:spacing w:line="240" w:lineRule="auto"/>
        <w:ind w:left="420" w:hanging="420" w:hangingChars="200"/>
        <w:rPr>
          <w:rFonts w:cs="Times New Roman"/>
          <w:sz w:val="21"/>
          <w:szCs w:val="21"/>
        </w:rPr>
      </w:pPr>
      <w:r>
        <w:rPr>
          <w:rFonts w:cs="Times New Roman"/>
          <w:sz w:val="21"/>
          <w:szCs w:val="21"/>
        </w:rPr>
        <w:t>[13] A. Berg-Pollack, F.J. Voellmecke, C.M. Sonsino, Int. J. Fatigue 33 (2011) 513–518.</w:t>
      </w:r>
    </w:p>
    <w:p>
      <w:pPr>
        <w:spacing w:line="240" w:lineRule="auto"/>
        <w:ind w:left="420" w:hanging="420" w:hangingChars="200"/>
        <w:rPr>
          <w:rFonts w:cs="Times New Roman"/>
          <w:sz w:val="21"/>
          <w:szCs w:val="21"/>
        </w:rPr>
      </w:pPr>
      <w:r>
        <w:rPr>
          <w:rFonts w:cs="Times New Roman"/>
          <w:sz w:val="21"/>
          <w:szCs w:val="21"/>
        </w:rPr>
        <w:t>[14] R.T. Yekta, K. Ghahremani, S. Walbridge, Int. J. Fatigue 55 (2013) 245–256.</w:t>
      </w:r>
    </w:p>
    <w:p>
      <w:pPr>
        <w:spacing w:line="240" w:lineRule="auto"/>
        <w:ind w:left="420" w:hanging="420" w:hangingChars="200"/>
        <w:rPr>
          <w:rFonts w:cs="Times New Roman"/>
          <w:sz w:val="21"/>
          <w:szCs w:val="21"/>
        </w:rPr>
      </w:pPr>
      <w:r>
        <w:rPr>
          <w:rFonts w:cs="Times New Roman"/>
          <w:sz w:val="21"/>
          <w:szCs w:val="21"/>
        </w:rPr>
        <w:t>[15] Y. Liu, D. Wang, C. Deng, L. Xia, L. Huo, L. Wang, B. Gong, Int. J. Fatigue 66</w:t>
      </w:r>
    </w:p>
    <w:p>
      <w:pPr>
        <w:spacing w:line="240" w:lineRule="auto"/>
        <w:ind w:left="420" w:hanging="420" w:hangingChars="200"/>
        <w:rPr>
          <w:rFonts w:cs="Times New Roman"/>
          <w:sz w:val="21"/>
          <w:szCs w:val="21"/>
        </w:rPr>
      </w:pPr>
      <w:r>
        <w:rPr>
          <w:rFonts w:cs="Times New Roman"/>
          <w:sz w:val="21"/>
          <w:szCs w:val="21"/>
        </w:rPr>
        <w:t>(2014) 155–160.</w:t>
      </w:r>
    </w:p>
    <w:p>
      <w:pPr>
        <w:spacing w:line="240" w:lineRule="auto"/>
        <w:ind w:left="420" w:hanging="420" w:hangingChars="200"/>
        <w:rPr>
          <w:rFonts w:cs="Times New Roman"/>
          <w:sz w:val="21"/>
          <w:szCs w:val="21"/>
        </w:rPr>
      </w:pPr>
      <w:r>
        <w:rPr>
          <w:rFonts w:cs="Times New Roman"/>
          <w:sz w:val="21"/>
          <w:szCs w:val="21"/>
        </w:rPr>
        <w:t>[16] W. Ting, W. Dongpo, L. Gang, G. Baoming, S. Ningxia, Appl. Surf. Sci. 255 (2008)</w:t>
      </w:r>
    </w:p>
    <w:p>
      <w:pPr>
        <w:spacing w:line="240" w:lineRule="auto"/>
        <w:ind w:left="420" w:hanging="420" w:hangingChars="200"/>
        <w:rPr>
          <w:rFonts w:cs="Times New Roman"/>
          <w:sz w:val="21"/>
          <w:szCs w:val="21"/>
        </w:rPr>
      </w:pPr>
      <w:r>
        <w:rPr>
          <w:rFonts w:cs="Times New Roman"/>
          <w:sz w:val="21"/>
          <w:szCs w:val="21"/>
        </w:rPr>
        <w:t>1824–1829.</w:t>
      </w:r>
    </w:p>
    <w:p>
      <w:pPr>
        <w:spacing w:line="240" w:lineRule="auto"/>
        <w:ind w:left="420" w:hanging="420" w:hangingChars="200"/>
        <w:rPr>
          <w:rFonts w:cs="Times New Roman"/>
          <w:sz w:val="21"/>
          <w:szCs w:val="21"/>
        </w:rPr>
      </w:pPr>
      <w:r>
        <w:rPr>
          <w:rFonts w:cs="Times New Roman"/>
          <w:sz w:val="21"/>
          <w:szCs w:val="21"/>
        </w:rPr>
        <w:t>[17] B.N. Mordyuk, M.O. Iefimov, G.I. Prokopenko, T.V. Golub, M.I. Danylenko, Surf.</w:t>
      </w:r>
    </w:p>
    <w:p>
      <w:pPr>
        <w:spacing w:line="240" w:lineRule="auto"/>
        <w:ind w:left="420" w:hanging="420" w:hangingChars="200"/>
        <w:rPr>
          <w:rFonts w:cs="Times New Roman"/>
          <w:sz w:val="21"/>
          <w:szCs w:val="21"/>
        </w:rPr>
      </w:pPr>
      <w:r>
        <w:rPr>
          <w:rFonts w:cs="Times New Roman"/>
          <w:sz w:val="21"/>
          <w:szCs w:val="21"/>
        </w:rPr>
        <w:t>Coat. Technol. 204 (2010) 1590–1598.</w:t>
      </w:r>
    </w:p>
    <w:p>
      <w:pPr>
        <w:spacing w:line="240" w:lineRule="auto"/>
        <w:ind w:left="420" w:hanging="420" w:hangingChars="200"/>
        <w:rPr>
          <w:rFonts w:cs="Times New Roman"/>
          <w:sz w:val="21"/>
          <w:szCs w:val="21"/>
        </w:rPr>
      </w:pPr>
      <w:r>
        <w:rPr>
          <w:rFonts w:cs="Times New Roman"/>
          <w:sz w:val="21"/>
          <w:szCs w:val="21"/>
        </w:rPr>
        <w:t>[18] M.A. Vasylyev, S.P. Chenakin, L.F. Yatsenko, Acta Mater. 60 (2012) 6223–6233.</w:t>
      </w:r>
    </w:p>
    <w:p>
      <w:pPr>
        <w:spacing w:line="240" w:lineRule="auto"/>
        <w:ind w:left="420" w:hanging="420" w:hangingChars="200"/>
        <w:rPr>
          <w:rFonts w:cs="Times New Roman"/>
          <w:sz w:val="21"/>
          <w:szCs w:val="21"/>
        </w:rPr>
      </w:pPr>
      <w:r>
        <w:rPr>
          <w:rFonts w:cs="Times New Roman"/>
          <w:sz w:val="21"/>
          <w:szCs w:val="21"/>
        </w:rPr>
        <w:t>[19] A.C.G. Montay, A. Nussair, J. Lu, J. Mater. Sci. Technol. 20 (2004) 81–84.</w:t>
      </w:r>
    </w:p>
    <w:p>
      <w:pPr>
        <w:spacing w:line="240" w:lineRule="auto"/>
        <w:ind w:left="420" w:hanging="420" w:hangingChars="200"/>
        <w:rPr>
          <w:rFonts w:cs="Times New Roman"/>
          <w:sz w:val="21"/>
          <w:szCs w:val="21"/>
        </w:rPr>
      </w:pPr>
      <w:r>
        <w:rPr>
          <w:rFonts w:cs="Times New Roman"/>
          <w:sz w:val="21"/>
          <w:szCs w:val="21"/>
        </w:rPr>
        <w:t>[20] H. Garbacz, P. Wiecin´ ski, M. Ossowski, M.G. Ortore, T. Wierzchon´ , K.J.</w:t>
      </w:r>
    </w:p>
    <w:p>
      <w:pPr>
        <w:spacing w:line="240" w:lineRule="auto"/>
        <w:ind w:left="420" w:hanging="420" w:hangingChars="200"/>
        <w:rPr>
          <w:rFonts w:cs="Times New Roman"/>
          <w:sz w:val="21"/>
          <w:szCs w:val="21"/>
        </w:rPr>
      </w:pPr>
      <w:r>
        <w:rPr>
          <w:rFonts w:cs="Times New Roman"/>
          <w:sz w:val="21"/>
          <w:szCs w:val="21"/>
        </w:rPr>
        <w:t>Kurzydłowski, Surf. Coat. Technol. 202 (2008) 2453–2457.</w:t>
      </w:r>
    </w:p>
    <w:p>
      <w:pPr>
        <w:spacing w:line="240" w:lineRule="auto"/>
        <w:ind w:left="420" w:hanging="420" w:hangingChars="200"/>
        <w:rPr>
          <w:rFonts w:cs="Times New Roman"/>
          <w:sz w:val="21"/>
          <w:szCs w:val="21"/>
        </w:rPr>
      </w:pPr>
      <w:r>
        <w:rPr>
          <w:rFonts w:cs="Times New Roman"/>
          <w:sz w:val="21"/>
          <w:szCs w:val="21"/>
        </w:rPr>
        <w:t>[21] M.S. Chu, S.K. Wu, Surf. Coat. Technol. 179 (2004) 257–264.</w:t>
      </w:r>
    </w:p>
    <w:p>
      <w:pPr>
        <w:spacing w:line="240" w:lineRule="auto"/>
        <w:ind w:left="420" w:hanging="420" w:hangingChars="200"/>
        <w:rPr>
          <w:rFonts w:cs="Times New Roman"/>
          <w:sz w:val="21"/>
          <w:szCs w:val="21"/>
        </w:rPr>
      </w:pPr>
      <w:r>
        <w:rPr>
          <w:rFonts w:cs="Times New Roman"/>
          <w:sz w:val="21"/>
          <w:szCs w:val="21"/>
        </w:rPr>
        <w:t>[22] D.E. Mencer Jr., T.R. Hess, T. Mebrahtu, D.L. Cocke, D.G. Naugle, J. Vac. Sci.</w:t>
      </w:r>
    </w:p>
    <w:p>
      <w:pPr>
        <w:spacing w:line="240" w:lineRule="auto"/>
        <w:ind w:left="420" w:hanging="420" w:hangingChars="200"/>
        <w:rPr>
          <w:rFonts w:cs="Times New Roman"/>
          <w:sz w:val="21"/>
          <w:szCs w:val="21"/>
        </w:rPr>
      </w:pPr>
      <w:r>
        <w:rPr>
          <w:rFonts w:cs="Times New Roman"/>
          <w:sz w:val="21"/>
          <w:szCs w:val="21"/>
        </w:rPr>
        <w:t>Technol. A 9 (1991) 1610–1615.</w:t>
      </w:r>
    </w:p>
    <w:p>
      <w:pPr>
        <w:spacing w:line="240" w:lineRule="auto"/>
        <w:ind w:left="420" w:hanging="420" w:hangingChars="200"/>
        <w:rPr>
          <w:rFonts w:cs="Times New Roman"/>
          <w:sz w:val="21"/>
          <w:szCs w:val="21"/>
        </w:rPr>
      </w:pPr>
      <w:r>
        <w:rPr>
          <w:rFonts w:cs="Times New Roman"/>
          <w:sz w:val="21"/>
          <w:szCs w:val="21"/>
        </w:rPr>
        <w:t>[23] K. Arata, M. Hino, Appl. Catal. 59 (1990) 197–204.</w:t>
      </w:r>
    </w:p>
    <w:p>
      <w:pPr>
        <w:spacing w:line="240" w:lineRule="auto"/>
        <w:ind w:left="420" w:hanging="420" w:hangingChars="200"/>
        <w:rPr>
          <w:rFonts w:cs="Times New Roman"/>
          <w:sz w:val="21"/>
          <w:szCs w:val="21"/>
        </w:rPr>
      </w:pPr>
      <w:r>
        <w:rPr>
          <w:rFonts w:cs="Times New Roman"/>
          <w:sz w:val="21"/>
          <w:szCs w:val="21"/>
        </w:rPr>
        <w:t>[24] E. Payen, L. Gengembre, F. Mauge, J.C. Duchet, J.C. Lavalley, Catal. Today 10</w:t>
      </w:r>
    </w:p>
    <w:p>
      <w:pPr>
        <w:spacing w:line="240" w:lineRule="auto"/>
        <w:ind w:left="420" w:hanging="420" w:hangingChars="200"/>
        <w:rPr>
          <w:rFonts w:cs="Times New Roman"/>
          <w:sz w:val="21"/>
          <w:szCs w:val="21"/>
        </w:rPr>
      </w:pPr>
      <w:r>
        <w:rPr>
          <w:rFonts w:cs="Times New Roman"/>
          <w:sz w:val="21"/>
          <w:szCs w:val="21"/>
        </w:rPr>
        <w:t>(1991) 521–539.</w:t>
      </w:r>
    </w:p>
    <w:p>
      <w:pPr>
        <w:spacing w:line="240" w:lineRule="auto"/>
        <w:ind w:left="420" w:hanging="420" w:hangingChars="200"/>
        <w:rPr>
          <w:rFonts w:cs="Times New Roman"/>
          <w:sz w:val="21"/>
          <w:szCs w:val="21"/>
        </w:rPr>
      </w:pPr>
      <w:r>
        <w:rPr>
          <w:rFonts w:cs="Times New Roman"/>
          <w:sz w:val="21"/>
          <w:szCs w:val="21"/>
        </w:rPr>
        <w:t>[25] I. Bertoti, M. Mohai, J. Sullivan, S. Saied, Appl. Surf. Sci. 84 (1995) 357–371.</w:t>
      </w:r>
    </w:p>
    <w:p>
      <w:pPr>
        <w:spacing w:line="240" w:lineRule="auto"/>
        <w:ind w:left="420" w:hanging="420" w:hangingChars="200"/>
        <w:rPr>
          <w:rFonts w:cs="Times New Roman"/>
          <w:sz w:val="21"/>
          <w:szCs w:val="21"/>
        </w:rPr>
      </w:pPr>
      <w:r>
        <w:rPr>
          <w:rFonts w:cs="Times New Roman"/>
          <w:sz w:val="21"/>
          <w:szCs w:val="21"/>
        </w:rPr>
        <w:t>[26] P.O. Larsson, A. Andersson, L.R. Wallenberg, B. Svensson, J. Catal. 163 (1996)</w:t>
      </w:r>
    </w:p>
    <w:p>
      <w:pPr>
        <w:spacing w:line="240" w:lineRule="auto"/>
        <w:ind w:left="420" w:hanging="420" w:hangingChars="200"/>
        <w:rPr>
          <w:rFonts w:cs="Times New Roman"/>
          <w:sz w:val="21"/>
          <w:szCs w:val="21"/>
        </w:rPr>
      </w:pPr>
      <w:r>
        <w:rPr>
          <w:rFonts w:cs="Times New Roman"/>
          <w:sz w:val="21"/>
          <w:szCs w:val="21"/>
        </w:rPr>
        <w:t>279–293.</w:t>
      </w:r>
    </w:p>
    <w:p>
      <w:pPr>
        <w:spacing w:line="240" w:lineRule="auto"/>
        <w:ind w:left="420" w:hanging="420" w:hangingChars="200"/>
        <w:rPr>
          <w:rFonts w:cs="Times New Roman"/>
          <w:sz w:val="21"/>
          <w:szCs w:val="21"/>
        </w:rPr>
      </w:pPr>
      <w:r>
        <w:rPr>
          <w:rFonts w:cs="Times New Roman"/>
          <w:sz w:val="21"/>
          <w:szCs w:val="21"/>
        </w:rPr>
        <w:t>[27] M. Yasuoka, P. Wang, K. Zhang, Z. Qiu, K. Kusaka, Y.-S. Pyoun, R.-I. Murakami,</w:t>
      </w:r>
    </w:p>
    <w:p>
      <w:pPr>
        <w:spacing w:line="240" w:lineRule="auto"/>
        <w:ind w:left="420" w:hanging="420" w:hangingChars="200"/>
        <w:rPr>
          <w:rFonts w:cs="Times New Roman"/>
          <w:sz w:val="21"/>
          <w:szCs w:val="21"/>
        </w:rPr>
      </w:pPr>
      <w:r>
        <w:rPr>
          <w:rFonts w:cs="Times New Roman"/>
          <w:sz w:val="21"/>
          <w:szCs w:val="21"/>
        </w:rPr>
        <w:t>Surf. Coat. Technol. 218 (2013) 93–98.</w:t>
      </w:r>
    </w:p>
    <w:p>
      <w:pPr>
        <w:spacing w:line="240" w:lineRule="auto"/>
        <w:ind w:left="420" w:hanging="420" w:hangingChars="200"/>
        <w:rPr>
          <w:rFonts w:cs="Times New Roman"/>
          <w:sz w:val="21"/>
          <w:szCs w:val="21"/>
        </w:rPr>
      </w:pPr>
      <w:r>
        <w:rPr>
          <w:rFonts w:cs="Times New Roman"/>
          <w:sz w:val="21"/>
          <w:szCs w:val="21"/>
        </w:rPr>
        <w:t>[28] G. Liu, J. Lu, K. Lu, Mater. Sci. Eng. A 286 (2000) 91–95.</w:t>
      </w:r>
    </w:p>
    <w:p>
      <w:pPr>
        <w:spacing w:line="240" w:lineRule="auto"/>
        <w:ind w:left="420" w:hanging="420" w:hangingChars="200"/>
        <w:rPr>
          <w:rFonts w:cs="Times New Roman"/>
          <w:sz w:val="21"/>
          <w:szCs w:val="21"/>
        </w:rPr>
      </w:pPr>
      <w:r>
        <w:rPr>
          <w:rFonts w:cs="Times New Roman"/>
          <w:sz w:val="21"/>
          <w:szCs w:val="21"/>
        </w:rPr>
        <w:t>[29] A. Amanov, O.V. Penkov, Y.-S. Pyun, D.-E. Kim, Tribol. Int. 54 (2012) 106–113.</w:t>
      </w:r>
    </w:p>
    <w:p>
      <w:pPr>
        <w:spacing w:line="240" w:lineRule="auto"/>
        <w:ind w:left="420" w:hanging="420" w:hangingChars="200"/>
        <w:rPr>
          <w:rFonts w:cs="Times New Roman"/>
          <w:sz w:val="21"/>
          <w:szCs w:val="21"/>
        </w:rPr>
      </w:pPr>
      <w:r>
        <w:rPr>
          <w:rFonts w:cs="Times New Roman"/>
          <w:sz w:val="21"/>
          <w:szCs w:val="21"/>
        </w:rPr>
        <w:t>[30] David W. Heard, Julien Boselli, Roberto Rioja, Emmanuelle A. Marquis, Raynald</w:t>
      </w:r>
    </w:p>
    <w:p>
      <w:pPr>
        <w:spacing w:line="240" w:lineRule="auto"/>
        <w:ind w:left="420" w:hanging="420" w:hangingChars="200"/>
        <w:rPr>
          <w:rFonts w:cs="Times New Roman"/>
          <w:sz w:val="21"/>
          <w:szCs w:val="21"/>
        </w:rPr>
      </w:pPr>
      <w:r>
        <w:rPr>
          <w:rFonts w:cs="Times New Roman"/>
          <w:sz w:val="21"/>
          <w:szCs w:val="21"/>
        </w:rPr>
        <w:t>Gauvin, Mathieu Brochu, Acta Mater. 61 (2013) 1571–1580.</w:t>
      </w:r>
    </w:p>
    <w:p>
      <w:pPr>
        <w:spacing w:line="240" w:lineRule="auto"/>
        <w:ind w:left="420" w:hanging="420" w:hangingChars="200"/>
        <w:rPr>
          <w:rFonts w:cs="Times New Roman"/>
          <w:sz w:val="21"/>
          <w:szCs w:val="21"/>
        </w:rPr>
      </w:pPr>
      <w:r>
        <w:rPr>
          <w:rFonts w:cs="Times New Roman"/>
          <w:sz w:val="21"/>
          <w:szCs w:val="21"/>
        </w:rPr>
        <w:t>[31] W.A.N.G. Hong-wei, Z.H.U. Dong-dong, Z.O.U. Chun-ming, W.E.I. Zun-jie, Trans.</w:t>
      </w:r>
    </w:p>
    <w:p>
      <w:pPr>
        <w:spacing w:line="240" w:lineRule="auto"/>
        <w:ind w:left="420" w:hanging="420" w:hangingChars="200"/>
        <w:rPr>
          <w:rFonts w:cs="Times New Roman"/>
          <w:sz w:val="21"/>
          <w:szCs w:val="21"/>
        </w:rPr>
      </w:pPr>
      <w:r>
        <w:rPr>
          <w:rFonts w:cs="Times New Roman"/>
          <w:sz w:val="21"/>
          <w:szCs w:val="21"/>
        </w:rPr>
        <w:t>Nonferr. Met. Soc. China 21 (2011) s328–s332.</w:t>
      </w:r>
    </w:p>
    <w:p>
      <w:pPr>
        <w:spacing w:line="240" w:lineRule="auto"/>
        <w:ind w:left="420" w:hanging="420" w:hangingChars="200"/>
        <w:rPr>
          <w:rFonts w:cs="Times New Roman"/>
          <w:sz w:val="21"/>
          <w:szCs w:val="21"/>
        </w:rPr>
      </w:pPr>
      <w:r>
        <w:rPr>
          <w:rFonts w:cs="Times New Roman"/>
          <w:sz w:val="21"/>
          <w:szCs w:val="21"/>
        </w:rPr>
        <w:t>[32] S. Ahmaniemi, M. Vippola, P. Vuoristo, T. Mäntylä, M. Buchmann, R. Gadow,</w:t>
      </w:r>
    </w:p>
    <w:p>
      <w:pPr>
        <w:spacing w:line="240" w:lineRule="auto"/>
        <w:ind w:left="420" w:hanging="420" w:hangingChars="200"/>
        <w:rPr>
          <w:rFonts w:cs="Times New Roman"/>
          <w:sz w:val="21"/>
          <w:szCs w:val="21"/>
        </w:rPr>
      </w:pPr>
      <w:r>
        <w:rPr>
          <w:rFonts w:cs="Times New Roman"/>
          <w:sz w:val="21"/>
          <w:szCs w:val="21"/>
        </w:rPr>
        <w:t>Wear 252 (2002) 614–623.</w:t>
      </w:r>
    </w:p>
    <w:p>
      <w:pPr>
        <w:spacing w:line="240" w:lineRule="auto"/>
        <w:ind w:left="420" w:hanging="420" w:hangingChars="200"/>
        <w:rPr>
          <w:rFonts w:cs="Times New Roman"/>
          <w:sz w:val="21"/>
          <w:szCs w:val="21"/>
        </w:rPr>
      </w:pPr>
      <w:r>
        <w:rPr>
          <w:rFonts w:cs="Times New Roman"/>
          <w:sz w:val="21"/>
          <w:szCs w:val="21"/>
        </w:rPr>
        <w:t>[33] C.E.J. Dancer, N.A. Yahya, T. Berndt, R.I. Todd, G. de Portu, Tribol. Int. 74 (2014)</w:t>
      </w:r>
    </w:p>
    <w:p>
      <w:pPr>
        <w:spacing w:line="240" w:lineRule="auto"/>
        <w:ind w:left="420" w:hanging="420" w:hangingChars="200"/>
        <w:rPr>
          <w:rFonts w:cs="Times New Roman"/>
          <w:sz w:val="21"/>
          <w:szCs w:val="21"/>
        </w:rPr>
      </w:pPr>
      <w:r>
        <w:rPr>
          <w:rFonts w:cs="Times New Roman"/>
          <w:sz w:val="21"/>
          <w:szCs w:val="21"/>
        </w:rPr>
        <w:t>87–92.</w:t>
      </w:r>
    </w:p>
    <w:p>
      <w:pPr>
        <w:spacing w:line="240" w:lineRule="auto"/>
        <w:ind w:left="420" w:hanging="420" w:hangingChars="200"/>
        <w:rPr>
          <w:rFonts w:cs="Times New Roman"/>
          <w:sz w:val="21"/>
          <w:szCs w:val="21"/>
        </w:rPr>
      </w:pPr>
      <w:r>
        <w:rPr>
          <w:rFonts w:cs="Times New Roman"/>
          <w:sz w:val="21"/>
          <w:szCs w:val="21"/>
        </w:rPr>
        <w:t>[34] J.Z. Lu, K.Y. Luo, D.K. Yang, X.N. Cheng, J.L. Hu, F.Z. Dai, H. Qi, L. Zhang, J.S.</w:t>
      </w:r>
    </w:p>
    <w:p>
      <w:pPr>
        <w:spacing w:line="240" w:lineRule="auto"/>
        <w:ind w:left="420" w:hanging="420" w:hangingChars="200"/>
        <w:rPr>
          <w:rFonts w:cs="Times New Roman"/>
          <w:sz w:val="21"/>
          <w:szCs w:val="21"/>
        </w:rPr>
      </w:pPr>
      <w:r>
        <w:rPr>
          <w:rFonts w:cs="Times New Roman"/>
          <w:sz w:val="21"/>
          <w:szCs w:val="21"/>
        </w:rPr>
        <w:t>Zhong, Q.W. Wang, Y.K. Zhang, Corros. Sci. 60 (2012) 145–152.</w:t>
      </w:r>
    </w:p>
    <w:p>
      <w:pPr>
        <w:spacing w:line="240" w:lineRule="auto"/>
        <w:ind w:left="420" w:hanging="420" w:hangingChars="200"/>
        <w:rPr>
          <w:rFonts w:cs="Times New Roman"/>
          <w:sz w:val="21"/>
          <w:szCs w:val="21"/>
        </w:rPr>
      </w:pPr>
    </w:p>
    <w:p>
      <w:pPr>
        <w:spacing w:line="240" w:lineRule="auto"/>
        <w:ind w:left="420" w:hanging="420" w:hangingChars="200"/>
        <w:rPr>
          <w:rFonts w:cs="Times New Roman"/>
          <w:sz w:val="21"/>
          <w:szCs w:val="21"/>
        </w:rPr>
      </w:pPr>
    </w:p>
    <w:p>
      <w:pPr>
        <w:spacing w:line="240" w:lineRule="auto"/>
        <w:ind w:left="420" w:hanging="420" w:hangingChars="200"/>
        <w:rPr>
          <w:rFonts w:cs="Times New Roman"/>
          <w:sz w:val="21"/>
          <w:szCs w:val="21"/>
        </w:rPr>
      </w:pPr>
    </w:p>
    <w:p>
      <w:pPr>
        <w:spacing w:line="240" w:lineRule="auto"/>
        <w:ind w:left="420" w:hanging="420" w:hangingChars="200"/>
        <w:rPr>
          <w:rFonts w:cs="Times New Roman"/>
          <w:sz w:val="21"/>
          <w:szCs w:val="21"/>
        </w:rPr>
        <w:sectPr>
          <w:headerReference r:id="rId21" w:type="default"/>
          <w:footnotePr>
            <w:numFmt w:val="decimalEnclosedCircleChinese"/>
            <w:numRestart w:val="eachSect"/>
          </w:footnotePr>
          <w:pgSz w:w="11907" w:h="16840"/>
          <w:pgMar w:top="1418" w:right="1418" w:bottom="1418" w:left="1701" w:header="850" w:footer="850" w:gutter="0"/>
          <w:cols w:space="425" w:num="1"/>
          <w:docGrid w:linePitch="384" w:charSpace="7430"/>
        </w:sectPr>
      </w:pPr>
    </w:p>
    <w:p>
      <w:pPr>
        <w:spacing w:line="240" w:lineRule="auto"/>
        <w:ind w:left="420" w:hanging="420" w:hangingChars="200"/>
        <w:rPr>
          <w:rFonts w:cs="Times New Roman"/>
          <w:sz w:val="21"/>
          <w:szCs w:val="21"/>
        </w:rPr>
      </w:pPr>
    </w:p>
    <w:p>
      <w:pPr>
        <w:ind w:firstLine="0" w:firstLineChars="0"/>
        <w:jc w:val="center"/>
        <w:rPr>
          <w:rFonts w:cs="Times New Roman"/>
          <w:b/>
          <w:bCs/>
          <w:sz w:val="30"/>
          <w:szCs w:val="30"/>
        </w:rPr>
      </w:pPr>
      <w:r>
        <w:rPr>
          <w:rFonts w:cs="Times New Roman"/>
          <w:b/>
          <w:bCs/>
          <w:sz w:val="30"/>
          <w:szCs w:val="30"/>
        </w:rPr>
        <w:t>超声冲击处理与电火花沉积相结合制备Ti–6Al–4V涂层的可行性研究</w:t>
      </w:r>
    </w:p>
    <w:p>
      <w:pPr>
        <w:ind w:firstLine="480"/>
      </w:pPr>
    </w:p>
    <w:p>
      <w:pPr>
        <w:spacing w:after="100" w:afterAutospacing="1" w:line="240" w:lineRule="auto"/>
        <w:ind w:firstLine="0" w:firstLineChars="0"/>
        <w:jc w:val="center"/>
        <w:rPr>
          <w:b/>
          <w:bCs/>
          <w:sz w:val="32"/>
          <w:szCs w:val="32"/>
        </w:rPr>
      </w:pPr>
    </w:p>
    <w:p>
      <w:pPr>
        <w:spacing w:after="100" w:afterAutospacing="1" w:line="240" w:lineRule="auto"/>
        <w:ind w:firstLine="0" w:firstLineChars="0"/>
        <w:jc w:val="center"/>
        <w:rPr>
          <w:b/>
          <w:bCs/>
          <w:sz w:val="32"/>
          <w:szCs w:val="32"/>
        </w:rPr>
      </w:pPr>
      <w:r>
        <w:rPr>
          <w:b/>
          <w:bCs/>
          <w:sz w:val="32"/>
          <w:szCs w:val="32"/>
        </w:rPr>
        <w:t>Feasibility study on preparation of coatings on Ti–6Al–4V by combined</w:t>
      </w:r>
      <w:r>
        <w:rPr>
          <w:rFonts w:hint="eastAsia"/>
          <w:b/>
          <w:bCs/>
          <w:sz w:val="32"/>
          <w:szCs w:val="32"/>
        </w:rPr>
        <w:t xml:space="preserve"> </w:t>
      </w:r>
      <w:r>
        <w:rPr>
          <w:b/>
          <w:bCs/>
          <w:sz w:val="32"/>
          <w:szCs w:val="32"/>
        </w:rPr>
        <w:t>ultrasonic impact treatment and electrospark</w:t>
      </w:r>
      <w:r>
        <w:rPr>
          <w:rFonts w:hint="eastAsia"/>
          <w:b/>
          <w:bCs/>
          <w:sz w:val="32"/>
          <w:szCs w:val="32"/>
        </w:rPr>
        <w:t xml:space="preserve"> </w:t>
      </w:r>
      <w:r>
        <w:rPr>
          <w:b/>
          <w:bCs/>
          <w:sz w:val="32"/>
          <w:szCs w:val="32"/>
        </w:rPr>
        <w:t>deposition</w:t>
      </w:r>
    </w:p>
    <w:p>
      <w:pPr>
        <w:spacing w:after="100" w:afterAutospacing="1" w:line="240" w:lineRule="auto"/>
        <w:ind w:firstLine="0" w:firstLineChars="0"/>
        <w:jc w:val="center"/>
        <w:rPr>
          <w:b/>
          <w:bCs/>
          <w:sz w:val="32"/>
          <w:szCs w:val="32"/>
        </w:rPr>
      </w:pPr>
    </w:p>
    <w:p>
      <w:pPr>
        <w:spacing w:line="240" w:lineRule="auto"/>
        <w:ind w:left="482" w:hanging="482" w:hangingChars="200"/>
        <w:jc w:val="thaiDistribute"/>
        <w:rPr>
          <w:rFonts w:cs="Times New Roman"/>
          <w:bCs/>
          <w:szCs w:val="24"/>
        </w:rPr>
      </w:pPr>
      <w:r>
        <w:rPr>
          <w:b/>
          <w:bCs/>
          <w:szCs w:val="24"/>
        </w:rPr>
        <w:t>作者</w:t>
      </w:r>
      <w:r>
        <w:rPr>
          <w:rFonts w:hint="eastAsia"/>
          <w:b/>
          <w:bCs/>
          <w:szCs w:val="24"/>
        </w:rPr>
        <w:t>：</w:t>
      </w:r>
      <w:r>
        <w:rPr>
          <w:rFonts w:hint="eastAsia" w:cs="Times New Roman"/>
          <w:bCs/>
          <w:szCs w:val="24"/>
        </w:rPr>
        <w:t>Yang Liu, Dongpo Wang ⇑, Caiyan Deng, Lixing Huo, Lijun Wang, Shu Cao</w:t>
      </w:r>
    </w:p>
    <w:p>
      <w:pPr>
        <w:spacing w:line="240" w:lineRule="auto"/>
        <w:ind w:left="482" w:hanging="482" w:hangingChars="200"/>
        <w:jc w:val="thaiDistribute"/>
        <w:rPr>
          <w:rFonts w:cs="Times New Roman"/>
          <w:bCs/>
          <w:szCs w:val="24"/>
        </w:rPr>
      </w:pPr>
      <w:r>
        <w:rPr>
          <w:rFonts w:hint="eastAsia" w:cs="Times New Roman"/>
          <w:b/>
          <w:szCs w:val="24"/>
        </w:rPr>
        <w:t>起止页码</w:t>
      </w:r>
      <w:r>
        <w:rPr>
          <w:rFonts w:hint="eastAsia" w:cs="Times New Roman"/>
          <w:bCs/>
          <w:szCs w:val="24"/>
        </w:rPr>
        <w:t>：488-492</w:t>
      </w:r>
    </w:p>
    <w:p>
      <w:pPr>
        <w:spacing w:line="240" w:lineRule="auto"/>
        <w:ind w:left="482" w:hanging="482" w:hangingChars="200"/>
        <w:jc w:val="thaiDistribute"/>
        <w:rPr>
          <w:rFonts w:cs="Times New Roman"/>
          <w:bCs/>
          <w:szCs w:val="24"/>
        </w:rPr>
      </w:pPr>
      <w:r>
        <w:rPr>
          <w:rFonts w:hint="eastAsia" w:ascii="仿宋_GB2312" w:cs="宋体"/>
          <w:b/>
          <w:color w:val="000000"/>
          <w:kern w:val="0"/>
        </w:rPr>
        <w:t>出版日期（期刊号）：</w:t>
      </w:r>
      <w:r>
        <w:rPr>
          <w:rFonts w:hint="eastAsia" w:cs="Times New Roman"/>
          <w:bCs/>
          <w:szCs w:val="24"/>
        </w:rPr>
        <w:t>63 (2014)</w:t>
      </w:r>
    </w:p>
    <w:p>
      <w:pPr>
        <w:spacing w:line="240" w:lineRule="auto"/>
        <w:ind w:left="482" w:hanging="482" w:hangingChars="200"/>
        <w:jc w:val="thaiDistribute"/>
        <w:rPr>
          <w:rFonts w:cs="Times New Roman"/>
          <w:bCs/>
          <w:szCs w:val="24"/>
        </w:rPr>
      </w:pPr>
      <w:r>
        <w:rPr>
          <w:rFonts w:hint="eastAsia" w:ascii="仿宋_GB2312" w:cs="宋体"/>
          <w:b/>
          <w:color w:val="000000"/>
          <w:kern w:val="0"/>
        </w:rPr>
        <w:t>出版单位：</w:t>
      </w:r>
      <w:r>
        <w:rPr>
          <w:rFonts w:hint="eastAsia" w:cs="Times New Roman"/>
          <w:bCs/>
          <w:szCs w:val="24"/>
        </w:rPr>
        <w:t>Materials and Design</w:t>
      </w:r>
    </w:p>
    <w:p>
      <w:pPr>
        <w:spacing w:line="240" w:lineRule="auto"/>
        <w:ind w:left="480" w:hanging="480" w:hangingChars="200"/>
        <w:jc w:val="thaiDistribute"/>
        <w:rPr>
          <w:rFonts w:cs="Times New Roman"/>
          <w:bCs/>
          <w:szCs w:val="24"/>
        </w:rPr>
      </w:pPr>
    </w:p>
    <w:p>
      <w:pPr>
        <w:spacing w:after="100" w:afterAutospacing="1" w:line="240" w:lineRule="auto"/>
        <w:ind w:firstLine="0" w:firstLineChars="0"/>
        <w:jc w:val="center"/>
        <w:rPr>
          <w:b/>
          <w:bCs/>
          <w:sz w:val="32"/>
          <w:szCs w:val="32"/>
        </w:rPr>
        <w:sectPr>
          <w:headerReference r:id="rId22" w:type="default"/>
          <w:footerReference r:id="rId24" w:type="default"/>
          <w:headerReference r:id="rId23" w:type="even"/>
          <w:footerReference r:id="rId25" w:type="even"/>
          <w:footnotePr>
            <w:numFmt w:val="decimalEnclosedCircleChinese"/>
            <w:numRestart w:val="eachSect"/>
          </w:footnotePr>
          <w:pgSz w:w="11907" w:h="16840"/>
          <w:pgMar w:top="1418" w:right="1418" w:bottom="1418" w:left="1701" w:header="850" w:footer="850" w:gutter="0"/>
          <w:pgNumType w:fmt="upperRoman"/>
          <w:cols w:space="425" w:num="1"/>
          <w:docGrid w:linePitch="384" w:charSpace="7430"/>
        </w:sectPr>
      </w:pPr>
    </w:p>
    <w:p>
      <w:pPr>
        <w:ind w:firstLine="480"/>
      </w:pPr>
    </w:p>
    <w:p>
      <w:pPr>
        <w:pStyle w:val="2"/>
        <w:spacing w:before="240" w:after="480"/>
      </w:pPr>
      <w:bookmarkStart w:id="6" w:name="_Toc12087"/>
      <w:r>
        <w:rPr>
          <w:rFonts w:hint="eastAsia"/>
        </w:rPr>
        <w:t>摘要</w:t>
      </w:r>
      <w:bookmarkEnd w:id="6"/>
    </w:p>
    <w:p>
      <w:pPr>
        <w:ind w:firstLine="480"/>
      </w:pPr>
      <w:r>
        <w:rPr>
          <w:rFonts w:hint="eastAsia"/>
        </w:rPr>
        <w:t>采用超声冲击处理（</w:t>
      </w:r>
      <w:r>
        <w:t>UIT</w:t>
      </w:r>
      <w:r>
        <w:rPr>
          <w:rFonts w:hint="eastAsia"/>
        </w:rPr>
        <w:t>）与电火花沉积相结合的新方法在</w:t>
      </w:r>
      <w:r>
        <w:t>Ti–6Al–4V</w:t>
      </w:r>
      <w:r>
        <w:rPr>
          <w:rFonts w:hint="eastAsia"/>
        </w:rPr>
        <w:t>基体上制备涂层。研究了涂层的微观结构、相组成、残余应力、显微硬度和磨损性能，发现了新的非晶态和纳米晶相（碳化钛氮化物和铁钛氧化物）。此外，涂层和涂层附近基体中的残余应力为压应力。最大残余压应力约为？</w:t>
      </w:r>
      <w:r>
        <w:t>717</w:t>
      </w:r>
      <w:r>
        <w:rPr>
          <w:rFonts w:hint="eastAsia"/>
        </w:rPr>
        <w:t>兆帕，深度约</w:t>
      </w:r>
      <w:r>
        <w:t>470</w:t>
      </w:r>
      <w:r>
        <w:rPr>
          <w:rFonts w:hint="eastAsia"/>
        </w:rPr>
        <w:t>公尺。由于多种因素的影响，与基材相比，经过</w:t>
      </w:r>
      <w:r>
        <w:t>UIT</w:t>
      </w:r>
      <w:r>
        <w:rPr>
          <w:rFonts w:hint="eastAsia"/>
        </w:rPr>
        <w:t>和电火花联合处理的试样的磨损体积损失减少了四个数量级。</w:t>
      </w:r>
    </w:p>
    <w:p>
      <w:pPr>
        <w:ind w:firstLine="480"/>
      </w:pPr>
    </w:p>
    <w:p>
      <w:pPr>
        <w:pStyle w:val="20"/>
        <w:spacing w:before="0" w:beforeAutospacing="0" w:after="0" w:afterAutospacing="0" w:line="368" w:lineRule="atLeast"/>
        <w:ind w:firstLine="482"/>
        <w:jc w:val="both"/>
        <w:rPr>
          <w:rFonts w:ascii="Times New Roman" w:hAnsi="Times New Roman" w:cs="Times New Roman"/>
          <w:caps/>
          <w:kern w:val="2"/>
        </w:rPr>
      </w:pPr>
      <w:r>
        <w:rPr>
          <w:rFonts w:hint="eastAsia" w:ascii="Times New Roman" w:hAnsi="Times New Roman" w:cs="Times New Roman"/>
          <w:b/>
          <w:bCs/>
          <w:caps/>
          <w:kern w:val="2"/>
        </w:rPr>
        <w:t>关键词：</w:t>
      </w:r>
      <w:r>
        <w:rPr>
          <w:rFonts w:hint="eastAsia" w:ascii="Times New Roman" w:hAnsi="Times New Roman" w:cs="Times New Roman"/>
          <w:caps/>
          <w:kern w:val="2"/>
        </w:rPr>
        <w:t>涂层；</w:t>
      </w:r>
      <w:r>
        <w:rPr>
          <w:rFonts w:ascii="Times New Roman" w:hAnsi="Times New Roman" w:cs="Times New Roman"/>
          <w:caps/>
          <w:kern w:val="2"/>
        </w:rPr>
        <w:t>超声波冲击处理</w:t>
      </w:r>
      <w:r>
        <w:rPr>
          <w:rFonts w:hint="eastAsia" w:ascii="Times New Roman" w:hAnsi="Times New Roman" w:cs="Times New Roman"/>
          <w:caps/>
          <w:kern w:val="2"/>
        </w:rPr>
        <w:t>；</w:t>
      </w:r>
      <w:r>
        <w:rPr>
          <w:rFonts w:ascii="Times New Roman" w:hAnsi="Times New Roman" w:cs="Times New Roman"/>
          <w:caps/>
          <w:kern w:val="2"/>
        </w:rPr>
        <w:t>电火花加工</w:t>
      </w:r>
      <w:r>
        <w:rPr>
          <w:rFonts w:hint="eastAsia" w:ascii="Times New Roman" w:hAnsi="Times New Roman" w:cs="Times New Roman"/>
          <w:caps/>
          <w:kern w:val="2"/>
        </w:rPr>
        <w:t>；</w:t>
      </w:r>
      <w:r>
        <w:rPr>
          <w:rFonts w:ascii="Times New Roman" w:hAnsi="Times New Roman" w:cs="Times New Roman"/>
          <w:caps/>
          <w:kern w:val="2"/>
        </w:rPr>
        <w:t xml:space="preserve">非晶相 残余应力 </w:t>
      </w:r>
      <w:r>
        <w:rPr>
          <w:rFonts w:hint="eastAsia" w:ascii="Times New Roman" w:hAnsi="Times New Roman" w:cs="Times New Roman"/>
          <w:caps/>
          <w:kern w:val="2"/>
        </w:rPr>
        <w:t>磨损；</w:t>
      </w:r>
    </w:p>
    <w:p>
      <w:pPr>
        <w:pStyle w:val="20"/>
        <w:spacing w:before="0" w:beforeAutospacing="0" w:after="0" w:afterAutospacing="0" w:line="368" w:lineRule="atLeast"/>
        <w:ind w:firstLine="428"/>
        <w:jc w:val="both"/>
        <w:rPr>
          <w:rFonts w:ascii="Arial" w:hAnsi="Arial" w:cs="Arial"/>
          <w:spacing w:val="12"/>
          <w:sz w:val="19"/>
          <w:szCs w:val="19"/>
        </w:rPr>
      </w:pPr>
    </w:p>
    <w:p>
      <w:pPr>
        <w:pStyle w:val="20"/>
        <w:spacing w:before="0" w:beforeAutospacing="0" w:after="0" w:afterAutospacing="0" w:line="368" w:lineRule="atLeast"/>
        <w:ind w:firstLine="428"/>
        <w:jc w:val="both"/>
        <w:rPr>
          <w:rFonts w:ascii="Arial" w:hAnsi="Arial" w:cs="Arial"/>
          <w:spacing w:val="12"/>
          <w:sz w:val="19"/>
          <w:szCs w:val="19"/>
        </w:rPr>
      </w:pPr>
      <w:r>
        <w:rPr>
          <w:rFonts w:ascii="Arial" w:hAnsi="Arial" w:cs="Arial"/>
          <w:spacing w:val="12"/>
          <w:sz w:val="19"/>
          <w:szCs w:val="19"/>
        </w:rPr>
        <w:t xml:space="preserve"> </w:t>
      </w:r>
    </w:p>
    <w:p>
      <w:pPr>
        <w:pStyle w:val="20"/>
        <w:spacing w:before="0" w:beforeAutospacing="0" w:after="0" w:afterAutospacing="0" w:line="368" w:lineRule="atLeast"/>
        <w:ind w:firstLine="428"/>
        <w:jc w:val="both"/>
        <w:rPr>
          <w:rFonts w:ascii="Arial" w:hAnsi="Arial" w:cs="Arial"/>
          <w:spacing w:val="12"/>
          <w:sz w:val="19"/>
          <w:szCs w:val="19"/>
        </w:rPr>
      </w:pPr>
    </w:p>
    <w:p>
      <w:pPr>
        <w:ind w:firstLine="480"/>
      </w:pPr>
    </w:p>
    <w:p>
      <w:pPr>
        <w:ind w:firstLine="480"/>
        <w:sectPr>
          <w:headerReference r:id="rId26" w:type="default"/>
          <w:footerReference r:id="rId28" w:type="default"/>
          <w:headerReference r:id="rId27" w:type="even"/>
          <w:footerReference r:id="rId29" w:type="even"/>
          <w:footnotePr>
            <w:numFmt w:val="decimalEnclosedCircleChinese"/>
            <w:numRestart w:val="eachSect"/>
          </w:footnotePr>
          <w:pgSz w:w="11907" w:h="16840"/>
          <w:pgMar w:top="1418" w:right="1418" w:bottom="1418" w:left="1701" w:header="850" w:footer="850" w:gutter="0"/>
          <w:pgNumType w:fmt="upperRoman" w:start="1"/>
          <w:cols w:space="425" w:num="1"/>
          <w:docGrid w:linePitch="384" w:charSpace="7430"/>
        </w:sectPr>
      </w:pPr>
    </w:p>
    <w:sdt>
      <w:sdtPr>
        <w:rPr>
          <w:rFonts w:cstheme="minorBidi"/>
          <w:b w:val="0"/>
          <w:bCs w:val="0"/>
          <w:kern w:val="2"/>
          <w:sz w:val="24"/>
          <w:szCs w:val="22"/>
        </w:rPr>
        <w:id w:val="147476950"/>
        <w15:color w:val="DBDBDB"/>
        <w:docPartObj>
          <w:docPartGallery w:val="Table of Contents"/>
          <w:docPartUnique/>
        </w:docPartObj>
      </w:sdtPr>
      <w:sdtEndPr>
        <w:rPr>
          <w:rFonts w:hint="eastAsia" w:cstheme="minorBidi"/>
          <w:b/>
          <w:bCs w:val="0"/>
          <w:kern w:val="2"/>
          <w:sz w:val="24"/>
          <w:szCs w:val="22"/>
        </w:rPr>
      </w:sdtEndPr>
      <w:sdtContent>
        <w:p>
          <w:pPr>
            <w:pStyle w:val="2"/>
            <w:spacing w:before="240" w:after="480" w:line="480" w:lineRule="auto"/>
            <w:rPr>
              <w:sz w:val="24"/>
              <w:szCs w:val="24"/>
            </w:rPr>
          </w:pPr>
          <w:bookmarkStart w:id="7" w:name="_Toc19235"/>
          <w:r>
            <w:rPr>
              <w:sz w:val="24"/>
              <w:szCs w:val="24"/>
            </w:rPr>
            <w:t>目录</w:t>
          </w:r>
          <w:bookmarkEnd w:id="7"/>
        </w:p>
        <w:p>
          <w:pPr>
            <w:pStyle w:val="17"/>
            <w:tabs>
              <w:tab w:val="right" w:leader="dot" w:pos="8788"/>
            </w:tabs>
            <w:ind w:firstLine="480"/>
          </w:pPr>
          <w:r>
            <w:rPr>
              <w:rFonts w:hint="eastAsia"/>
              <w:szCs w:val="24"/>
            </w:rPr>
            <w:fldChar w:fldCharType="begin"/>
          </w:r>
          <w:r>
            <w:rPr>
              <w:rFonts w:hint="eastAsia"/>
              <w:szCs w:val="24"/>
            </w:rPr>
            <w:instrText xml:space="preserve">TOC \o "1-2" \h \u </w:instrText>
          </w:r>
          <w:r>
            <w:rPr>
              <w:rFonts w:hint="eastAsia"/>
              <w:szCs w:val="24"/>
            </w:rPr>
            <w:fldChar w:fldCharType="separate"/>
          </w:r>
          <w:r>
            <w:fldChar w:fldCharType="begin"/>
          </w:r>
          <w:r>
            <w:instrText xml:space="preserve"> HYPERLINK \l "_Toc12087" </w:instrText>
          </w:r>
          <w:r>
            <w:fldChar w:fldCharType="separate"/>
          </w:r>
          <w:r>
            <w:rPr>
              <w:rFonts w:hint="eastAsia"/>
            </w:rPr>
            <w:t>摘要</w:t>
          </w:r>
          <w:r>
            <w:tab/>
          </w:r>
          <w:r>
            <w:fldChar w:fldCharType="begin"/>
          </w:r>
          <w:r>
            <w:instrText xml:space="preserve"> PAGEREF _Toc12087 \h </w:instrText>
          </w:r>
          <w:r>
            <w:fldChar w:fldCharType="separate"/>
          </w:r>
          <w:r>
            <w:t>I</w:t>
          </w:r>
          <w:r>
            <w:fldChar w:fldCharType="end"/>
          </w:r>
          <w:r>
            <w:fldChar w:fldCharType="end"/>
          </w:r>
        </w:p>
        <w:p>
          <w:pPr>
            <w:pStyle w:val="17"/>
            <w:tabs>
              <w:tab w:val="right" w:leader="dot" w:pos="8788"/>
            </w:tabs>
            <w:ind w:firstLine="480"/>
          </w:pPr>
          <w:r>
            <w:fldChar w:fldCharType="begin"/>
          </w:r>
          <w:r>
            <w:instrText xml:space="preserve"> HYPERLINK \l "_Toc19235" </w:instrText>
          </w:r>
          <w:r>
            <w:fldChar w:fldCharType="separate"/>
          </w:r>
          <w:r>
            <w:rPr>
              <w:szCs w:val="24"/>
            </w:rPr>
            <w:t>目录</w:t>
          </w:r>
          <w:r>
            <w:tab/>
          </w:r>
          <w:r>
            <w:fldChar w:fldCharType="begin"/>
          </w:r>
          <w:r>
            <w:instrText xml:space="preserve"> PAGEREF _Toc19235 \h </w:instrText>
          </w:r>
          <w:r>
            <w:fldChar w:fldCharType="separate"/>
          </w:r>
          <w:r>
            <w:t>II</w:t>
          </w:r>
          <w:r>
            <w:fldChar w:fldCharType="end"/>
          </w:r>
          <w:r>
            <w:fldChar w:fldCharType="end"/>
          </w:r>
        </w:p>
        <w:p>
          <w:pPr>
            <w:pStyle w:val="17"/>
            <w:tabs>
              <w:tab w:val="right" w:leader="dot" w:pos="8788"/>
            </w:tabs>
            <w:ind w:firstLine="480"/>
          </w:pPr>
          <w:r>
            <w:fldChar w:fldCharType="begin"/>
          </w:r>
          <w:r>
            <w:instrText xml:space="preserve"> HYPERLINK \l "_Toc7845" </w:instrText>
          </w:r>
          <w:r>
            <w:fldChar w:fldCharType="separate"/>
          </w:r>
          <w:r>
            <w:t>1. 导言</w:t>
          </w:r>
          <w:r>
            <w:tab/>
          </w:r>
          <w:r>
            <w:fldChar w:fldCharType="begin"/>
          </w:r>
          <w:r>
            <w:instrText xml:space="preserve"> PAGEREF _Toc7845 \h </w:instrText>
          </w:r>
          <w:r>
            <w:fldChar w:fldCharType="separate"/>
          </w:r>
          <w:r>
            <w:t>1</w:t>
          </w:r>
          <w:r>
            <w:fldChar w:fldCharType="end"/>
          </w:r>
          <w:r>
            <w:fldChar w:fldCharType="end"/>
          </w:r>
        </w:p>
        <w:p>
          <w:pPr>
            <w:pStyle w:val="17"/>
            <w:tabs>
              <w:tab w:val="right" w:leader="dot" w:pos="8788"/>
            </w:tabs>
            <w:ind w:firstLine="480"/>
          </w:pPr>
          <w:r>
            <w:fldChar w:fldCharType="begin"/>
          </w:r>
          <w:r>
            <w:instrText xml:space="preserve"> HYPERLINK \l "_Toc27385" </w:instrText>
          </w:r>
          <w:r>
            <w:fldChar w:fldCharType="separate"/>
          </w:r>
          <w:r>
            <w:t>2. 实验与原理</w:t>
          </w:r>
          <w:r>
            <w:tab/>
          </w:r>
          <w:r>
            <w:fldChar w:fldCharType="begin"/>
          </w:r>
          <w:r>
            <w:instrText xml:space="preserve"> PAGEREF _Toc27385 \h </w:instrText>
          </w:r>
          <w:r>
            <w:fldChar w:fldCharType="separate"/>
          </w:r>
          <w:r>
            <w:t>2</w:t>
          </w:r>
          <w:r>
            <w:fldChar w:fldCharType="end"/>
          </w:r>
          <w:r>
            <w:fldChar w:fldCharType="end"/>
          </w:r>
        </w:p>
        <w:p>
          <w:pPr>
            <w:pStyle w:val="17"/>
            <w:tabs>
              <w:tab w:val="right" w:leader="dot" w:pos="8788"/>
            </w:tabs>
            <w:ind w:firstLine="480"/>
          </w:pPr>
          <w:r>
            <w:fldChar w:fldCharType="begin"/>
          </w:r>
          <w:r>
            <w:instrText xml:space="preserve"> HYPERLINK \l "_Toc15201" </w:instrText>
          </w:r>
          <w:r>
            <w:fldChar w:fldCharType="separate"/>
          </w:r>
          <w:r>
            <w:t>3. 结果与讨论</w:t>
          </w:r>
          <w:r>
            <w:tab/>
          </w:r>
          <w:r>
            <w:fldChar w:fldCharType="begin"/>
          </w:r>
          <w:r>
            <w:instrText xml:space="preserve"> PAGEREF _Toc15201 \h </w:instrText>
          </w:r>
          <w:r>
            <w:fldChar w:fldCharType="separate"/>
          </w:r>
          <w:r>
            <w:t>4</w:t>
          </w:r>
          <w:r>
            <w:fldChar w:fldCharType="end"/>
          </w:r>
          <w:r>
            <w:fldChar w:fldCharType="end"/>
          </w:r>
        </w:p>
        <w:p>
          <w:pPr>
            <w:pStyle w:val="17"/>
            <w:tabs>
              <w:tab w:val="right" w:leader="dot" w:pos="8788"/>
            </w:tabs>
            <w:ind w:firstLine="480"/>
          </w:pPr>
          <w:r>
            <w:fldChar w:fldCharType="begin"/>
          </w:r>
          <w:r>
            <w:instrText xml:space="preserve"> HYPERLINK \l "_Toc19504" </w:instrText>
          </w:r>
          <w:r>
            <w:fldChar w:fldCharType="separate"/>
          </w:r>
          <w:r>
            <w:t>4. 结论</w:t>
          </w:r>
          <w:r>
            <w:tab/>
          </w:r>
          <w:r>
            <w:fldChar w:fldCharType="begin"/>
          </w:r>
          <w:r>
            <w:instrText xml:space="preserve"> PAGEREF _Toc19504 \h </w:instrText>
          </w:r>
          <w:r>
            <w:fldChar w:fldCharType="separate"/>
          </w:r>
          <w:r>
            <w:t>9</w:t>
          </w:r>
          <w:r>
            <w:fldChar w:fldCharType="end"/>
          </w:r>
          <w:r>
            <w:fldChar w:fldCharType="end"/>
          </w:r>
        </w:p>
        <w:p>
          <w:pPr>
            <w:pStyle w:val="17"/>
            <w:tabs>
              <w:tab w:val="right" w:leader="dot" w:pos="8788"/>
            </w:tabs>
            <w:ind w:firstLine="480"/>
          </w:pPr>
          <w:r>
            <w:fldChar w:fldCharType="begin"/>
          </w:r>
          <w:r>
            <w:instrText xml:space="preserve"> HYPERLINK \l "_Toc27933" </w:instrText>
          </w:r>
          <w:r>
            <w:fldChar w:fldCharType="separate"/>
          </w:r>
          <w:r>
            <w:rPr>
              <w:rFonts w:hint="eastAsia"/>
            </w:rPr>
            <w:t>参考文献</w:t>
          </w:r>
          <w:r>
            <w:tab/>
          </w:r>
          <w:r>
            <w:fldChar w:fldCharType="begin"/>
          </w:r>
          <w:r>
            <w:instrText xml:space="preserve"> PAGEREF _Toc27933 \h </w:instrText>
          </w:r>
          <w:r>
            <w:fldChar w:fldCharType="separate"/>
          </w:r>
          <w:r>
            <w:t>10</w:t>
          </w:r>
          <w:r>
            <w:fldChar w:fldCharType="end"/>
          </w:r>
          <w:r>
            <w:fldChar w:fldCharType="end"/>
          </w:r>
        </w:p>
        <w:p>
          <w:pPr>
            <w:spacing w:line="480" w:lineRule="auto"/>
            <w:ind w:firstLine="480"/>
            <w:sectPr>
              <w:headerReference r:id="rId30" w:type="default"/>
              <w:footerReference r:id="rId32" w:type="default"/>
              <w:headerReference r:id="rId31" w:type="even"/>
              <w:footerReference r:id="rId33" w:type="even"/>
              <w:footnotePr>
                <w:numFmt w:val="decimalEnclosedCircleChinese"/>
                <w:numRestart w:val="eachSect"/>
              </w:footnotePr>
              <w:pgSz w:w="11907" w:h="16840"/>
              <w:pgMar w:top="1418" w:right="1418" w:bottom="1418" w:left="1701" w:header="850" w:footer="850" w:gutter="0"/>
              <w:pgNumType w:fmt="upperRoman"/>
              <w:cols w:space="425" w:num="1"/>
              <w:docGrid w:linePitch="384" w:charSpace="7430"/>
            </w:sectPr>
          </w:pPr>
          <w:r>
            <w:rPr>
              <w:rFonts w:hint="eastAsia"/>
              <w:szCs w:val="24"/>
            </w:rPr>
            <w:fldChar w:fldCharType="end"/>
          </w:r>
        </w:p>
      </w:sdtContent>
    </w:sdt>
    <w:p>
      <w:pPr>
        <w:ind w:firstLine="0" w:firstLineChars="0"/>
      </w:pPr>
    </w:p>
    <w:p>
      <w:pPr>
        <w:pStyle w:val="2"/>
        <w:numPr>
          <w:ilvl w:val="0"/>
          <w:numId w:val="2"/>
        </w:numPr>
        <w:spacing w:before="240" w:after="480"/>
      </w:pPr>
      <w:bookmarkStart w:id="8" w:name="_Toc7845"/>
      <w:r>
        <w:t>导言</w:t>
      </w:r>
      <w:bookmarkEnd w:id="8"/>
    </w:p>
    <w:p>
      <w:pPr>
        <w:ind w:firstLine="480"/>
      </w:pPr>
      <w:r>
        <w:rPr>
          <w:rFonts w:hint="eastAsia"/>
        </w:rPr>
        <w:t>钛及其合金因其优异的机械性能（高强度和耐疲劳性）和化学稳定性（耐腐蚀性）而广泛应用于航空和航天技术。然而，钛合金的摩擦学性能较差，这降低了其可能的使用范围</w:t>
      </w:r>
      <w:r>
        <w:t>[1]</w:t>
      </w:r>
      <w:r>
        <w:rPr>
          <w:rFonts w:hint="eastAsia"/>
        </w:rPr>
        <w:t>。为了提高材料的耐磨性，已经开发了许多表面改性方法，如机械铣削</w:t>
      </w:r>
      <w:r>
        <w:t>[2]</w:t>
      </w:r>
      <w:r>
        <w:rPr>
          <w:rFonts w:hint="eastAsia"/>
        </w:rPr>
        <w:t>、粉末烧结</w:t>
      </w:r>
      <w:r>
        <w:t>[3]</w:t>
      </w:r>
      <w:r>
        <w:rPr>
          <w:rFonts w:hint="eastAsia"/>
        </w:rPr>
        <w:t>、电火花沉积</w:t>
      </w:r>
      <w:r>
        <w:t>[4]</w:t>
      </w:r>
      <w:r>
        <w:rPr>
          <w:rFonts w:hint="eastAsia"/>
        </w:rPr>
        <w:t>、物理气相沉积</w:t>
      </w:r>
      <w:r>
        <w:t>[5]</w:t>
      </w:r>
      <w:r>
        <w:rPr>
          <w:rFonts w:hint="eastAsia"/>
        </w:rPr>
        <w:t>、等离子体浸没离子注入</w:t>
      </w:r>
      <w:r>
        <w:t>[6]</w:t>
      </w:r>
      <w:r>
        <w:rPr>
          <w:rFonts w:hint="eastAsia"/>
        </w:rPr>
        <w:t>、激光熔覆</w:t>
      </w:r>
      <w:r>
        <w:t>[7]</w:t>
      </w:r>
      <w:r>
        <w:rPr>
          <w:rFonts w:hint="eastAsia"/>
        </w:rPr>
        <w:t>和微弧放电氧化</w:t>
      </w:r>
      <w:r>
        <w:t>[8]</w:t>
      </w:r>
      <w:r>
        <w:rPr>
          <w:rFonts w:hint="eastAsia"/>
        </w:rPr>
        <w:t>。</w:t>
      </w:r>
    </w:p>
    <w:p>
      <w:pPr>
        <w:ind w:firstLine="480"/>
      </w:pPr>
      <w:r>
        <w:rPr>
          <w:rFonts w:hint="eastAsia"/>
        </w:rPr>
        <w:t>超声波冲击处理（</w:t>
      </w:r>
      <w:r>
        <w:t>UIT</w:t>
      </w:r>
      <w:r>
        <w:rPr>
          <w:rFonts w:hint="eastAsia"/>
        </w:rPr>
        <w:t>）</w:t>
      </w:r>
      <w:r>
        <w:t>[9]</w:t>
      </w:r>
      <w:r>
        <w:rPr>
          <w:rFonts w:hint="eastAsia"/>
        </w:rPr>
        <w:t>最初是作为一种方法开发的，用于缓解焊接残余应力，降低焊趾的应力集中系数，并形成压缩残余应力，以改善焊接结构的疲劳性能</w:t>
      </w:r>
      <w:r>
        <w:t>[10–13]</w:t>
      </w:r>
      <w:r>
        <w:rPr>
          <w:rFonts w:hint="eastAsia"/>
        </w:rPr>
        <w:t>。近年来，</w:t>
      </w:r>
      <w:r>
        <w:t>UIT</w:t>
      </w:r>
      <w:r>
        <w:rPr>
          <w:rFonts w:hint="eastAsia"/>
        </w:rPr>
        <w:t>及其变体已用于材料的表面自纳米化改性</w:t>
      </w:r>
      <w:r>
        <w:t>[14]</w:t>
      </w:r>
      <w:r>
        <w:rPr>
          <w:rFonts w:hint="eastAsia"/>
        </w:rPr>
        <w:t>。然而，由于</w:t>
      </w:r>
      <w:r>
        <w:t>UIT</w:t>
      </w:r>
      <w:r>
        <w:rPr>
          <w:rFonts w:hint="eastAsia"/>
        </w:rPr>
        <w:t>是一种不会改变元素组成的表面机械处理，因此</w:t>
      </w:r>
      <w:r>
        <w:t>UIT</w:t>
      </w:r>
      <w:r>
        <w:rPr>
          <w:rFonts w:hint="eastAsia"/>
        </w:rPr>
        <w:t>表面改性的应用范围受到很大限制。与</w:t>
      </w:r>
      <w:r>
        <w:t>UIT</w:t>
      </w:r>
      <w:r>
        <w:rPr>
          <w:rFonts w:hint="eastAsia"/>
        </w:rPr>
        <w:t>相比，电火花沉积可以很容易地将电极或其他元素转移到目标</w:t>
      </w:r>
      <w:r>
        <w:t>[15,16]</w:t>
      </w:r>
      <w:r>
        <w:rPr>
          <w:rFonts w:hint="eastAsia"/>
        </w:rPr>
        <w:t>。然而，在常规沉积过程中，它会产生熔池，并且由于熔池凝固而在涂层中产生的拉伸残余应力会产生较大的应力对磨损、疲劳和应力腐蚀性能的潜在负面影响</w:t>
      </w:r>
      <w:r>
        <w:t>[17]</w:t>
      </w:r>
    </w:p>
    <w:p>
      <w:pPr>
        <w:ind w:firstLine="480"/>
        <w:sectPr>
          <w:headerReference r:id="rId34" w:type="default"/>
          <w:footerReference r:id="rId35" w:type="default"/>
          <w:footerReference r:id="rId36"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rPr>
          <w:rFonts w:hint="eastAsia"/>
        </w:rPr>
        <w:t>这篇短文探讨了通过组合电路和电火花沉积制备涂层的可行性。详细研究了涂层的显微组织、显微硬度、残余应力和磨损性能。</w:t>
      </w:r>
    </w:p>
    <w:p>
      <w:pPr>
        <w:ind w:firstLine="480"/>
      </w:pPr>
    </w:p>
    <w:p>
      <w:pPr>
        <w:pStyle w:val="2"/>
        <w:numPr>
          <w:ilvl w:val="0"/>
          <w:numId w:val="2"/>
        </w:numPr>
        <w:spacing w:before="240" w:after="480"/>
      </w:pPr>
      <w:bookmarkStart w:id="9" w:name="_Toc27385"/>
      <w:r>
        <w:t>实验与原理</w:t>
      </w:r>
      <w:bookmarkEnd w:id="9"/>
    </w:p>
    <w:p>
      <w:pPr>
        <w:ind w:firstLine="480"/>
      </w:pPr>
      <w:r>
        <w:rPr>
          <w:rFonts w:hint="eastAsia"/>
        </w:rPr>
        <w:t>采用自行研制的</w:t>
      </w:r>
      <w:r>
        <w:t>UIT</w:t>
      </w:r>
      <w:r>
        <w:rPr>
          <w:rFonts w:hint="eastAsia"/>
        </w:rPr>
        <w:t>和电火花复合沉积设备制备了涂层。图</w:t>
      </w:r>
      <w:r>
        <w:t>1a</w:t>
      </w:r>
      <w:r>
        <w:rPr>
          <w:rFonts w:hint="eastAsia"/>
        </w:rPr>
        <w:t>中显示了组合</w:t>
      </w:r>
      <w:r>
        <w:t>UIT</w:t>
      </w:r>
      <w:r>
        <w:rPr>
          <w:rFonts w:hint="eastAsia"/>
        </w:rPr>
        <w:t>和电火花加工的典型照片。组合处理设备的原理可描述如下（图</w:t>
      </w:r>
      <w:r>
        <w:t>1b</w:t>
      </w:r>
      <w:r>
        <w:rPr>
          <w:rFonts w:hint="eastAsia"/>
        </w:rPr>
        <w:t>）。超声换能器将来自超声发生器的电能转换为频率为</w:t>
      </w:r>
      <w:r>
        <w:t>20 kHz</w:t>
      </w:r>
      <w:r>
        <w:rPr>
          <w:rFonts w:hint="eastAsia"/>
        </w:rPr>
        <w:t>的超声振动。在静压下，冲击球在超声换能器和目标表面之间快速振动。冲击球由钢（</w:t>
      </w:r>
      <w:r>
        <w:t>GCr15</w:t>
      </w:r>
      <w:r>
        <w:rPr>
          <w:rFonts w:hint="eastAsia"/>
        </w:rPr>
        <w:t>）制成，直径为</w:t>
      </w:r>
      <w:r>
        <w:t>15 mm</w:t>
      </w:r>
      <w:r>
        <w:rPr>
          <w:rFonts w:hint="eastAsia"/>
        </w:rPr>
        <w:t>。其化学成分（重量百分比）为</w:t>
      </w:r>
      <w:r>
        <w:t>0.98%C</w:t>
      </w:r>
      <w:r>
        <w:rPr>
          <w:rFonts w:hint="eastAsia"/>
        </w:rPr>
        <w:t>、</w:t>
      </w:r>
      <w:r>
        <w:t>1.51%Cr</w:t>
      </w:r>
      <w:r>
        <w:rPr>
          <w:rFonts w:hint="eastAsia"/>
        </w:rPr>
        <w:t>、</w:t>
      </w:r>
      <w:r>
        <w:t>0.15%Si</w:t>
      </w:r>
      <w:r>
        <w:rPr>
          <w:rFonts w:hint="eastAsia"/>
        </w:rPr>
        <w:t>、</w:t>
      </w:r>
      <w:r>
        <w:t>0.36%Mn</w:t>
      </w:r>
      <w:r>
        <w:rPr>
          <w:rFonts w:hint="eastAsia"/>
        </w:rPr>
        <w:t>和平衡铁。为了将电火花工艺与</w:t>
      </w:r>
      <w:r>
        <w:t>UIT</w:t>
      </w:r>
      <w:r>
        <w:rPr>
          <w:rFonts w:hint="eastAsia"/>
        </w:rPr>
        <w:t>相结合，在</w:t>
      </w:r>
      <w:r>
        <w:t>UIT</w:t>
      </w:r>
      <w:r>
        <w:rPr>
          <w:rFonts w:hint="eastAsia"/>
        </w:rPr>
        <w:t>过程中，目标和冲击球分别连接到直流电源的阳极和阴极。</w:t>
      </w:r>
    </w:p>
    <w:p>
      <w:pPr>
        <w:ind w:firstLine="0" w:firstLineChars="0"/>
      </w:pPr>
      <w:r>
        <w:drawing>
          <wp:inline distT="0" distB="0" distL="114300" distR="114300">
            <wp:extent cx="5572125" cy="3018155"/>
            <wp:effectExtent l="0" t="0" r="5715" b="146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7"/>
                    <a:stretch>
                      <a:fillRect/>
                    </a:stretch>
                  </pic:blipFill>
                  <pic:spPr>
                    <a:xfrm>
                      <a:off x="0" y="0"/>
                      <a:ext cx="5572125" cy="3018155"/>
                    </a:xfrm>
                    <a:prstGeom prst="rect">
                      <a:avLst/>
                    </a:prstGeom>
                    <a:noFill/>
                    <a:ln>
                      <a:noFill/>
                    </a:ln>
                  </pic:spPr>
                </pic:pic>
              </a:graphicData>
            </a:graphic>
          </wp:inline>
        </w:drawing>
      </w:r>
    </w:p>
    <w:p>
      <w:pPr>
        <w:pStyle w:val="9"/>
        <w:ind w:firstLine="400"/>
      </w:pPr>
      <w:r>
        <w:t xml:space="preserve">图 </w:t>
      </w:r>
      <w:r>
        <w:rPr>
          <w:rFonts w:hint="eastAsia"/>
        </w:rPr>
        <w:t xml:space="preserve">1 </w:t>
      </w:r>
      <w:r>
        <w:t>（a） 组合工艺的典型照片，（b）实验示意图，（c）组合工艺和电火花工艺的原理。</w:t>
      </w:r>
    </w:p>
    <w:p>
      <w:pPr>
        <w:pStyle w:val="9"/>
        <w:ind w:firstLine="0" w:firstLineChars="0"/>
      </w:pPr>
    </w:p>
    <w:p>
      <w:pPr>
        <w:ind w:firstLine="480"/>
      </w:pPr>
      <w:r>
        <w:rPr>
          <w:rFonts w:hint="eastAsia"/>
        </w:rPr>
        <w:t>组合工艺的原理如图</w:t>
      </w:r>
      <w:r>
        <w:t>1c</w:t>
      </w:r>
      <w:r>
        <w:rPr>
          <w:rFonts w:hint="eastAsia"/>
        </w:rPr>
        <w:t>所示。当冲击球接触目标（冲击过程）时，电路中存在短路。在冲击过程中，目标表面会发生各种变化，如塑性变形和残余压应力的引入。然后，当冲击球反弹目标时，它们之间形成电火花（电火花过程）。该过程相当于电弧焊中的接触引弧过程。电火花加热在靶材表面形成微尺度熔池，电火花区的冷却液和空气电离。因此，在微尺度熔池中有许多元素来自基板、电极、冷却液和空气。在随后的碰撞过程中，电火花熄灭。周围的冷却液导致微尺度熔池快速凝固。同时，目标再次受到</w:t>
      </w:r>
      <w:r>
        <w:t>UIT</w:t>
      </w:r>
      <w:r>
        <w:rPr>
          <w:rFonts w:hint="eastAsia"/>
        </w:rPr>
        <w:t>的影响。然后，冲击球从目标弹回，电火花再次出现。冲击过程和电火花过程在循环中继续，构成组合过程。</w:t>
      </w:r>
    </w:p>
    <w:p>
      <w:pPr>
        <w:ind w:firstLine="480"/>
      </w:pPr>
      <w:r>
        <w:rPr>
          <w:rFonts w:hint="eastAsia"/>
        </w:rPr>
        <w:t>将厚度为</w:t>
      </w:r>
      <w:r>
        <w:t>3mm</w:t>
      </w:r>
      <w:r>
        <w:rPr>
          <w:rFonts w:hint="eastAsia"/>
        </w:rPr>
        <w:t>的</w:t>
      </w:r>
      <w:r>
        <w:t>Ti–6Al–4V</w:t>
      </w:r>
      <w:r>
        <w:rPr>
          <w:rFonts w:hint="eastAsia"/>
        </w:rPr>
        <w:t>基板切割成尺寸为</w:t>
      </w:r>
      <w:r>
        <w:t>60mm</w:t>
      </w:r>
      <w:r>
        <w:rPr>
          <w:rFonts w:hint="eastAsia"/>
        </w:rPr>
        <w:t>的矩形？</w:t>
      </w:r>
      <w:r>
        <w:t>30 mm</w:t>
      </w:r>
      <w:r>
        <w:rPr>
          <w:rFonts w:hint="eastAsia"/>
        </w:rPr>
        <w:t>，并使用</w:t>
      </w:r>
      <w:r>
        <w:t>SiC</w:t>
      </w:r>
      <w:r>
        <w:rPr>
          <w:rFonts w:hint="eastAsia"/>
        </w:rPr>
        <w:t>砂纸研磨至</w:t>
      </w:r>
      <w:r>
        <w:t>600</w:t>
      </w:r>
      <w:r>
        <w:rPr>
          <w:rFonts w:hint="eastAsia"/>
        </w:rPr>
        <w:t>粒度，以便进行联合</w:t>
      </w:r>
      <w:r>
        <w:t>UIT</w:t>
      </w:r>
      <w:r>
        <w:rPr>
          <w:rFonts w:hint="eastAsia"/>
        </w:rPr>
        <w:t>和电火花加工。其化学成分（重量百分比）为</w:t>
      </w:r>
      <w:r>
        <w:t>90.31%</w:t>
      </w:r>
      <w:r>
        <w:rPr>
          <w:rFonts w:hint="eastAsia"/>
        </w:rPr>
        <w:t>的</w:t>
      </w:r>
      <w:r>
        <w:t>Ti</w:t>
      </w:r>
      <w:r>
        <w:rPr>
          <w:rFonts w:hint="eastAsia"/>
        </w:rPr>
        <w:t>、</w:t>
      </w:r>
      <w:r>
        <w:t>6.13%</w:t>
      </w:r>
      <w:r>
        <w:rPr>
          <w:rFonts w:hint="eastAsia"/>
        </w:rPr>
        <w:t>的</w:t>
      </w:r>
      <w:r>
        <w:t>Al</w:t>
      </w:r>
      <w:r>
        <w:rPr>
          <w:rFonts w:hint="eastAsia"/>
        </w:rPr>
        <w:t>和</w:t>
      </w:r>
      <w:r>
        <w:t>3.56%</w:t>
      </w:r>
      <w:r>
        <w:rPr>
          <w:rFonts w:hint="eastAsia"/>
        </w:rPr>
        <w:t>的</w:t>
      </w:r>
      <w:r>
        <w:t>V</w:t>
      </w:r>
      <w:r>
        <w:rPr>
          <w:rFonts w:hint="eastAsia"/>
        </w:rPr>
        <w:t>。表</w:t>
      </w:r>
      <w:r>
        <w:t>1</w:t>
      </w:r>
      <w:r>
        <w:rPr>
          <w:rFonts w:hint="eastAsia"/>
        </w:rPr>
        <w:t>列出了组合工艺中的参数详情。冷却液是电火花加工的切削液。</w:t>
      </w:r>
    </w:p>
    <w:p>
      <w:pPr>
        <w:pStyle w:val="9"/>
        <w:ind w:firstLine="400"/>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t>UIT和电火花联合工艺中的参数详情</w:t>
      </w:r>
    </w:p>
    <w:tbl>
      <w:tblPr>
        <w:tblStyle w:val="22"/>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75" w:hRule="atLeast"/>
        </w:trPr>
        <w:tc>
          <w:tcPr>
            <w:tcW w:w="1800" w:type="dxa"/>
            <w:tcBorders>
              <w:tl2br w:val="nil"/>
              <w:tr2bl w:val="nil"/>
            </w:tcBorders>
          </w:tcPr>
          <w:p>
            <w:pPr>
              <w:spacing w:line="240" w:lineRule="auto"/>
              <w:ind w:firstLine="0" w:firstLineChars="0"/>
              <w:jc w:val="center"/>
            </w:pPr>
            <w:r>
              <w:t>传感器振幅（lm）</w:t>
            </w:r>
          </w:p>
          <w:p>
            <w:pPr>
              <w:spacing w:line="240" w:lineRule="auto"/>
              <w:ind w:firstLine="480"/>
              <w:jc w:val="center"/>
            </w:pPr>
          </w:p>
        </w:tc>
        <w:tc>
          <w:tcPr>
            <w:tcW w:w="1801" w:type="dxa"/>
            <w:tcBorders>
              <w:tl2br w:val="nil"/>
              <w:tr2bl w:val="nil"/>
            </w:tcBorders>
          </w:tcPr>
          <w:p>
            <w:pPr>
              <w:spacing w:line="240" w:lineRule="auto"/>
              <w:ind w:firstLine="0" w:firstLineChars="0"/>
              <w:jc w:val="center"/>
            </w:pPr>
            <w:r>
              <w:t>静压（N）</w:t>
            </w:r>
          </w:p>
          <w:p>
            <w:pPr>
              <w:spacing w:line="240" w:lineRule="auto"/>
              <w:ind w:firstLine="480"/>
              <w:jc w:val="center"/>
            </w:pPr>
          </w:p>
        </w:tc>
        <w:tc>
          <w:tcPr>
            <w:tcW w:w="1801" w:type="dxa"/>
            <w:tcBorders>
              <w:tl2br w:val="nil"/>
              <w:tr2bl w:val="nil"/>
            </w:tcBorders>
          </w:tcPr>
          <w:p>
            <w:pPr>
              <w:spacing w:line="240" w:lineRule="auto"/>
              <w:ind w:firstLine="0" w:firstLineChars="0"/>
              <w:jc w:val="center"/>
            </w:pPr>
            <w:r>
              <w:t>UIT的进给速度（mm/min）</w:t>
            </w:r>
          </w:p>
          <w:p>
            <w:pPr>
              <w:spacing w:line="240" w:lineRule="auto"/>
              <w:ind w:firstLine="480"/>
              <w:jc w:val="center"/>
            </w:pPr>
          </w:p>
        </w:tc>
        <w:tc>
          <w:tcPr>
            <w:tcW w:w="1801" w:type="dxa"/>
            <w:tcBorders>
              <w:tl2br w:val="nil"/>
              <w:tr2bl w:val="nil"/>
            </w:tcBorders>
          </w:tcPr>
          <w:p>
            <w:pPr>
              <w:spacing w:line="240" w:lineRule="auto"/>
              <w:ind w:firstLine="0" w:firstLineChars="0"/>
              <w:jc w:val="center"/>
            </w:pPr>
            <w:r>
              <w:t>UIT的步距（mm）</w:t>
            </w:r>
          </w:p>
          <w:p>
            <w:pPr>
              <w:spacing w:line="240" w:lineRule="auto"/>
              <w:ind w:firstLine="480"/>
              <w:jc w:val="center"/>
            </w:pPr>
          </w:p>
        </w:tc>
        <w:tc>
          <w:tcPr>
            <w:tcW w:w="1801" w:type="dxa"/>
            <w:tcBorders>
              <w:tl2br w:val="nil"/>
              <w:tr2bl w:val="nil"/>
            </w:tcBorders>
          </w:tcPr>
          <w:p>
            <w:pPr>
              <w:spacing w:line="240" w:lineRule="auto"/>
              <w:ind w:firstLine="0" w:firstLineChars="0"/>
              <w:jc w:val="center"/>
            </w:pPr>
            <w:r>
              <w:t>电火花电流（A）</w:t>
            </w:r>
          </w:p>
          <w:p>
            <w:pPr>
              <w:spacing w:line="240" w:lineRule="auto"/>
              <w:ind w:firstLine="480"/>
              <w:jc w:val="cente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800" w:type="dxa"/>
            <w:tcBorders>
              <w:tl2br w:val="nil"/>
              <w:tr2bl w:val="nil"/>
            </w:tcBorders>
          </w:tcPr>
          <w:p>
            <w:pPr>
              <w:ind w:firstLine="0" w:firstLineChars="0"/>
              <w:jc w:val="center"/>
            </w:pPr>
            <w:r>
              <w:rPr>
                <w:rFonts w:hint="eastAsia"/>
              </w:rPr>
              <w:t>20</w:t>
            </w:r>
          </w:p>
        </w:tc>
        <w:tc>
          <w:tcPr>
            <w:tcW w:w="1801" w:type="dxa"/>
            <w:tcBorders>
              <w:tl2br w:val="nil"/>
              <w:tr2bl w:val="nil"/>
            </w:tcBorders>
          </w:tcPr>
          <w:p>
            <w:pPr>
              <w:ind w:firstLine="0" w:firstLineChars="0"/>
              <w:jc w:val="center"/>
            </w:pPr>
            <w:r>
              <w:rPr>
                <w:rFonts w:hint="eastAsia"/>
              </w:rPr>
              <w:t>100</w:t>
            </w:r>
          </w:p>
        </w:tc>
        <w:tc>
          <w:tcPr>
            <w:tcW w:w="1801" w:type="dxa"/>
            <w:tcBorders>
              <w:tl2br w:val="nil"/>
              <w:tr2bl w:val="nil"/>
            </w:tcBorders>
          </w:tcPr>
          <w:p>
            <w:pPr>
              <w:ind w:firstLine="0" w:firstLineChars="0"/>
              <w:jc w:val="center"/>
            </w:pPr>
            <w:r>
              <w:rPr>
                <w:rFonts w:hint="eastAsia"/>
              </w:rPr>
              <w:t>185</w:t>
            </w:r>
          </w:p>
        </w:tc>
        <w:tc>
          <w:tcPr>
            <w:tcW w:w="1801" w:type="dxa"/>
            <w:tcBorders>
              <w:tl2br w:val="nil"/>
              <w:tr2bl w:val="nil"/>
            </w:tcBorders>
          </w:tcPr>
          <w:p>
            <w:pPr>
              <w:ind w:firstLine="0" w:firstLineChars="0"/>
              <w:jc w:val="center"/>
            </w:pPr>
            <w:r>
              <w:rPr>
                <w:rFonts w:hint="eastAsia"/>
              </w:rPr>
              <w:t>0.3</w:t>
            </w:r>
          </w:p>
        </w:tc>
        <w:tc>
          <w:tcPr>
            <w:tcW w:w="1801" w:type="dxa"/>
            <w:tcBorders>
              <w:tl2br w:val="nil"/>
              <w:tr2bl w:val="nil"/>
            </w:tcBorders>
          </w:tcPr>
          <w:p>
            <w:pPr>
              <w:ind w:firstLine="0" w:firstLineChars="0"/>
              <w:jc w:val="center"/>
            </w:pPr>
            <w:r>
              <w:rPr>
                <w:rFonts w:hint="eastAsia"/>
              </w:rPr>
              <w:t>15</w:t>
            </w:r>
          </w:p>
        </w:tc>
      </w:tr>
    </w:tbl>
    <w:p>
      <w:pPr>
        <w:ind w:firstLine="480"/>
      </w:pPr>
    </w:p>
    <w:p>
      <w:pPr>
        <w:ind w:firstLine="480"/>
      </w:pPr>
      <w:r>
        <w:rPr>
          <w:rFonts w:hint="eastAsia"/>
        </w:rPr>
        <w:t>用</w:t>
      </w:r>
      <w:r>
        <w:t>Kroll</w:t>
      </w:r>
      <w:r>
        <w:rPr>
          <w:rFonts w:hint="eastAsia"/>
        </w:rPr>
        <w:t>试剂（</w:t>
      </w:r>
      <w:r>
        <w:t>2vol%HF</w:t>
      </w:r>
      <w:r>
        <w:rPr>
          <w:rFonts w:hint="eastAsia"/>
        </w:rPr>
        <w:t>和</w:t>
      </w:r>
      <w:r>
        <w:t>10vol%HNO</w:t>
      </w:r>
      <w:r>
        <w:rPr>
          <w:vertAlign w:val="subscript"/>
        </w:rPr>
        <w:t>3</w:t>
      </w:r>
      <w:r>
        <w:rPr>
          <w:rFonts w:hint="eastAsia"/>
        </w:rPr>
        <w:t>水溶液）进行金相抛光和蚀刻后，通过扫描电子显微镜（</w:t>
      </w:r>
      <w:r>
        <w:t>SEM</w:t>
      </w:r>
      <w:r>
        <w:rPr>
          <w:rFonts w:hint="eastAsia"/>
        </w:rPr>
        <w:t>）观察涂层的横截面微观结构。通过透射电子显微镜（</w:t>
      </w:r>
      <w:r>
        <w:t>TEM</w:t>
      </w:r>
      <w:r>
        <w:rPr>
          <w:rFonts w:hint="eastAsia"/>
        </w:rPr>
        <w:t>）获得了微观结构的高分辨率图像。</w:t>
      </w:r>
      <w:r>
        <w:t>TEM</w:t>
      </w:r>
      <w:r>
        <w:rPr>
          <w:rFonts w:hint="eastAsia"/>
        </w:rPr>
        <w:t>样品从涂层上刮下。用</w:t>
      </w:r>
      <w:r>
        <w:t>X</w:t>
      </w:r>
      <w:r>
        <w:rPr>
          <w:rFonts w:hint="eastAsia"/>
        </w:rPr>
        <w:t>射线衍射（</w:t>
      </w:r>
      <w:r>
        <w:t>XRD</w:t>
      </w:r>
      <w:r>
        <w:rPr>
          <w:rFonts w:hint="eastAsia"/>
        </w:rPr>
        <w:t>）研究了涂层的相组成。采用标准的</w:t>
      </w:r>
      <w:r>
        <w:t>XRD</w:t>
      </w:r>
      <w:r>
        <w:rPr>
          <w:rFonts w:hint="eastAsia"/>
        </w:rPr>
        <w:t>技术，利用</w:t>
      </w:r>
      <w:r>
        <w:t>sin</w:t>
      </w:r>
      <w:r>
        <w:rPr>
          <w:vertAlign w:val="superscript"/>
        </w:rPr>
        <w:t>2</w:t>
      </w:r>
      <w:r>
        <w:t xml:space="preserve"> </w:t>
      </w:r>
      <w:r>
        <w:rPr>
          <w:rFonts w:ascii="宋体" w:hAnsi="宋体" w:cs="宋体"/>
          <w:szCs w:val="24"/>
        </w:rPr>
        <w:t>ψ</w:t>
      </w:r>
      <w:r>
        <w:rPr>
          <w:rFonts w:hint="eastAsia"/>
        </w:rPr>
        <w:t>法的</w:t>
      </w:r>
      <w:r>
        <w:t>XRD</w:t>
      </w:r>
      <w:r>
        <w:rPr>
          <w:rFonts w:hint="eastAsia"/>
        </w:rPr>
        <w:t>峰位移，测定涂层表面和次表面的残余应力。在六方</w:t>
      </w:r>
      <w:r>
        <w:t>a</w:t>
      </w:r>
      <w:r>
        <w:rPr>
          <w:rFonts w:hint="eastAsia"/>
        </w:rPr>
        <w:t>相的</w:t>
      </w:r>
      <w:r>
        <w:t>{114}</w:t>
      </w:r>
      <w:r>
        <w:rPr>
          <w:rFonts w:hint="eastAsia"/>
        </w:rPr>
        <w:t>面上用</w:t>
      </w:r>
      <w:r>
        <w:t>Cu/K</w:t>
      </w:r>
      <w:r>
        <w:rPr>
          <w:rFonts w:ascii="Arial" w:hAnsi="Arial" w:cs="Arial"/>
        </w:rPr>
        <w:t>ɑ</w:t>
      </w:r>
      <w:r>
        <w:rPr>
          <w:rFonts w:hint="eastAsia"/>
        </w:rPr>
        <w:t>辐射进行晶格应变测量。通过连续电解材料测定了次表面残余应力的深度分布</w:t>
      </w:r>
    </w:p>
    <w:p>
      <w:pPr>
        <w:ind w:firstLine="480"/>
        <w:sectPr>
          <w:headerReference r:id="rId37" w:type="default"/>
          <w:headerReference r:id="rId38" w:type="even"/>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对于应力计算，试样的泊松比和弹性模量分别设置为</w:t>
      </w:r>
      <w:r>
        <w:t>0.31</w:t>
      </w:r>
      <w:r>
        <w:rPr>
          <w:rFonts w:hint="eastAsia"/>
        </w:rPr>
        <w:t>和</w:t>
      </w:r>
      <w:r>
        <w:t>119 GPa</w:t>
      </w:r>
      <w:r>
        <w:rPr>
          <w:rFonts w:hint="eastAsia"/>
        </w:rPr>
        <w:t>。抛光后，使用数字显微硬度计（</w:t>
      </w:r>
      <w:r>
        <w:t>MHV-2000</w:t>
      </w:r>
      <w:r>
        <w:rPr>
          <w:rFonts w:hint="eastAsia"/>
        </w:rPr>
        <w:t>）在</w:t>
      </w:r>
      <w:r>
        <w:t>0.49 N</w:t>
      </w:r>
      <w:r>
        <w:rPr>
          <w:rFonts w:hint="eastAsia"/>
        </w:rPr>
        <w:t>的外加载荷下测量涂层的显微硬度分布，加载时间为</w:t>
      </w:r>
      <w:r>
        <w:t>15 s</w:t>
      </w:r>
      <w:r>
        <w:rPr>
          <w:rFonts w:hint="eastAsia"/>
        </w:rPr>
        <w:t>。磨损试验在环对块试验机上进行，使用</w:t>
      </w:r>
      <w:r>
        <w:t>43.4 mm</w:t>
      </w:r>
      <w:r>
        <w:rPr>
          <w:rFonts w:hint="eastAsia"/>
        </w:rPr>
        <w:t>直径的</w:t>
      </w:r>
      <w:r>
        <w:t>GCr15</w:t>
      </w:r>
      <w:r>
        <w:rPr>
          <w:rFonts w:hint="eastAsia"/>
        </w:rPr>
        <w:t>环作为对应物。在室温下，以</w:t>
      </w:r>
      <w:r>
        <w:t>0.45 m/s</w:t>
      </w:r>
      <w:r>
        <w:rPr>
          <w:rFonts w:hint="eastAsia"/>
        </w:rPr>
        <w:t>的滑动速度和</w:t>
      </w:r>
      <w:r>
        <w:t>50 N</w:t>
      </w:r>
      <w:r>
        <w:rPr>
          <w:rFonts w:hint="eastAsia"/>
        </w:rPr>
        <w:t>的正常载荷进行了滑动距离为</w:t>
      </w:r>
      <w:r>
        <w:t>436 m</w:t>
      </w:r>
      <w:r>
        <w:rPr>
          <w:rFonts w:hint="eastAsia"/>
        </w:rPr>
        <w:t>的无润滑磨损试验。用光学显微镜测量了用于计算磨损体积损失的磨痕宽度。每次试验进行三次。</w:t>
      </w:r>
    </w:p>
    <w:p>
      <w:pPr>
        <w:ind w:firstLine="480"/>
      </w:pPr>
    </w:p>
    <w:p>
      <w:pPr>
        <w:pStyle w:val="2"/>
        <w:numPr>
          <w:ilvl w:val="0"/>
          <w:numId w:val="2"/>
        </w:numPr>
        <w:spacing w:before="240" w:after="480"/>
      </w:pPr>
      <w:bookmarkStart w:id="10" w:name="_Toc15201"/>
      <w:r>
        <w:t>结果与讨论</w:t>
      </w:r>
      <w:bookmarkEnd w:id="10"/>
    </w:p>
    <w:p>
      <w:pPr>
        <w:ind w:firstLine="480"/>
      </w:pPr>
      <w:r>
        <w:rPr>
          <w:rFonts w:hint="eastAsia"/>
        </w:rPr>
        <w:t>图</w:t>
      </w:r>
      <w:r>
        <w:t>2</w:t>
      </w:r>
      <w:r>
        <w:rPr>
          <w:rFonts w:hint="eastAsia"/>
        </w:rPr>
        <w:t>显示了典型的横截面微观结构以及涂层中的钛和铁分布。经过</w:t>
      </w:r>
      <w:r>
        <w:t>UIT</w:t>
      </w:r>
      <w:r>
        <w:rPr>
          <w:rFonts w:hint="eastAsia"/>
        </w:rPr>
        <w:t>和电火花联合处理后，样品由外涂层、内塑性变形区和基体组成（见图</w:t>
      </w:r>
      <w:r>
        <w:t>2a</w:t>
      </w:r>
      <w:r>
        <w:rPr>
          <w:rFonts w:hint="eastAsia"/>
        </w:rPr>
        <w:t>）。值得注意的是，涂层的厚度约为</w:t>
      </w:r>
      <w:r>
        <w:t>12</w:t>
      </w:r>
      <w:r>
        <w:rPr>
          <w:rFonts w:cs="Times New Roman"/>
        </w:rPr>
        <w:t>u</w:t>
      </w:r>
      <w:r>
        <w:t>m</w:t>
      </w:r>
      <w:r>
        <w:rPr>
          <w:rFonts w:hint="eastAsia"/>
        </w:rPr>
        <w:t>，非常致密，没有明显的裂缝，并且与基材紧密结合。涂层由微尺度熔池快速凝固形成，塑性变形层由冲击过程形成。与激光熔覆</w:t>
      </w:r>
      <w:r>
        <w:t>[7]</w:t>
      </w:r>
      <w:r>
        <w:rPr>
          <w:rFonts w:hint="eastAsia"/>
        </w:rPr>
        <w:t>过程中形成的涂层和基体之间热影响区的晶粒相比，经</w:t>
      </w:r>
      <w:r>
        <w:t>UIT</w:t>
      </w:r>
      <w:r>
        <w:rPr>
          <w:rFonts w:hint="eastAsia"/>
        </w:rPr>
        <w:t>和电火花联合处理的样品中涂层和基体之间区域的晶粒没有生长。相比之下，由于冲击过程中的严重塑性变形，它们明显细化，这可能会提高涂层与基体之间结合区的韧性。涂层主要由钛和铁组成，如所示图</w:t>
      </w:r>
      <w:r>
        <w:t>2b</w:t>
      </w:r>
      <w:r>
        <w:rPr>
          <w:rFonts w:hint="eastAsia"/>
        </w:rPr>
        <w:t>，因为电火花设备的阴极是冲击球，其中含有大量铁。这一结果表明，在电火花加工过程中，铁从阴极转移到靶表面的微尺度熔池中，并与钛混合。可以看出，存在厚度约为几微米的过渡层，这证实了涂层与基体之间的冶金结合。与微弧放电氧化物涂层</w:t>
      </w:r>
      <w:r>
        <w:t>[8]</w:t>
      </w:r>
      <w:r>
        <w:rPr>
          <w:rFonts w:hint="eastAsia"/>
        </w:rPr>
        <w:t>的情况一样，涂层的某些元素来自基材，这可以显著提高涂层与基材之间的结合强度。另一方面，由于电火花熄灭时涂层的快速凝固，采用组合工艺获得的涂层比粉末烧结</w:t>
      </w:r>
      <w:r>
        <w:t>[3]</w:t>
      </w:r>
      <w:r>
        <w:rPr>
          <w:rFonts w:hint="eastAsia"/>
        </w:rPr>
        <w:t>产生的涂层更不均匀。尽管非均匀涂层的耐磨性不均匀，但这种组合工艺也值得注意，因为它只需要简单的设备，并提供良好的冶金结合。</w:t>
      </w:r>
    </w:p>
    <w:p>
      <w:pPr>
        <w:ind w:firstLine="0" w:firstLineChars="0"/>
        <w:jc w:val="center"/>
      </w:pPr>
      <w:r>
        <w:drawing>
          <wp:inline distT="0" distB="0" distL="114300" distR="114300">
            <wp:extent cx="2393950" cy="1967865"/>
            <wp:effectExtent l="0" t="0" r="13970" b="133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58"/>
                    <a:stretch>
                      <a:fillRect/>
                    </a:stretch>
                  </pic:blipFill>
                  <pic:spPr>
                    <a:xfrm>
                      <a:off x="0" y="0"/>
                      <a:ext cx="2393950" cy="1967865"/>
                    </a:xfrm>
                    <a:prstGeom prst="rect">
                      <a:avLst/>
                    </a:prstGeom>
                    <a:noFill/>
                    <a:ln>
                      <a:noFill/>
                    </a:ln>
                  </pic:spPr>
                </pic:pic>
              </a:graphicData>
            </a:graphic>
          </wp:inline>
        </w:drawing>
      </w:r>
      <w:r>
        <w:drawing>
          <wp:inline distT="0" distB="0" distL="114300" distR="114300">
            <wp:extent cx="2695575" cy="1978660"/>
            <wp:effectExtent l="0" t="0" r="1905"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9"/>
                    <a:stretch>
                      <a:fillRect/>
                    </a:stretch>
                  </pic:blipFill>
                  <pic:spPr>
                    <a:xfrm>
                      <a:off x="0" y="0"/>
                      <a:ext cx="2695575" cy="1978660"/>
                    </a:xfrm>
                    <a:prstGeom prst="rect">
                      <a:avLst/>
                    </a:prstGeom>
                    <a:noFill/>
                    <a:ln>
                      <a:noFill/>
                    </a:ln>
                  </pic:spPr>
                </pic:pic>
              </a:graphicData>
            </a:graphic>
          </wp:inline>
        </w:drawing>
      </w:r>
    </w:p>
    <w:p>
      <w:pPr>
        <w:pStyle w:val="9"/>
        <w:ind w:firstLine="400"/>
        <w:jc w:val="center"/>
      </w:pPr>
      <w:r>
        <w:t xml:space="preserve">图 </w:t>
      </w:r>
      <w:r>
        <w:rPr>
          <w:rFonts w:hint="eastAsia"/>
        </w:rPr>
        <w:t xml:space="preserve">2 </w:t>
      </w:r>
      <w:r>
        <w:t>（a） 涂层中沿深度方向的横截面微观结构和（b）钛/铁分布。</w:t>
      </w:r>
    </w:p>
    <w:p>
      <w:pPr>
        <w:pStyle w:val="9"/>
        <w:ind w:firstLine="0" w:firstLineChars="0"/>
        <w:jc w:val="center"/>
      </w:pPr>
    </w:p>
    <w:p>
      <w:pPr>
        <w:ind w:firstLine="480"/>
      </w:pPr>
      <w:r>
        <w:rPr>
          <w:rFonts w:hint="eastAsia"/>
        </w:rPr>
        <w:t>图</w:t>
      </w:r>
      <w:r>
        <w:t>3</w:t>
      </w:r>
      <w:r>
        <w:rPr>
          <w:rFonts w:hint="eastAsia"/>
        </w:rPr>
        <w:t>显示了涂层的</w:t>
      </w:r>
      <w:r>
        <w:t>TEM</w:t>
      </w:r>
      <w:r>
        <w:rPr>
          <w:rFonts w:hint="eastAsia"/>
        </w:rPr>
        <w:t>图像，其中可以观察到非晶相和纳米晶体。非晶相的形成过程可描述如下。在电火花加工过程中，由于基体表面金属和阴极材料的熔化，目标表面出现了微尺度熔池。在随后的冲击过程中，电火花熄灭，因此被冷却液包围的微型熔池迅速凝固，在大的温度梯度下。这种大的温度梯度允许形成非晶相。同时，冲击波可以为纳米晶体的形成提供便利的环境。涂层中的非晶相和纳米晶大大提高了材料的硬度和耐磨性。详细结果将在后面讨论。涂层的元素分析结果如表</w:t>
      </w:r>
      <w:r>
        <w:t>2</w:t>
      </w:r>
      <w:r>
        <w:rPr>
          <w:rFonts w:hint="eastAsia"/>
        </w:rPr>
        <w:t>所示。可以看出，涂层的钛含量低于基体，并且出现了新的元素，如铁、碳、氮和氧。铁来自阴极，碳来自冷却液，氮和氧来自电离空气。</w:t>
      </w:r>
    </w:p>
    <w:p>
      <w:pPr>
        <w:pStyle w:val="9"/>
        <w:ind w:firstLine="400"/>
        <w:jc w:val="center"/>
      </w:pPr>
      <w:r>
        <w:t xml:space="preserve">表 </w:t>
      </w:r>
      <w:r>
        <w:fldChar w:fldCharType="begin"/>
      </w:r>
      <w:r>
        <w:instrText xml:space="preserve"> SEQ 表 \* ARABIC </w:instrText>
      </w:r>
      <w:r>
        <w:fldChar w:fldCharType="separate"/>
      </w:r>
      <w:r>
        <w:t>2</w:t>
      </w:r>
      <w:r>
        <w:fldChar w:fldCharType="end"/>
      </w:r>
      <w:r>
        <w:rPr>
          <w:rFonts w:hint="eastAsia"/>
        </w:rPr>
        <w:t xml:space="preserve">  </w:t>
      </w:r>
      <w:r>
        <w:t>涂层的元素分析结果。</w:t>
      </w:r>
    </w:p>
    <w:tbl>
      <w:tblPr>
        <w:tblStyle w:val="22"/>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125"/>
        <w:gridCol w:w="1125"/>
        <w:gridCol w:w="1125"/>
        <w:gridCol w:w="1125"/>
        <w:gridCol w:w="1126"/>
        <w:gridCol w:w="1126"/>
        <w:gridCol w:w="1126"/>
        <w:gridCol w:w="112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25"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Element</w:t>
            </w:r>
          </w:p>
        </w:tc>
        <w:tc>
          <w:tcPr>
            <w:tcW w:w="1125"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C</w:t>
            </w:r>
          </w:p>
        </w:tc>
        <w:tc>
          <w:tcPr>
            <w:tcW w:w="1125"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N</w:t>
            </w:r>
          </w:p>
        </w:tc>
        <w:tc>
          <w:tcPr>
            <w:tcW w:w="1125"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O</w:t>
            </w:r>
          </w:p>
        </w:tc>
        <w:tc>
          <w:tcPr>
            <w:tcW w:w="1126"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Al</w:t>
            </w:r>
          </w:p>
        </w:tc>
        <w:tc>
          <w:tcPr>
            <w:tcW w:w="1126"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Ti</w:t>
            </w:r>
          </w:p>
        </w:tc>
        <w:tc>
          <w:tcPr>
            <w:tcW w:w="1126"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V</w:t>
            </w:r>
          </w:p>
        </w:tc>
        <w:tc>
          <w:tcPr>
            <w:tcW w:w="1126"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Fe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25"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Atomic%</w:t>
            </w:r>
          </w:p>
        </w:tc>
        <w:tc>
          <w:tcPr>
            <w:tcW w:w="1125"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6.639</w:t>
            </w:r>
          </w:p>
        </w:tc>
        <w:tc>
          <w:tcPr>
            <w:tcW w:w="1125"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26.347</w:t>
            </w:r>
          </w:p>
        </w:tc>
        <w:tc>
          <w:tcPr>
            <w:tcW w:w="1125"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10.599</w:t>
            </w:r>
          </w:p>
        </w:tc>
        <w:tc>
          <w:tcPr>
            <w:tcW w:w="1126"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6.872</w:t>
            </w:r>
          </w:p>
        </w:tc>
        <w:tc>
          <w:tcPr>
            <w:tcW w:w="1126"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34.417</w:t>
            </w:r>
          </w:p>
        </w:tc>
        <w:tc>
          <w:tcPr>
            <w:tcW w:w="1126"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3.197</w:t>
            </w:r>
          </w:p>
        </w:tc>
        <w:tc>
          <w:tcPr>
            <w:tcW w:w="1126" w:type="dxa"/>
            <w:tcBorders>
              <w:tl2br w:val="nil"/>
              <w:tr2bl w:val="nil"/>
            </w:tcBorders>
          </w:tcPr>
          <w:p>
            <w:pPr>
              <w:pStyle w:val="20"/>
              <w:spacing w:before="0" w:beforeAutospacing="0" w:after="0" w:afterAutospacing="0" w:line="368" w:lineRule="atLeast"/>
              <w:ind w:firstLine="0" w:firstLineChars="0"/>
              <w:jc w:val="center"/>
              <w:rPr>
                <w:rStyle w:val="47"/>
              </w:rPr>
            </w:pPr>
            <w:r>
              <w:rPr>
                <w:rStyle w:val="47"/>
                <w:rFonts w:hint="eastAsia"/>
              </w:rPr>
              <w:t>11.929</w:t>
            </w:r>
          </w:p>
        </w:tc>
      </w:tr>
    </w:tbl>
    <w:p>
      <w:pPr>
        <w:ind w:firstLine="480"/>
      </w:pPr>
    </w:p>
    <w:p>
      <w:pPr>
        <w:ind w:firstLine="480"/>
        <w:jc w:val="center"/>
      </w:pPr>
      <w:r>
        <w:drawing>
          <wp:inline distT="0" distB="0" distL="114300" distR="114300">
            <wp:extent cx="2400300" cy="2393950"/>
            <wp:effectExtent l="0" t="0" r="7620"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60"/>
                    <a:stretch>
                      <a:fillRect/>
                    </a:stretch>
                  </pic:blipFill>
                  <pic:spPr>
                    <a:xfrm>
                      <a:off x="0" y="0"/>
                      <a:ext cx="2400300" cy="2393950"/>
                    </a:xfrm>
                    <a:prstGeom prst="rect">
                      <a:avLst/>
                    </a:prstGeom>
                    <a:noFill/>
                    <a:ln>
                      <a:noFill/>
                    </a:ln>
                  </pic:spPr>
                </pic:pic>
              </a:graphicData>
            </a:graphic>
          </wp:inline>
        </w:drawing>
      </w:r>
    </w:p>
    <w:p>
      <w:pPr>
        <w:pStyle w:val="20"/>
        <w:spacing w:before="0" w:beforeAutospacing="0" w:after="0" w:afterAutospacing="0" w:line="368" w:lineRule="atLeast"/>
        <w:ind w:firstLine="400"/>
        <w:jc w:val="center"/>
        <w:rPr>
          <w:rStyle w:val="47"/>
        </w:rPr>
      </w:pPr>
      <w:r>
        <w:rPr>
          <w:rStyle w:val="47"/>
        </w:rPr>
        <w:t xml:space="preserve">图 </w:t>
      </w:r>
      <w:r>
        <w:rPr>
          <w:rStyle w:val="47"/>
          <w:rFonts w:hint="eastAsia"/>
        </w:rPr>
        <w:t xml:space="preserve">3  </w:t>
      </w:r>
      <w:r>
        <w:rPr>
          <w:rStyle w:val="47"/>
        </w:rPr>
        <w:t>涂层的TEM图像。</w:t>
      </w:r>
    </w:p>
    <w:p>
      <w:pPr>
        <w:pStyle w:val="20"/>
        <w:spacing w:before="0" w:beforeAutospacing="0" w:after="0" w:afterAutospacing="0" w:line="368" w:lineRule="atLeast"/>
        <w:ind w:firstLine="400"/>
        <w:jc w:val="center"/>
        <w:rPr>
          <w:rStyle w:val="47"/>
        </w:rPr>
      </w:pPr>
    </w:p>
    <w:p>
      <w:pPr>
        <w:pStyle w:val="20"/>
        <w:spacing w:before="0" w:beforeAutospacing="0" w:after="0" w:afterAutospacing="0" w:line="368" w:lineRule="atLeast"/>
        <w:ind w:firstLine="400"/>
        <w:jc w:val="center"/>
        <w:rPr>
          <w:rStyle w:val="47"/>
        </w:rPr>
      </w:pPr>
    </w:p>
    <w:p>
      <w:pPr>
        <w:pStyle w:val="9"/>
        <w:ind w:firstLine="400"/>
        <w:jc w:val="center"/>
      </w:pPr>
    </w:p>
    <w:p>
      <w:pPr>
        <w:ind w:firstLine="480"/>
      </w:pPr>
      <w:r>
        <w:rPr>
          <w:rFonts w:hint="eastAsia"/>
        </w:rPr>
        <w:t>图</w:t>
      </w:r>
      <w:r>
        <w:t>4</w:t>
      </w:r>
      <w:r>
        <w:rPr>
          <w:rFonts w:hint="eastAsia"/>
        </w:rPr>
        <w:t>显示了涂层和基材（</w:t>
      </w:r>
      <w:r>
        <w:t>BM</w:t>
      </w:r>
      <w:r>
        <w:rPr>
          <w:rFonts w:hint="eastAsia"/>
        </w:rPr>
        <w:t>）的</w:t>
      </w:r>
      <w:r>
        <w:t>XRD</w:t>
      </w:r>
      <w:r>
        <w:rPr>
          <w:rFonts w:hint="eastAsia"/>
        </w:rPr>
        <w:t>图谱。对于涂层而言，</w:t>
      </w:r>
      <w:r>
        <w:t>Ti</w:t>
      </w:r>
      <w:r>
        <w:rPr>
          <w:rFonts w:hint="eastAsia"/>
        </w:rPr>
        <w:t>相的强度低于新相（</w:t>
      </w:r>
      <w:r>
        <w:t>C</w:t>
      </w:r>
      <w:r>
        <w:rPr>
          <w:vertAlign w:val="subscript"/>
        </w:rPr>
        <w:t>0.3</w:t>
      </w:r>
      <w:r>
        <w:t>N</w:t>
      </w:r>
      <w:r>
        <w:rPr>
          <w:vertAlign w:val="subscript"/>
        </w:rPr>
        <w:t>0.7</w:t>
      </w:r>
      <w:r>
        <w:t>Ti</w:t>
      </w:r>
      <w:r>
        <w:rPr>
          <w:rFonts w:hint="eastAsia"/>
        </w:rPr>
        <w:t>和</w:t>
      </w:r>
      <w:r>
        <w:t>Fe</w:t>
      </w:r>
      <w:r>
        <w:rPr>
          <w:vertAlign w:val="subscript"/>
        </w:rPr>
        <w:t>2</w:t>
      </w:r>
      <w:r>
        <w:t>Ti</w:t>
      </w:r>
      <w:r>
        <w:rPr>
          <w:vertAlign w:val="subscript"/>
        </w:rPr>
        <w:t>4</w:t>
      </w:r>
      <w:r>
        <w:t>O</w:t>
      </w:r>
      <w:r>
        <w:rPr>
          <w:rFonts w:hint="eastAsia"/>
        </w:rPr>
        <w:t>）。这表明涂层的主要表面相为碳化钛氮化物和铁钛氧化物。除了新相的出现，涂层的所有衍射峰都变宽了。这表明，由于涂层在冲击过程中的快速凝固和严重塑性变形，存在晶粒细化或</w:t>
      </w:r>
      <w:r>
        <w:t>/</w:t>
      </w:r>
      <w:r>
        <w:rPr>
          <w:rFonts w:hint="eastAsia"/>
        </w:rPr>
        <w:t>和微观应变。这一机制与涂层中非晶相和纳米晶的</w:t>
      </w:r>
      <w:r>
        <w:t>TEM</w:t>
      </w:r>
      <w:r>
        <w:rPr>
          <w:rFonts w:hint="eastAsia"/>
        </w:rPr>
        <w:t>观察以及涂层下塑性变形层的</w:t>
      </w:r>
      <w:r>
        <w:t>SEM</w:t>
      </w:r>
      <w:r>
        <w:rPr>
          <w:rFonts w:hint="eastAsia"/>
        </w:rPr>
        <w:t>观察非常一致。该过程不同于传统涂层方法</w:t>
      </w:r>
      <w:r>
        <w:t>[6,15]</w:t>
      </w:r>
      <w:r>
        <w:rPr>
          <w:rFonts w:hint="eastAsia"/>
        </w:rPr>
        <w:t>。</w:t>
      </w:r>
    </w:p>
    <w:p>
      <w:pPr>
        <w:ind w:firstLine="0" w:firstLineChars="0"/>
        <w:jc w:val="center"/>
      </w:pPr>
      <w:r>
        <w:drawing>
          <wp:inline distT="0" distB="0" distL="114300" distR="114300">
            <wp:extent cx="3153410" cy="2393950"/>
            <wp:effectExtent l="0" t="0" r="1270" b="139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61"/>
                    <a:stretch>
                      <a:fillRect/>
                    </a:stretch>
                  </pic:blipFill>
                  <pic:spPr>
                    <a:xfrm>
                      <a:off x="0" y="0"/>
                      <a:ext cx="3153410" cy="2393950"/>
                    </a:xfrm>
                    <a:prstGeom prst="rect">
                      <a:avLst/>
                    </a:prstGeom>
                    <a:noFill/>
                    <a:ln>
                      <a:noFill/>
                    </a:ln>
                  </pic:spPr>
                </pic:pic>
              </a:graphicData>
            </a:graphic>
          </wp:inline>
        </w:drawing>
      </w:r>
    </w:p>
    <w:p>
      <w:pPr>
        <w:pStyle w:val="20"/>
        <w:spacing w:before="0" w:beforeAutospacing="0" w:after="0" w:afterAutospacing="0" w:line="368" w:lineRule="atLeast"/>
        <w:ind w:firstLine="400"/>
        <w:jc w:val="center"/>
        <w:rPr>
          <w:rFonts w:ascii="Arial" w:hAnsi="Arial" w:cs="Arial"/>
          <w:spacing w:val="12"/>
          <w:sz w:val="19"/>
          <w:szCs w:val="19"/>
        </w:rPr>
      </w:pPr>
      <w:r>
        <w:rPr>
          <w:rStyle w:val="47"/>
        </w:rPr>
        <w:t xml:space="preserve">图 </w:t>
      </w:r>
      <w:r>
        <w:rPr>
          <w:rStyle w:val="47"/>
          <w:rFonts w:hint="eastAsia"/>
        </w:rPr>
        <w:t xml:space="preserve">4  </w:t>
      </w:r>
      <w:r>
        <w:rPr>
          <w:rStyle w:val="47"/>
        </w:rPr>
        <w:t>通过联合UIT和电火花加工处理的样品以及基材的XRD图谱。</w:t>
      </w:r>
    </w:p>
    <w:p>
      <w:pPr>
        <w:pStyle w:val="9"/>
        <w:ind w:firstLine="0" w:firstLineChars="0"/>
        <w:jc w:val="center"/>
      </w:pPr>
    </w:p>
    <w:p>
      <w:pPr>
        <w:ind w:firstLine="480"/>
      </w:pPr>
      <w:r>
        <w:rPr>
          <w:rFonts w:hint="eastAsia"/>
        </w:rPr>
        <w:t>已经对涂层中的残余应力进行了广泛的研究</w:t>
      </w:r>
      <w:r>
        <w:t>[17]</w:t>
      </w:r>
      <w:r>
        <w:rPr>
          <w:rFonts w:hint="eastAsia"/>
        </w:rPr>
        <w:t>。在粉末烧结过程中，表面层和基材显示出不同的收缩，这是通过其尺寸变化测量的</w:t>
      </w:r>
      <w:r>
        <w:t>[3]</w:t>
      </w:r>
      <w:r>
        <w:rPr>
          <w:rFonts w:hint="eastAsia"/>
        </w:rPr>
        <w:t>。此外，</w:t>
      </w:r>
      <w:r>
        <w:t>Ahmaniemi</w:t>
      </w:r>
      <w:r>
        <w:rPr>
          <w:rFonts w:hint="eastAsia"/>
        </w:rPr>
        <w:t>等人发现残余应力状态与其他涂层性能相关，如显微硬度、孔隙率、微观结构和干摩擦耐磨性</w:t>
      </w:r>
      <w:r>
        <w:t>[18]</w:t>
      </w:r>
      <w:r>
        <w:rPr>
          <w:rFonts w:hint="eastAsia"/>
        </w:rPr>
        <w:t>。与传统的涂层工艺相比，</w:t>
      </w:r>
      <w:r>
        <w:t>UIT</w:t>
      </w:r>
      <w:r>
        <w:rPr>
          <w:rFonts w:hint="eastAsia"/>
        </w:rPr>
        <w:t>和电火花复合工艺具有产生较大残余压应力场的显著优势在涂层和基材中。先前的研究得出结论，压缩残余应力有利于提高部件的耐磨性</w:t>
      </w:r>
      <w:r>
        <w:t>[18]</w:t>
      </w:r>
      <w:r>
        <w:rPr>
          <w:rFonts w:hint="eastAsia"/>
        </w:rPr>
        <w:t>、疲劳性</w:t>
      </w:r>
      <w:r>
        <w:t>[19]</w:t>
      </w:r>
      <w:r>
        <w:rPr>
          <w:rFonts w:hint="eastAsia"/>
        </w:rPr>
        <w:t>和抗应力腐蚀性</w:t>
      </w:r>
      <w:r>
        <w:t>[20]</w:t>
      </w:r>
      <w:r>
        <w:rPr>
          <w:rFonts w:hint="eastAsia"/>
        </w:rPr>
        <w:t>。图</w:t>
      </w:r>
      <w:r>
        <w:t>5</w:t>
      </w:r>
      <w:r>
        <w:rPr>
          <w:rFonts w:hint="eastAsia"/>
        </w:rPr>
        <w:t>显示了组合</w:t>
      </w:r>
      <w:r>
        <w:t>UIT</w:t>
      </w:r>
      <w:r>
        <w:rPr>
          <w:rFonts w:hint="eastAsia"/>
        </w:rPr>
        <w:t>和电火花加工前后沿深度方向的残余应力变化。可以清楚地观察到，基材中几乎没有残余应力。在采用组合工艺处理的样品中，在涂层顶面发现最大残余压应力（—</w:t>
      </w:r>
      <w:r>
        <w:t>717 MPa</w:t>
      </w:r>
      <w:r>
        <w:rPr>
          <w:rFonts w:hint="eastAsia"/>
        </w:rPr>
        <w:t>），残余压应力的有效深度约为</w:t>
      </w:r>
      <w:r>
        <w:t>470 um</w:t>
      </w:r>
      <w:r>
        <w:rPr>
          <w:rFonts w:hint="eastAsia"/>
        </w:rPr>
        <w:t>。</w:t>
      </w:r>
    </w:p>
    <w:p>
      <w:pPr>
        <w:ind w:firstLine="0" w:firstLineChars="0"/>
        <w:jc w:val="center"/>
      </w:pPr>
      <w:r>
        <w:drawing>
          <wp:inline distT="0" distB="0" distL="114300" distR="114300">
            <wp:extent cx="3276600" cy="2324100"/>
            <wp:effectExtent l="0" t="0" r="0" b="762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62"/>
                    <a:stretch>
                      <a:fillRect/>
                    </a:stretch>
                  </pic:blipFill>
                  <pic:spPr>
                    <a:xfrm>
                      <a:off x="0" y="0"/>
                      <a:ext cx="3276600" cy="2324100"/>
                    </a:xfrm>
                    <a:prstGeom prst="rect">
                      <a:avLst/>
                    </a:prstGeom>
                    <a:noFill/>
                    <a:ln>
                      <a:noFill/>
                    </a:ln>
                  </pic:spPr>
                </pic:pic>
              </a:graphicData>
            </a:graphic>
          </wp:inline>
        </w:drawing>
      </w:r>
    </w:p>
    <w:p>
      <w:pPr>
        <w:pStyle w:val="20"/>
        <w:spacing w:before="0" w:beforeAutospacing="0" w:after="0" w:afterAutospacing="0" w:line="368" w:lineRule="atLeast"/>
        <w:ind w:firstLine="400"/>
        <w:jc w:val="center"/>
        <w:rPr>
          <w:rFonts w:ascii="Arial" w:hAnsi="Arial" w:cs="Arial"/>
          <w:spacing w:val="12"/>
          <w:sz w:val="19"/>
          <w:szCs w:val="19"/>
        </w:rPr>
      </w:pPr>
      <w:r>
        <w:rPr>
          <w:rStyle w:val="47"/>
        </w:rPr>
        <w:t xml:space="preserve">图 </w:t>
      </w:r>
      <w:r>
        <w:rPr>
          <w:rStyle w:val="47"/>
          <w:rFonts w:hint="eastAsia"/>
        </w:rPr>
        <w:t xml:space="preserve">5  </w:t>
      </w:r>
      <w:r>
        <w:rPr>
          <w:rStyle w:val="47"/>
        </w:rPr>
        <w:t>通过组合UIT和电火花加工处理的样品和基材的残余应力分布。</w:t>
      </w:r>
    </w:p>
    <w:p>
      <w:pPr>
        <w:pStyle w:val="9"/>
        <w:ind w:firstLine="0" w:firstLineChars="0"/>
        <w:jc w:val="center"/>
      </w:pPr>
    </w:p>
    <w:p>
      <w:pPr>
        <w:ind w:firstLine="480"/>
      </w:pPr>
      <w:r>
        <w:rPr>
          <w:rFonts w:hint="eastAsia"/>
        </w:rPr>
        <w:t>图</w:t>
      </w:r>
      <w:r>
        <w:t>6</w:t>
      </w:r>
      <w:r>
        <w:rPr>
          <w:rFonts w:hint="eastAsia"/>
        </w:rPr>
        <w:t>给出了经过</w:t>
      </w:r>
      <w:r>
        <w:t>UIT</w:t>
      </w:r>
      <w:r>
        <w:rPr>
          <w:rFonts w:hint="eastAsia"/>
        </w:rPr>
        <w:t>和电火花联合处理的样品的横截面显微硬度分布。涂层上表面的最大显微硬度约为</w:t>
      </w:r>
      <w:r>
        <w:t>800 HV</w:t>
      </w:r>
      <w:r>
        <w:rPr>
          <w:rFonts w:hint="eastAsia"/>
        </w:rPr>
        <w:t>。这是由于涂层中含有非晶态、纳米尺寸的碳化钛氮化物和氧化铁钛相。涂层下的显微硬度也高于基材，因为在</w:t>
      </w:r>
      <w:r>
        <w:t>30 um</w:t>
      </w:r>
      <w:r>
        <w:rPr>
          <w:rFonts w:hint="eastAsia"/>
        </w:rPr>
        <w:t>的深度存在塑性变形。</w:t>
      </w:r>
    </w:p>
    <w:p>
      <w:pPr>
        <w:ind w:firstLine="480"/>
        <w:jc w:val="center"/>
      </w:pPr>
      <w:r>
        <w:drawing>
          <wp:inline distT="0" distB="0" distL="114300" distR="114300">
            <wp:extent cx="3238500" cy="2393950"/>
            <wp:effectExtent l="0" t="0" r="7620" b="139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63"/>
                    <a:stretch>
                      <a:fillRect/>
                    </a:stretch>
                  </pic:blipFill>
                  <pic:spPr>
                    <a:xfrm>
                      <a:off x="0" y="0"/>
                      <a:ext cx="3238500" cy="2393950"/>
                    </a:xfrm>
                    <a:prstGeom prst="rect">
                      <a:avLst/>
                    </a:prstGeom>
                    <a:noFill/>
                    <a:ln>
                      <a:noFill/>
                    </a:ln>
                  </pic:spPr>
                </pic:pic>
              </a:graphicData>
            </a:graphic>
          </wp:inline>
        </w:drawing>
      </w:r>
    </w:p>
    <w:p>
      <w:pPr>
        <w:pStyle w:val="20"/>
        <w:spacing w:before="0" w:beforeAutospacing="0" w:after="0" w:afterAutospacing="0" w:line="368" w:lineRule="atLeast"/>
        <w:ind w:firstLine="400"/>
        <w:jc w:val="center"/>
        <w:rPr>
          <w:rFonts w:ascii="Arial" w:hAnsi="Arial" w:cs="Arial"/>
          <w:spacing w:val="12"/>
          <w:sz w:val="19"/>
          <w:szCs w:val="19"/>
        </w:rPr>
      </w:pPr>
      <w:r>
        <w:rPr>
          <w:rStyle w:val="47"/>
        </w:rPr>
        <w:t xml:space="preserve">图 </w:t>
      </w:r>
      <w:r>
        <w:rPr>
          <w:rStyle w:val="47"/>
          <w:rFonts w:hint="eastAsia"/>
        </w:rPr>
        <w:t xml:space="preserve">6  </w:t>
      </w:r>
      <w:r>
        <w:rPr>
          <w:rStyle w:val="47"/>
        </w:rPr>
        <w:t>通过联合UIT和电火花加工处理的样品和基材的显微硬度曲线</w:t>
      </w:r>
      <w:r>
        <w:rPr>
          <w:rFonts w:ascii="Arial" w:hAnsi="Arial" w:cs="Arial"/>
          <w:spacing w:val="12"/>
          <w:sz w:val="19"/>
          <w:szCs w:val="19"/>
        </w:rPr>
        <w:t>。</w:t>
      </w:r>
    </w:p>
    <w:p>
      <w:pPr>
        <w:pStyle w:val="9"/>
        <w:ind w:firstLine="400"/>
        <w:jc w:val="center"/>
      </w:pPr>
    </w:p>
    <w:p>
      <w:pPr>
        <w:ind w:firstLine="480"/>
      </w:pPr>
      <w:r>
        <w:rPr>
          <w:rFonts w:hint="eastAsia"/>
        </w:rPr>
        <w:t>图</w:t>
      </w:r>
      <w:r>
        <w:t>7</w:t>
      </w:r>
      <w:r>
        <w:rPr>
          <w:rFonts w:hint="eastAsia"/>
        </w:rPr>
        <w:t>显示了通过组合</w:t>
      </w:r>
      <w:r>
        <w:t>UIT</w:t>
      </w:r>
      <w:r>
        <w:rPr>
          <w:rFonts w:hint="eastAsia"/>
        </w:rPr>
        <w:t>和电火花加工处理的样品和基材的磨损试验结果。根据式（</w:t>
      </w:r>
      <w:r>
        <w:t>1</w:t>
      </w:r>
      <w:r>
        <w:rPr>
          <w:rFonts w:hint="eastAsia"/>
        </w:rPr>
        <w:t>）计算磨损量：</w:t>
      </w:r>
    </w:p>
    <w:p>
      <w:pPr>
        <w:ind w:firstLine="480"/>
        <w:jc w:val="right"/>
        <w:rPr>
          <w:rFonts w:hAnsi="Cambria Math"/>
        </w:rPr>
      </w:pP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8</m:t>
            </m:r>
            <m:ctrlPr>
              <w:rPr>
                <w:rFonts w:ascii="Cambria Math" w:hAnsi="Cambria Math"/>
                <w:i/>
              </w:rPr>
            </m:ctrlPr>
          </m:den>
        </m:f>
        <m:r>
          <m:rPr/>
          <w:rPr>
            <w:rFonts w:ascii="Cambria Math" w:hAnsi="Cambria Math"/>
          </w:rPr>
          <m:t>t</m:t>
        </m:r>
        <m:d>
          <m:dPr>
            <m:begChr m:val="["/>
            <m:endChr m:val="]"/>
            <m:ctrlPr>
              <w:rPr>
                <w:rFonts w:ascii="Cambria Math" w:hAnsi="Cambria Math"/>
                <w:i/>
              </w:rPr>
            </m:ctrlPr>
          </m:dPr>
          <m:e>
            <m:r>
              <m:rPr/>
              <w:rPr>
                <w:rFonts w:ascii="Cambria Math" w:hAnsi="Cambria Math"/>
              </w:rPr>
              <m:t>2</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fName>
              <m:e>
                <m:f>
                  <m:fPr>
                    <m:ctrlPr>
                      <w:rPr>
                        <w:rFonts w:ascii="Cambria Math" w:hAnsi="Cambria Math"/>
                        <w:i/>
                      </w:rPr>
                    </m:ctrlPr>
                  </m:fPr>
                  <m:num>
                    <m:r>
                      <m:rPr/>
                      <w:rPr>
                        <w:rFonts w:ascii="Cambria Math" w:hAnsi="Cambria Math"/>
                      </w:rPr>
                      <m:t>b</m:t>
                    </m:r>
                    <m:ctrlPr>
                      <w:rPr>
                        <w:rFonts w:ascii="Cambria Math" w:hAnsi="Cambria Math"/>
                        <w:i/>
                      </w:rPr>
                    </m:ctrlPr>
                  </m:num>
                  <m:den>
                    <m:r>
                      <m:rPr/>
                      <w:rPr>
                        <w:rFonts w:ascii="Cambria Math" w:hAnsi="Cambria Math"/>
                      </w:rPr>
                      <m:t>D</m:t>
                    </m:r>
                    <m:ctrlPr>
                      <w:rPr>
                        <w:rFonts w:ascii="Cambria Math" w:hAnsi="Cambria Math"/>
                        <w:i/>
                      </w:rPr>
                    </m:ctrlPr>
                  </m:den>
                </m:f>
                <m:r>
                  <m:rP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w:rPr>
                            <w:rFonts w:ascii="Cambria Math" w:hAnsi="Cambria Math"/>
                          </w:rPr>
                          <m:t>2</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fName>
                          <m:e>
                            <m:f>
                              <m:fPr>
                                <m:ctrlPr>
                                  <w:rPr>
                                    <w:rFonts w:ascii="Cambria Math" w:hAnsi="Cambria Math"/>
                                    <w:i/>
                                  </w:rPr>
                                </m:ctrlPr>
                              </m:fPr>
                              <m:num>
                                <m:r>
                                  <m:rPr/>
                                  <w:rPr>
                                    <w:rFonts w:ascii="Cambria Math" w:hAnsi="Cambria Math"/>
                                  </w:rPr>
                                  <m:t>b</m:t>
                                </m:r>
                                <m:ctrlPr>
                                  <w:rPr>
                                    <w:rFonts w:ascii="Cambria Math" w:hAnsi="Cambria Math"/>
                                    <w:i/>
                                  </w:rPr>
                                </m:ctrlPr>
                              </m:num>
                              <m:den>
                                <m:r>
                                  <m:rPr/>
                                  <w:rPr>
                                    <w:rFonts w:ascii="Cambria Math" w:hAnsi="Cambria Math"/>
                                  </w:rPr>
                                  <m:t>D</m:t>
                                </m:r>
                                <m:ctrlPr>
                                  <w:rPr>
                                    <w:rFonts w:ascii="Cambria Math" w:hAnsi="Cambria Math"/>
                                    <w:i/>
                                  </w:rPr>
                                </m:ctrlPr>
                              </m:den>
                            </m:f>
                            <m:ctrlPr>
                              <w:rPr>
                                <w:rFonts w:ascii="Cambria Math" w:hAnsi="Cambria Math"/>
                                <w:i/>
                              </w:rPr>
                            </m:ctrlPr>
                          </m:e>
                        </m:func>
                        <m:ctrlPr>
                          <w:rPr>
                            <w:rFonts w:ascii="Cambria Math" w:hAnsi="Cambria Math"/>
                            <w:i/>
                          </w:rPr>
                        </m:ctrlPr>
                      </m:e>
                    </m:d>
                    <m:ctrlPr>
                      <w:rPr>
                        <w:rFonts w:ascii="Cambria Math" w:hAnsi="Cambria Math"/>
                        <w:i/>
                      </w:rPr>
                    </m:ctrlPr>
                  </m:e>
                </m:func>
                <m:ctrlPr>
                  <w:rPr>
                    <w:rFonts w:ascii="Cambria Math" w:hAnsi="Cambria Math"/>
                    <w:i/>
                  </w:rPr>
                </m:ctrlPr>
              </m:e>
            </m:func>
            <m:ctrlPr>
              <w:rPr>
                <w:rFonts w:ascii="Cambria Math" w:hAnsi="Cambria Math"/>
                <w:i/>
              </w:rPr>
            </m:ctrlPr>
          </m:e>
        </m:d>
      </m:oMath>
      <w:r>
        <w:rPr>
          <w:rFonts w:hint="eastAsia" w:hAnsi="Cambria Math"/>
        </w:rPr>
        <w:t xml:space="preserve">                     (1)</w:t>
      </w:r>
    </w:p>
    <w:p>
      <w:pPr>
        <w:ind w:firstLine="480"/>
        <w:jc w:val="right"/>
        <w:rPr>
          <w:rFonts w:hAnsi="Cambria Math"/>
        </w:rPr>
      </w:pPr>
    </w:p>
    <w:p>
      <w:pPr>
        <w:ind w:firstLine="480"/>
      </w:pPr>
      <w:r>
        <w:rPr>
          <w:rFonts w:hint="eastAsia"/>
        </w:rPr>
        <w:t>式中，</w:t>
      </w:r>
      <w:r>
        <w:t>Vk</w:t>
      </w:r>
      <w:r>
        <w:rPr>
          <w:rFonts w:hint="eastAsia"/>
        </w:rPr>
        <w:t>是磨损体积损失（</w:t>
      </w:r>
      <w:r>
        <w:t>mm3</w:t>
      </w:r>
      <w:r>
        <w:rPr>
          <w:rFonts w:hint="eastAsia"/>
        </w:rPr>
        <w:t>），</w:t>
      </w:r>
      <w:r>
        <w:t>D</w:t>
      </w:r>
      <w:r>
        <w:rPr>
          <w:rFonts w:hint="eastAsia"/>
        </w:rPr>
        <w:t>是环对应物的直径（</w:t>
      </w:r>
      <w:r>
        <w:t>mm</w:t>
      </w:r>
      <w:r>
        <w:rPr>
          <w:rFonts w:hint="eastAsia"/>
        </w:rPr>
        <w:t>），</w:t>
      </w:r>
      <w:r>
        <w:t>t</w:t>
      </w:r>
      <w:r>
        <w:rPr>
          <w:rFonts w:hint="eastAsia"/>
        </w:rPr>
        <w:t>是磨损试验样品的宽度（</w:t>
      </w:r>
      <w:r>
        <w:t>mm</w:t>
      </w:r>
      <w:r>
        <w:rPr>
          <w:rFonts w:hint="eastAsia"/>
        </w:rPr>
        <w:t>），</w:t>
      </w:r>
      <w:r>
        <w:t>b</w:t>
      </w:r>
      <w:r>
        <w:rPr>
          <w:rFonts w:hint="eastAsia"/>
        </w:rPr>
        <w:t>是磨损轨迹的平均宽度（</w:t>
      </w:r>
      <w:r>
        <w:t>mm</w:t>
      </w:r>
      <w:r>
        <w:rPr>
          <w:rFonts w:hint="eastAsia"/>
        </w:rPr>
        <w:t>）。本次计算中使用了在磨损轨迹中间和两端测得的三个值的平均值。</w:t>
      </w:r>
    </w:p>
    <w:p>
      <w:pPr>
        <w:ind w:firstLine="480"/>
      </w:pPr>
    </w:p>
    <w:p>
      <w:pPr>
        <w:ind w:firstLine="0" w:firstLineChars="0"/>
        <w:jc w:val="center"/>
      </w:pPr>
      <w:r>
        <w:drawing>
          <wp:inline distT="0" distB="0" distL="114300" distR="114300">
            <wp:extent cx="5576570" cy="4111625"/>
            <wp:effectExtent l="0" t="0" r="1270" b="317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64"/>
                    <a:stretch>
                      <a:fillRect/>
                    </a:stretch>
                  </pic:blipFill>
                  <pic:spPr>
                    <a:xfrm>
                      <a:off x="0" y="0"/>
                      <a:ext cx="5576570" cy="4111625"/>
                    </a:xfrm>
                    <a:prstGeom prst="rect">
                      <a:avLst/>
                    </a:prstGeom>
                    <a:noFill/>
                    <a:ln>
                      <a:noFill/>
                    </a:ln>
                  </pic:spPr>
                </pic:pic>
              </a:graphicData>
            </a:graphic>
          </wp:inline>
        </w:drawing>
      </w:r>
    </w:p>
    <w:p>
      <w:pPr>
        <w:pStyle w:val="9"/>
        <w:ind w:firstLine="400"/>
        <w:jc w:val="center"/>
      </w:pPr>
      <w:r>
        <w:t xml:space="preserve">图 </w:t>
      </w:r>
      <w:r>
        <w:rPr>
          <w:rFonts w:hint="eastAsia"/>
        </w:rPr>
        <w:t xml:space="preserve">7  </w:t>
      </w:r>
      <w:r>
        <w:t>（a） 磨损结果，（b）摩擦系数和磨痕（c）在基材上，以及（d）在通过组合UIT和电火花加工处理的样品上。</w:t>
      </w:r>
    </w:p>
    <w:p>
      <w:pPr>
        <w:ind w:firstLine="480"/>
      </w:pPr>
    </w:p>
    <w:p>
      <w:pPr>
        <w:ind w:firstLine="480"/>
      </w:pPr>
      <w:r>
        <w:rPr>
          <w:rFonts w:hint="eastAsia"/>
        </w:rPr>
        <w:t>如图</w:t>
      </w:r>
      <w:r>
        <w:t>7a</w:t>
      </w:r>
      <w:r>
        <w:rPr>
          <w:rFonts w:hint="eastAsia"/>
        </w:rPr>
        <w:t>所示，经</w:t>
      </w:r>
      <w:r>
        <w:t>UIT</w:t>
      </w:r>
      <w:r>
        <w:rPr>
          <w:rFonts w:hint="eastAsia"/>
        </w:rPr>
        <w:t>和电火花联合处理的试样的耐磨性明显高于</w:t>
      </w:r>
      <w:r>
        <w:t>Ti–6Al–4V</w:t>
      </w:r>
      <w:r>
        <w:rPr>
          <w:rFonts w:hint="eastAsia"/>
        </w:rPr>
        <w:t>基体的耐磨性。虽然摩擦系数相当高，但磨损体积损失减少了四个数量级。在图</w:t>
      </w:r>
      <w:r>
        <w:t>7c</w:t>
      </w:r>
      <w:r>
        <w:rPr>
          <w:rFonts w:hint="eastAsia"/>
        </w:rPr>
        <w:t>中，可以看到磨损轨迹上有明显的沟槽，这是磨料磨损的典型特征</w:t>
      </w:r>
      <w:r>
        <w:t>[3]</w:t>
      </w:r>
      <w:r>
        <w:rPr>
          <w:rFonts w:hint="eastAsia"/>
        </w:rPr>
        <w:t>。由于基体材料的硬度低于环形材料（约</w:t>
      </w:r>
      <w:r>
        <w:t>819HV</w:t>
      </w:r>
      <w:r>
        <w:rPr>
          <w:rFonts w:hint="eastAsia"/>
        </w:rPr>
        <w:t>），基体材料表面的微栓子被挤压，在磨损过程中发生塑性变形。然后，经过加工硬化的微浮雕从基材上脱落，变成磨粒。因此，母材被磨粒和对应物上的微栓子切割，从而在磨损轨迹上形成沟槽</w:t>
      </w:r>
      <w:r>
        <w:t>[7]</w:t>
      </w:r>
      <w:r>
        <w:rPr>
          <w:rFonts w:hint="eastAsia"/>
        </w:rPr>
        <w:t>。</w:t>
      </w:r>
    </w:p>
    <w:p>
      <w:pPr>
        <w:ind w:firstLine="480"/>
      </w:pPr>
      <w:r>
        <w:rPr>
          <w:rFonts w:hint="eastAsia"/>
        </w:rPr>
        <w:t>另一方面，对于经过</w:t>
      </w:r>
      <w:r>
        <w:t>UIT</w:t>
      </w:r>
      <w:r>
        <w:rPr>
          <w:rFonts w:hint="eastAsia"/>
        </w:rPr>
        <w:t>和电火花联合加工的试样，磨损机制主要是粘着磨损。涂层的硬度与对应物的硬度相似，因此涂层不会被对应物加工硬化或切割。此外，涂层中铁的存在导致了很强的粘附效应，因此，经</w:t>
      </w:r>
      <w:r>
        <w:t>UIT</w:t>
      </w:r>
      <w:r>
        <w:rPr>
          <w:rFonts w:hint="eastAsia"/>
        </w:rPr>
        <w:t>和电火花联合处理的试样的摩擦系数高于基体材料的摩擦系数。作为疲劳磨损的典型特征，磨损轨迹上未出现裂纹的原因可能是非晶相和纳米晶以及压缩残余应力提高了材料的韧性。从图</w:t>
      </w:r>
      <w:r>
        <w:t>7d</w:t>
      </w:r>
      <w:r>
        <w:rPr>
          <w:rFonts w:hint="eastAsia"/>
        </w:rPr>
        <w:t>中，我们可以看到可见的粘着痕迹（</w:t>
      </w:r>
      <w:r>
        <w:t>A</w:t>
      </w:r>
      <w:r>
        <w:rPr>
          <w:rFonts w:hint="eastAsia"/>
        </w:rPr>
        <w:t>）和粘着磨损形成的对应物（</w:t>
      </w:r>
      <w:r>
        <w:t>B</w:t>
      </w:r>
      <w:r>
        <w:rPr>
          <w:rFonts w:hint="eastAsia"/>
        </w:rPr>
        <w:t>）的碎片。因此，本实验证明该涂层具有优异的耐磨性。</w:t>
      </w:r>
    </w:p>
    <w:p>
      <w:pPr>
        <w:ind w:firstLine="480"/>
        <w:sectPr>
          <w:headerReference r:id="rId39" w:type="default"/>
          <w:headerReference r:id="rId40" w:type="even"/>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耐磨性的提高是多种因素综合作用的结果。虽然通过添加碳化钛氮化物和铁钛氧化物增加了涂层的硬度，但这些相也急剧降低了涂层的韧性，这可能导致涂层开裂和剥落。非晶相和纳米晶的存在提高了涂层的强度、硬度和韧性。因此，这些相与压缩残余应力场相结合，不仅使涂层具有高硬度和良好的耐磨性，而且还能防止开裂或剥落。</w:t>
      </w:r>
    </w:p>
    <w:p>
      <w:pPr>
        <w:ind w:firstLine="480"/>
      </w:pPr>
    </w:p>
    <w:p>
      <w:pPr>
        <w:pStyle w:val="2"/>
        <w:numPr>
          <w:ilvl w:val="0"/>
          <w:numId w:val="2"/>
        </w:numPr>
        <w:spacing w:before="240" w:after="480"/>
      </w:pPr>
      <w:bookmarkStart w:id="11" w:name="_Toc19504"/>
      <w:r>
        <w:t>结论</w:t>
      </w:r>
      <w:bookmarkEnd w:id="11"/>
    </w:p>
    <w:p>
      <w:pPr>
        <w:ind w:firstLine="480"/>
        <w:sectPr>
          <w:headerReference r:id="rId41" w:type="default"/>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已经开发了一种</w:t>
      </w:r>
      <w:r>
        <w:t>UIT</w:t>
      </w:r>
      <w:r>
        <w:rPr>
          <w:rFonts w:hint="eastAsia"/>
        </w:rPr>
        <w:t>和电火花联合工艺，用于在</w:t>
      </w:r>
      <w:r>
        <w:t>Ti–6Al–4V</w:t>
      </w:r>
      <w:r>
        <w:rPr>
          <w:rFonts w:hint="eastAsia"/>
        </w:rPr>
        <w:t>基材上制备硬质耐磨涂层。所得涂层的厚度为</w:t>
      </w:r>
      <w:r>
        <w:t>12</w:t>
      </w:r>
      <w:r>
        <w:rPr>
          <w:rFonts w:hint="eastAsia"/>
        </w:rPr>
        <w:t xml:space="preserve"> </w:t>
      </w:r>
      <w:r>
        <w:rPr>
          <w:rFonts w:cs="Times New Roman"/>
        </w:rPr>
        <w:t>u</w:t>
      </w:r>
      <w:r>
        <w:t>m</w:t>
      </w:r>
      <w:r>
        <w:rPr>
          <w:rFonts w:hint="eastAsia"/>
        </w:rPr>
        <w:t>。此外，涂层中还含有新的碳化钛氮化物和铁钛氧化物相，其中还含有非晶相和纳米晶。此外，在涂层内和涂层下形成压缩残余应力场。这些因素都有助于显著提高涂层耐磨性。</w:t>
      </w:r>
    </w:p>
    <w:p>
      <w:pPr>
        <w:pStyle w:val="2"/>
        <w:spacing w:before="240" w:after="480"/>
      </w:pPr>
      <w:bookmarkStart w:id="12" w:name="_Toc27933"/>
      <w:r>
        <w:rPr>
          <w:rFonts w:hint="eastAsia"/>
        </w:rPr>
        <w:t>参考文献</w:t>
      </w:r>
      <w:bookmarkEnd w:id="12"/>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Budzynski P, Youssef AA, Sielanko J. Surface modification of Ti–6Al–4V alloy by nitrogen ion implantation. Wear 2006;261:1271–6.</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Romankov S, Komarov SV, Vdovichenko E, Hayasaka Y, Hayashi N, Kaloshkin SD, et al. Fabrication of TiN coatings using mechanical milling techniques. Int JRefract Met H 2009;27:492–7.</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Hu R-H, Lim J-K. Hardness and wear resistance improvement of surface composite layer on Ti–6Al–4V substrate fabricated by powder sintering. Mater Des 2010;31:2670–5.</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Dancer CEJ, Yahya NA, Berndt T, Todd RI, de Portu G. Effect of residual compressive surface stress on severe wear of alumina–silicon carbide two-layered composites. Tribol Int 2014;74:87–92.</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Cassar G, Banfield S, Wilson JCA-B, Housden J, Matthews A, Leyland A.Tribological properties of duplex plasma oxidised, nitrided and PVD coated Ti–6Al–4V. Surf Coat Technol 2011;206:395–404.</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Abd El-Rahman AM, Raaif M, Mohamed SH, Kolitsch A. Mechanical and ellipsometry measurements of thin TiN layer prepared by PIII. Mater ChemPhys 2012;132:91–5.</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Yang Y, Zhang D, Yan W, Zheng Y. Microstructure and wear properties of TiCN/Ti coatings on titanium alloy by laser cladding. Opt Laser Eng 2010;48:119–24.</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Nie X, Leyland A, Song HW, Yerokhin AL, Dowey SJ, Matthews A. Thickness effects on the mechanical properties of micro-arc discharge oxide coatings on aluminium alloys. Surf Coat Technol 1999;116:1055–60.</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Statnikov ES, Korolkov OV, Vityazev VN. Physics and mechanism of ultrasonic impact. Ultrasonics 2006;44. pp. E533-E8.</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Zhao X, Wang D, Huo L. Analysis of the S–N curves of welded joints enhanced by ultrasonic peening treatment. Mater Des 2011;32:88–96.</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Abdullah A, Malaki M, Eskandari A. Strength enhancement of the welded structures by ultrasonic peening. Mater Des 2012;38:7–18.</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Wang T, Wang D, Huo L, Zhang Y. Discussion on fatigue design of welded joints enhanced by ultrasonic peening treatment (UPT). Int J Fatigue 2009;31:644–50.</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Yin D, Wang D, Jing H, Huo L. The effects of ultrasonic peening treatment on the ultra-long life fatigue behavior of welded joints. Mater Des 2010;31:3299–307.</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 xml:space="preserve"> Ting W, Dongpo W, Gang L, Baoming G, Ningxia S. Investigations on the nanocrystallization of 40Cr using ultrasonic surface rolling processing. Appl Surf Sci 2008;255:1824–9.</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 xml:space="preserve"> Xie Y-j, Wang M-c. Isothermal oxidation behavior of electrospark deposited MCrAlX-type coatings on a Ni-based superalloy. J Alloy Compd 2009;480:454–61.</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Zamulaeva EI, Levashov EA, Kudryashov AE, Vakaev PV, Petrzhik MI. Electrospark coatings deposited onto an Armco iron substrate with nano-and microstructured WC-Co electrodes: deposition process, structure, and properties. Surf Coat Technol 2008;202:3715–22.</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Montay G, Cherouat A, Nussair A, Lu J. Residual stresses in coating technology. J Mater Sci Technol 2004;20:81–4.</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Ahmaniemi S, Vippola M, Vuoristo P, Mäntylä T, Buchmann M, Gadow R. Residual stresses in aluminium phosphate sealed plasma sprayed oxide coatings and their effect on abrasive wear. Wear 2002;252:614–23.</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rPr>
          <w:rStyle w:val="41"/>
          <w:rFonts w:hint="default" w:ascii="Times New Roman" w:hAnsi="Times New Roman" w:cs="Times New Roman"/>
          <w:color w:val="000000" w:themeColor="text1"/>
          <w:sz w:val="21"/>
          <w:szCs w:val="21"/>
          <w14:textFill>
            <w14:solidFill>
              <w14:schemeClr w14:val="tx1"/>
            </w14:solidFill>
          </w14:textFill>
        </w:rPr>
      </w:pPr>
      <w:r>
        <w:rPr>
          <w:rStyle w:val="41"/>
          <w:rFonts w:hint="default" w:ascii="Times New Roman" w:hAnsi="Times New Roman" w:cs="Times New Roman"/>
          <w:color w:val="000000" w:themeColor="text1"/>
          <w:sz w:val="21"/>
          <w:szCs w:val="21"/>
          <w14:textFill>
            <w14:solidFill>
              <w14:schemeClr w14:val="tx1"/>
            </w14:solidFill>
          </w14:textFill>
        </w:rPr>
        <w:t>Ren XD, Zhan QB, Yang HM, Dai FZ, Cui CY, Sun GF, et al. The effects of residual stress on fatigue behavior and crack propagation from laser shock processing- worked hole. Mater Des 2013;44:149–54.</w:t>
      </w:r>
    </w:p>
    <w:p>
      <w:pPr>
        <w:keepNext w:val="0"/>
        <w:keepLines w:val="0"/>
        <w:pageBreakBefore w:val="0"/>
        <w:widowControl w:val="0"/>
        <w:numPr>
          <w:ilvl w:val="0"/>
          <w:numId w:val="3"/>
        </w:numPr>
        <w:kinsoku/>
        <w:wordWrap/>
        <w:overflowPunct/>
        <w:topLinePunct w:val="0"/>
        <w:autoSpaceDE/>
        <w:autoSpaceDN/>
        <w:bidi w:val="0"/>
        <w:adjustRightInd/>
        <w:snapToGrid/>
        <w:ind w:left="480" w:hanging="420" w:hangingChars="200"/>
        <w:textAlignment w:val="auto"/>
        <w:sectPr>
          <w:headerReference r:id="rId42" w:type="default"/>
          <w:headerReference r:id="rId43" w:type="even"/>
          <w:footnotePr>
            <w:numFmt w:val="decimalEnclosedCircleChinese"/>
            <w:numRestart w:val="eachSect"/>
          </w:footnotePr>
          <w:pgSz w:w="11907" w:h="16840"/>
          <w:pgMar w:top="1418" w:right="1418" w:bottom="1418" w:left="1701" w:header="850" w:footer="850" w:gutter="0"/>
          <w:cols w:space="425" w:num="1"/>
          <w:docGrid w:linePitch="384" w:charSpace="7430"/>
        </w:sectPr>
      </w:pPr>
      <w:r>
        <w:rPr>
          <w:rStyle w:val="41"/>
          <w:rFonts w:hint="default" w:ascii="Times New Roman" w:hAnsi="Times New Roman" w:cs="Times New Roman"/>
          <w:color w:val="000000" w:themeColor="text1"/>
          <w:sz w:val="21"/>
          <w:szCs w:val="21"/>
          <w14:textFill>
            <w14:solidFill>
              <w14:schemeClr w14:val="tx1"/>
            </w14:solidFill>
          </w14:textFill>
        </w:rPr>
        <w:t>Ahmadi-Pidani R, Shoja-Razavi R, Mozafarinia R, Jamali H. Improving the hot corrosion resistance of plasma sprayed ceria–yttria stabilized zirconia thermal barrier coatings by laser surface treatment. Mater Des 2014;57:336–41.</w:t>
      </w:r>
    </w:p>
    <w:tbl>
      <w:tblPr>
        <w:tblStyle w:val="21"/>
        <w:tblW w:w="0" w:type="auto"/>
        <w:tblInd w:w="-1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8718" w:type="dxa"/>
            <w:noWrap w:val="0"/>
            <w:vAlign w:val="top"/>
          </w:tcPr>
          <w:p>
            <w:pPr>
              <w:ind w:firstLine="0" w:firstLineChars="0"/>
              <w:rPr>
                <w:rFonts w:hint="eastAsia" w:ascii="宋体" w:hAnsi="宋体" w:cs="宋体"/>
                <w:caps/>
              </w:rPr>
            </w:pPr>
            <w:r>
              <w:rPr>
                <w:rFonts w:hint="eastAsia" w:ascii="宋体" w:hAnsi="宋体" w:cs="宋体"/>
                <w:lang w:bidi="ar"/>
              </w:rPr>
              <w:t>指导教师意见：</w:t>
            </w: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tabs>
                <w:tab w:val="left" w:pos="5952"/>
                <w:tab w:val="left" w:pos="6232"/>
                <w:tab w:val="left" w:pos="6452"/>
                <w:tab w:val="left" w:pos="6887"/>
                <w:tab w:val="left" w:pos="7632"/>
                <w:tab w:val="left" w:pos="8272"/>
                <w:tab w:val="left" w:pos="8532"/>
              </w:tabs>
              <w:spacing w:after="156" w:afterLines="50"/>
              <w:ind w:firstLine="4560" w:firstLineChars="1900"/>
              <w:rPr>
                <w:rFonts w:hint="eastAsia" w:ascii="宋体" w:hAnsi="宋体" w:cs="宋体"/>
                <w:lang w:bidi="ar"/>
              </w:rPr>
            </w:pPr>
          </w:p>
          <w:p>
            <w:pPr>
              <w:tabs>
                <w:tab w:val="left" w:pos="5952"/>
                <w:tab w:val="left" w:pos="6232"/>
                <w:tab w:val="left" w:pos="6452"/>
                <w:tab w:val="left" w:pos="6887"/>
                <w:tab w:val="left" w:pos="7632"/>
                <w:tab w:val="left" w:pos="8272"/>
                <w:tab w:val="left" w:pos="8532"/>
              </w:tabs>
              <w:spacing w:after="156" w:afterLines="50"/>
              <w:ind w:firstLine="4560" w:firstLineChars="1900"/>
              <w:rPr>
                <w:rFonts w:hint="eastAsia" w:ascii="宋体" w:hAnsi="宋体" w:cs="宋体"/>
              </w:rPr>
            </w:pPr>
            <w:r>
              <w:rPr>
                <w:rFonts w:hint="eastAsia" w:ascii="宋体" w:hAnsi="宋体" w:cs="宋体"/>
                <w:lang w:bidi="ar"/>
              </w:rPr>
              <w:t>指导教师签名：</w:t>
            </w:r>
          </w:p>
          <w:p>
            <w:pPr>
              <w:widowControl/>
              <w:ind w:firstLine="480"/>
              <w:jc w:val="right"/>
            </w:pPr>
            <w:r>
              <w:rPr>
                <w:rFonts w:hint="eastAsia" w:ascii="宋体" w:hAnsi="宋体"/>
                <w:lang w:bidi="ar"/>
              </w:rPr>
              <w:t>年    月    日</w:t>
            </w:r>
          </w:p>
          <w:p>
            <w:pPr>
              <w:widowControl/>
              <w:ind w:firstLine="480"/>
              <w:jc w:val="lef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8718" w:type="dxa"/>
            <w:noWrap w:val="0"/>
            <w:vAlign w:val="top"/>
          </w:tcPr>
          <w:p>
            <w:pPr>
              <w:ind w:firstLine="0" w:firstLineChars="0"/>
              <w:rPr>
                <w:rFonts w:hint="eastAsia" w:ascii="宋体" w:hAnsi="宋体" w:cs="宋体"/>
              </w:rPr>
            </w:pPr>
            <w:r>
              <w:rPr>
                <w:rFonts w:hint="eastAsia" w:ascii="宋体" w:hAnsi="宋体" w:cs="宋体"/>
                <w:lang w:bidi="ar"/>
              </w:rPr>
              <w:t>系（教研室）意见：</w:t>
            </w: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tabs>
                <w:tab w:val="left" w:pos="5852"/>
                <w:tab w:val="left" w:pos="6132"/>
                <w:tab w:val="left" w:pos="6452"/>
                <w:tab w:val="left" w:pos="6732"/>
              </w:tabs>
              <w:ind w:firstLine="5040" w:firstLineChars="2100"/>
              <w:rPr>
                <w:rFonts w:hint="eastAsia" w:ascii="宋体" w:hAnsi="宋体" w:cs="宋体"/>
                <w:lang w:bidi="ar"/>
              </w:rPr>
            </w:pPr>
            <w:r>
              <w:rPr>
                <w:rFonts w:hint="eastAsia" w:ascii="宋体" w:hAnsi="宋体" w:cs="宋体"/>
                <w:lang w:bidi="ar"/>
              </w:rPr>
              <w:t>主任签字：</w:t>
            </w:r>
          </w:p>
          <w:p>
            <w:pPr>
              <w:tabs>
                <w:tab w:val="left" w:pos="5852"/>
                <w:tab w:val="left" w:pos="6132"/>
                <w:tab w:val="left" w:pos="6452"/>
                <w:tab w:val="left" w:pos="6732"/>
              </w:tabs>
              <w:ind w:firstLine="5040" w:firstLineChars="2100"/>
              <w:rPr>
                <w:rFonts w:hint="eastAsia" w:ascii="宋体" w:hAnsi="宋体" w:cs="宋体"/>
                <w:lang w:bidi="ar"/>
              </w:rPr>
            </w:pPr>
          </w:p>
          <w:p>
            <w:pPr>
              <w:widowControl/>
              <w:ind w:firstLine="480"/>
              <w:jc w:val="right"/>
            </w:pPr>
            <w:r>
              <w:rPr>
                <w:rFonts w:hint="eastAsia" w:ascii="宋体" w:hAnsi="宋体"/>
                <w:lang w:bidi="ar"/>
              </w:rPr>
              <w:t>年    月    日</w:t>
            </w:r>
          </w:p>
          <w:p>
            <w:pPr>
              <w:widowControl/>
              <w:ind w:firstLine="480"/>
              <w:jc w:val="left"/>
              <w:rPr>
                <w:rFonts w:hint="eastAsia"/>
              </w:rPr>
            </w:pPr>
          </w:p>
        </w:tc>
      </w:tr>
    </w:tbl>
    <w:p>
      <w:pPr>
        <w:ind w:firstLine="480"/>
      </w:pPr>
    </w:p>
    <w:p>
      <w:pPr>
        <w:ind w:left="0" w:leftChars="0" w:firstLine="0" w:firstLineChars="0"/>
      </w:pPr>
      <w:bookmarkStart w:id="13" w:name="_GoBack"/>
      <w:bookmarkEnd w:id="13"/>
    </w:p>
    <w:sectPr>
      <w:headerReference r:id="rId44" w:type="default"/>
      <w:footerReference r:id="rId46" w:type="default"/>
      <w:headerReference r:id="rId45" w:type="even"/>
      <w:footerReference r:id="rId47" w:type="even"/>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both"/>
      <w:rPr>
        <w:sz w:val="21"/>
        <w:szCs w:val="21"/>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both"/>
      <w:rPr>
        <w:sz w:val="21"/>
        <w:szCs w:val="21"/>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5"/>
                            <w:ind w:firstLine="0" w:firstLineChars="0"/>
                            <w:jc w:val="center"/>
                          </w:pPr>
                          <w:r>
                            <w:fldChar w:fldCharType="begin"/>
                          </w:r>
                          <w:r>
                            <w:instrText xml:space="preserve"> PAGE  \* MERGEFORMAT </w:instrText>
                          </w:r>
                          <w:r>
                            <w:fldChar w:fldCharType="separate"/>
                          </w:r>
                          <w:r>
                            <w:t>2</w:t>
                          </w:r>
                          <w:r>
                            <w:fldChar w:fldCharType="end"/>
                          </w:r>
                        </w:p>
                      </w:txbxContent>
                    </wps:txbx>
                    <wps:bodyPr wrap="none" lIns="0" tIns="0" rIns="0" bIns="0" upright="1">
                      <a:spAutoFit/>
                    </wps:bodyPr>
                  </wps:wsp>
                </a:graphicData>
              </a:graphic>
            </wp:anchor>
          </w:drawing>
        </mc:Choice>
        <mc:Fallback>
          <w:pict>
            <v:shape id="文本框 10"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OqXm5zwAAAAUBAAAPAAAAAAAAAAEAIAAAACIAAABkcnMvZG93bnJldi54bWxQ&#10;SwECFAAUAAAACACHTuJAFMY338cBAACaAwAADgAAAAAAAAABACAAAAAeAQAAZHJzL2Uyb0RvYy54&#10;bWxQSwUGAAAAAAYABgBZAQAAVwUAAAAA&#10;">
              <v:fill on="f" focussize="0,0"/>
              <v:stroke on="f"/>
              <v:imagedata o:title=""/>
              <o:lock v:ext="edit" aspectratio="f"/>
              <v:textbox inset="0mm,0mm,0mm,0mm" style="mso-fit-shape-to-text:t;">
                <w:txbxContent>
                  <w:p>
                    <w:pPr>
                      <w:pStyle w:val="15"/>
                      <w:ind w:firstLine="0" w:firstLineChars="0"/>
                      <w:jc w:val="center"/>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both"/>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5"/>
                            <w:ind w:firstLine="360"/>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 id="文本框 11"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ny5LMIBAACO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pt6IoSxy0O/PLzx+XXn8vv72S5&#10;zPr0AWpMuw+YmIZ3fsCtmf2Azkx7UNHmLxIiGEd1z1d15ZCIyI/Wq/W6wpDA2HxBfPbwPERI76W3&#10;JBsNjTi+oio/fYQ0ps4puZrzd9qYMkLj/nEgZvaw3PvYY7bSsB8mQnvfnpFPj5NvqMNFp8R8cChs&#10;XpLZiLOxn4xcA8LtMWHh0k9GHaGmYjimwmhaqbwHj+8l6+E32v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Ep8uSzCAQAAjgMAAA4AAAAAAAAAAQAgAAAAHgEAAGRycy9lMm9Eb2MueG1sUEsF&#10;BgAAAAAGAAYAWQEAAFIFAAAAAA==&#10;">
              <v:fill on="f" focussize="0,0"/>
              <v:stroke on="f"/>
              <v:imagedata o:title=""/>
              <o:lock v:ext="edit" aspectratio="f"/>
              <v:textbox inset="0mm,0mm,0mm,0mm" style="mso-fit-shape-to-text:t;">
                <w:txbxContent>
                  <w:p>
                    <w:pPr>
                      <w:pStyle w:val="15"/>
                      <w:ind w:firstLine="36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both"/>
      <w:rPr>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both"/>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5"/>
                            <w:ind w:firstLine="0" w:firstLineChars="0"/>
                            <w:jc w:val="center"/>
                          </w:pPr>
                          <w:r>
                            <w:fldChar w:fldCharType="begin"/>
                          </w:r>
                          <w:r>
                            <w:instrText xml:space="preserve"> PAGE  \* MERGEFORMAT </w:instrText>
                          </w:r>
                          <w:r>
                            <w:fldChar w:fldCharType="separate"/>
                          </w:r>
                          <w:r>
                            <w:t>2</w:t>
                          </w:r>
                          <w:r>
                            <w:fldChar w:fldCharType="end"/>
                          </w:r>
                        </w:p>
                      </w:txbxContent>
                    </wps:txbx>
                    <wps:bodyPr wrap="none" lIns="0" tIns="0" rIns="0" bIns="0" upright="1">
                      <a:spAutoFit/>
                    </wps:bodyPr>
                  </wps:wsp>
                </a:graphicData>
              </a:graphic>
            </wp:anchor>
          </w:drawing>
        </mc:Choice>
        <mc:Fallback>
          <w:pict>
            <v:shape id="文本框 10"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Jt2G4nIAQAAmgMAAA4AAAAAAAAAAQAgAAAAHgEAAGRycy9lMm9Eb2Mu&#10;eG1sUEsFBgAAAAAGAAYAWQEAAFgFAAAAAA==&#10;">
              <v:fill on="f" focussize="0,0"/>
              <v:stroke on="f"/>
              <v:imagedata o:title=""/>
              <o:lock v:ext="edit" aspectratio="f"/>
              <v:textbox inset="0mm,0mm,0mm,0mm" style="mso-fit-shape-to-text:t;">
                <w:txbxContent>
                  <w:p>
                    <w:pPr>
                      <w:pStyle w:val="15"/>
                      <w:ind w:firstLine="0" w:firstLineChars="0"/>
                      <w:jc w:val="center"/>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both"/>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5"/>
                            <w:ind w:firstLine="360"/>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 id="文本框 11"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scOs8IBAACP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UBJHLc48cvPH5dffy6/v5Pl&#10;MgvUB6gx7z5gZhre+QGTZz+gM/MeVLT5i4wIxhHrfJVXDomI/Gi9Wq8rDAmMzRfEZw/PQ4T0XnpL&#10;stHQiPMrsvLTR0hj6pySqzl/p40pMzTuHwdiZg/LvY89ZisN+2EitPftGfn0OPqGOtx0SswHh8pi&#10;f2k24mzsJyPXgHB7TFi49JNRR6ipGM6pMJp2Ki/C43vJeviPt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G7HDrPCAQAAjwMAAA4AAAAAAAAAAQAgAAAAHgEAAGRycy9lMm9Eb2MueG1sUEsF&#10;BgAAAAAGAAYAWQEAAFIFAAAAAA==&#10;">
              <v:fill on="f" focussize="0,0"/>
              <v:stroke on="f"/>
              <v:imagedata o:title=""/>
              <o:lock v:ext="edit" aspectratio="f"/>
              <v:textbox inset="0mm,0mm,0mm,0mm" style="mso-fit-shape-to-text:t;">
                <w:txbxContent>
                  <w:p>
                    <w:pPr>
                      <w:pStyle w:val="15"/>
                      <w:ind w:firstLine="36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both"/>
      <w:rPr>
        <w:sz w:val="21"/>
        <w:szCs w:val="21"/>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结论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spacing w:line="240" w:lineRule="auto"/>
      <w:ind w:firstLine="0" w:firstLineChars="0"/>
      <w:rPr>
        <w:rFonts w:hint="eastAsia"/>
        <w:sz w:val="21"/>
        <w:szCs w:val="21"/>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摘要</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摘要</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目录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目录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导言</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r>
      <w:rPr>
        <w:rFonts w:hint="eastAsia"/>
      </w:rPr>
      <w:t>实验与原理</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tabs>
        <w:tab w:val="left" w:pos="1661"/>
      </w:tabs>
      <w:spacing w:line="240" w:lineRule="auto"/>
      <w:ind w:firstLine="0" w:firstLineChars="0"/>
      <w:jc w:val="left"/>
      <w:rPr>
        <w:rFonts w:hint="eastAsia" w:eastAsia="宋体"/>
        <w:sz w:val="21"/>
        <w:szCs w:val="21"/>
        <w:lang w:eastAsia="zh-CN"/>
      </w:rPr>
    </w:pPr>
    <w:r>
      <w:rPr>
        <w:rFonts w:hint="eastAsia"/>
        <w:sz w:val="21"/>
        <w:szCs w:val="21"/>
        <w:lang w:eastAsia="zh-CN"/>
      </w:rP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实验语与原理</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结果与讨论</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结果与讨论</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结论</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rPr>
        <w:rFonts w:hint="default" w:eastAsia="宋体"/>
        <w:lang w:val="en-US" w:eastAsia="zh-CN"/>
      </w:rPr>
    </w:pPr>
    <w:r>
      <w:rPr>
        <w:rFonts w:hint="eastAsia"/>
        <w:lang w:val="en-US" w:eastAsia="zh-CN"/>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参考文献</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36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tabs>
        <w:tab w:val="left" w:pos="1661"/>
      </w:tabs>
      <w:spacing w:line="240" w:lineRule="auto"/>
      <w:ind w:firstLine="0" w:firstLineChars="0"/>
      <w:jc w:val="left"/>
      <w:rPr>
        <w:rFonts w:hint="eastAsia" w:eastAsia="宋体"/>
        <w:sz w:val="21"/>
        <w:szCs w:val="21"/>
        <w:lang w:eastAsia="zh-CN"/>
      </w:rPr>
    </w:pPr>
    <w:r>
      <w:rPr>
        <w:rFonts w:hint="eastAsia"/>
        <w:sz w:val="21"/>
        <w:szCs w:val="21"/>
        <w:lang w:eastAsia="zh-C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导论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实验性</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pPr>
    <w:r>
      <w:rPr>
        <w:rFonts w:hint="eastAsia"/>
      </w:rPr>
      <w:t>西安石油大学外文翻译</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line="240" w:lineRule="auto"/>
      <w:ind w:firstLine="0" w:firstLineChars="0"/>
      <w:rPr>
        <w:sz w:val="21"/>
        <w:szCs w:val="21"/>
      </w:rPr>
    </w:pPr>
    <w:r>
      <w:rPr>
        <w:rFonts w:hint="eastAsia"/>
        <w:sz w:val="21"/>
        <w:szCs w:val="21"/>
      </w:rPr>
      <w:t>结果与讨论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8A682"/>
    <w:multiLevelType w:val="multilevel"/>
    <w:tmpl w:val="A7B8A682"/>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E9702519"/>
    <w:multiLevelType w:val="multilevel"/>
    <w:tmpl w:val="E9702519"/>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D57B5C3"/>
    <w:multiLevelType w:val="singleLevel"/>
    <w:tmpl w:val="5D57B5C3"/>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evenAndOddHeaders w:val="1"/>
  <w:drawingGridHorizontalSpacing w:val="115"/>
  <w:drawingGridVerticalSpacing w:val="327"/>
  <w:noPunctuationKerning w:val="1"/>
  <w:characterSpacingControl w:val="compressPunctuation"/>
  <w:footnotePr>
    <w:numFmt w:val="decimalEnclosedCircleChinese"/>
    <w:numRestart w:val="eachSect"/>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Q3OWVlN2U2YjU2YmQ1M2Y2ZDMyZDIzYzE5NTlkZmUifQ=="/>
  </w:docVars>
  <w:rsids>
    <w:rsidRoot w:val="00703698"/>
    <w:rsid w:val="0001520B"/>
    <w:rsid w:val="000160C0"/>
    <w:rsid w:val="00031B37"/>
    <w:rsid w:val="00043E01"/>
    <w:rsid w:val="000630F1"/>
    <w:rsid w:val="000B6AC1"/>
    <w:rsid w:val="00117636"/>
    <w:rsid w:val="0014195C"/>
    <w:rsid w:val="001A2930"/>
    <w:rsid w:val="001B4227"/>
    <w:rsid w:val="001B7E12"/>
    <w:rsid w:val="001C16D0"/>
    <w:rsid w:val="001D7EFF"/>
    <w:rsid w:val="002067A3"/>
    <w:rsid w:val="002343BE"/>
    <w:rsid w:val="00297A4C"/>
    <w:rsid w:val="002D0D46"/>
    <w:rsid w:val="002D2B11"/>
    <w:rsid w:val="002E49B7"/>
    <w:rsid w:val="00383FD5"/>
    <w:rsid w:val="0039705C"/>
    <w:rsid w:val="00401AE5"/>
    <w:rsid w:val="0040211E"/>
    <w:rsid w:val="0044356D"/>
    <w:rsid w:val="00445406"/>
    <w:rsid w:val="0045196B"/>
    <w:rsid w:val="004523DD"/>
    <w:rsid w:val="00466976"/>
    <w:rsid w:val="00482A94"/>
    <w:rsid w:val="00492C9D"/>
    <w:rsid w:val="00514B77"/>
    <w:rsid w:val="00531A1D"/>
    <w:rsid w:val="00587E11"/>
    <w:rsid w:val="005C7B2D"/>
    <w:rsid w:val="00630F50"/>
    <w:rsid w:val="00692504"/>
    <w:rsid w:val="00694FFA"/>
    <w:rsid w:val="006B614C"/>
    <w:rsid w:val="006C0F71"/>
    <w:rsid w:val="006D425D"/>
    <w:rsid w:val="006F4AA4"/>
    <w:rsid w:val="00703698"/>
    <w:rsid w:val="00713D8C"/>
    <w:rsid w:val="00746A1C"/>
    <w:rsid w:val="00772B4F"/>
    <w:rsid w:val="007B29F0"/>
    <w:rsid w:val="00823CEA"/>
    <w:rsid w:val="00843C84"/>
    <w:rsid w:val="00873528"/>
    <w:rsid w:val="008C2BDF"/>
    <w:rsid w:val="00904B02"/>
    <w:rsid w:val="0090694A"/>
    <w:rsid w:val="00906FC1"/>
    <w:rsid w:val="00986D73"/>
    <w:rsid w:val="009951A4"/>
    <w:rsid w:val="009D540D"/>
    <w:rsid w:val="00A24AE1"/>
    <w:rsid w:val="00A44FC5"/>
    <w:rsid w:val="00A47F0F"/>
    <w:rsid w:val="00A50BF5"/>
    <w:rsid w:val="00A62019"/>
    <w:rsid w:val="00A70779"/>
    <w:rsid w:val="00B2369C"/>
    <w:rsid w:val="00BA57AB"/>
    <w:rsid w:val="00BB7A76"/>
    <w:rsid w:val="00BC1A9D"/>
    <w:rsid w:val="00BD744B"/>
    <w:rsid w:val="00BE31FD"/>
    <w:rsid w:val="00BF7850"/>
    <w:rsid w:val="00BF7B7A"/>
    <w:rsid w:val="00C0109F"/>
    <w:rsid w:val="00C03F70"/>
    <w:rsid w:val="00C176F9"/>
    <w:rsid w:val="00C410D5"/>
    <w:rsid w:val="00C44E60"/>
    <w:rsid w:val="00C73ECC"/>
    <w:rsid w:val="00C73F67"/>
    <w:rsid w:val="00CB34AF"/>
    <w:rsid w:val="00D5193E"/>
    <w:rsid w:val="00D64EA9"/>
    <w:rsid w:val="00D75F12"/>
    <w:rsid w:val="00D773E0"/>
    <w:rsid w:val="00DE73A5"/>
    <w:rsid w:val="00E00A5F"/>
    <w:rsid w:val="00E47442"/>
    <w:rsid w:val="00E519A8"/>
    <w:rsid w:val="00E97651"/>
    <w:rsid w:val="00EA2EAE"/>
    <w:rsid w:val="00EB6E7E"/>
    <w:rsid w:val="00EC7779"/>
    <w:rsid w:val="00F266D5"/>
    <w:rsid w:val="00F320FA"/>
    <w:rsid w:val="00F566D7"/>
    <w:rsid w:val="00F6549C"/>
    <w:rsid w:val="00FC69F4"/>
    <w:rsid w:val="00FC6E8A"/>
    <w:rsid w:val="00FD04EA"/>
    <w:rsid w:val="00FD71D4"/>
    <w:rsid w:val="00FE4628"/>
    <w:rsid w:val="04947F12"/>
    <w:rsid w:val="058D2F13"/>
    <w:rsid w:val="06082E0D"/>
    <w:rsid w:val="08ED6CEC"/>
    <w:rsid w:val="0C66480C"/>
    <w:rsid w:val="0E8539CB"/>
    <w:rsid w:val="10482BD9"/>
    <w:rsid w:val="138B6144"/>
    <w:rsid w:val="13FC049B"/>
    <w:rsid w:val="163A5128"/>
    <w:rsid w:val="17C67E75"/>
    <w:rsid w:val="1C845D3F"/>
    <w:rsid w:val="1F8A2739"/>
    <w:rsid w:val="222C70EA"/>
    <w:rsid w:val="25F10D8F"/>
    <w:rsid w:val="29923954"/>
    <w:rsid w:val="29CD2650"/>
    <w:rsid w:val="2A496B0C"/>
    <w:rsid w:val="2D7B6A29"/>
    <w:rsid w:val="2E5C3B01"/>
    <w:rsid w:val="301A2AA1"/>
    <w:rsid w:val="32387BAE"/>
    <w:rsid w:val="35D93977"/>
    <w:rsid w:val="378711C7"/>
    <w:rsid w:val="3A2D18D7"/>
    <w:rsid w:val="3D014D40"/>
    <w:rsid w:val="40D24B52"/>
    <w:rsid w:val="4D4F3CD2"/>
    <w:rsid w:val="50EE1034"/>
    <w:rsid w:val="51C5142F"/>
    <w:rsid w:val="54082333"/>
    <w:rsid w:val="5FF468CE"/>
    <w:rsid w:val="63AD6264"/>
    <w:rsid w:val="67A46096"/>
    <w:rsid w:val="689B6EBF"/>
    <w:rsid w:val="690E6E36"/>
    <w:rsid w:val="6AB82E3F"/>
    <w:rsid w:val="6B272A3A"/>
    <w:rsid w:val="6BE333F1"/>
    <w:rsid w:val="706D4F9D"/>
    <w:rsid w:val="707531DB"/>
    <w:rsid w:val="756720DD"/>
    <w:rsid w:val="76366FD0"/>
    <w:rsid w:val="77D67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0"/>
    <w:qFormat/>
    <w:uiPriority w:val="0"/>
    <w:pPr>
      <w:keepNext/>
      <w:keepLines/>
      <w:widowControl/>
      <w:tabs>
        <w:tab w:val="left" w:pos="377"/>
      </w:tabs>
      <w:spacing w:beforeLines="100" w:afterLines="200"/>
      <w:ind w:firstLine="0" w:firstLineChars="0"/>
      <w:jc w:val="center"/>
      <w:outlineLvl w:val="0"/>
    </w:pPr>
    <w:rPr>
      <w:rFonts w:cs="Times New Roman"/>
      <w:b/>
      <w:bCs/>
      <w:kern w:val="44"/>
      <w:sz w:val="30"/>
      <w:szCs w:val="30"/>
    </w:rPr>
  </w:style>
  <w:style w:type="paragraph" w:styleId="3">
    <w:name w:val="heading 2"/>
    <w:basedOn w:val="1"/>
    <w:next w:val="1"/>
    <w:link w:val="28"/>
    <w:unhideWhenUsed/>
    <w:qFormat/>
    <w:uiPriority w:val="9"/>
    <w:pPr>
      <w:keepNext/>
      <w:keepLines/>
      <w:spacing w:beforeLines="50" w:afterLines="50"/>
      <w:ind w:firstLine="0" w:firstLineChars="0"/>
      <w:outlineLvl w:val="1"/>
    </w:pPr>
    <w:rPr>
      <w:rFonts w:cstheme="majorBidi"/>
      <w:b/>
      <w:bCs/>
      <w:sz w:val="28"/>
      <w:szCs w:val="32"/>
    </w:rPr>
  </w:style>
  <w:style w:type="paragraph" w:styleId="4">
    <w:name w:val="heading 3"/>
    <w:basedOn w:val="1"/>
    <w:next w:val="1"/>
    <w:link w:val="29"/>
    <w:unhideWhenUsed/>
    <w:qFormat/>
    <w:uiPriority w:val="9"/>
    <w:pPr>
      <w:keepNext/>
      <w:keepLines/>
      <w:spacing w:beforeLines="50" w:afterLines="50"/>
      <w:ind w:firstLine="0" w:firstLineChars="0"/>
      <w:outlineLvl w:val="2"/>
    </w:pPr>
    <w:rPr>
      <w:b/>
      <w:bCs/>
      <w:szCs w:val="32"/>
    </w:rPr>
  </w:style>
  <w:style w:type="paragraph" w:styleId="5">
    <w:name w:val="heading 4"/>
    <w:basedOn w:val="1"/>
    <w:next w:val="1"/>
    <w:link w:val="33"/>
    <w:unhideWhenUsed/>
    <w:qFormat/>
    <w:uiPriority w:val="9"/>
    <w:pPr>
      <w:keepNext/>
      <w:keepLines/>
      <w:spacing w:beforeLines="50" w:afterLines="50"/>
      <w:ind w:firstLine="0" w:firstLineChars="0"/>
      <w:outlineLvl w:val="3"/>
    </w:pPr>
    <w:rPr>
      <w:rFonts w:cstheme="majorBidi"/>
      <w:bCs/>
      <w:szCs w:val="28"/>
    </w:rPr>
  </w:style>
  <w:style w:type="paragraph" w:styleId="6">
    <w:name w:val="heading 5"/>
    <w:basedOn w:val="1"/>
    <w:next w:val="1"/>
    <w:link w:val="34"/>
    <w:unhideWhenUsed/>
    <w:qFormat/>
    <w:uiPriority w:val="9"/>
    <w:pPr>
      <w:keepNext/>
      <w:keepLines/>
      <w:outlineLvl w:val="4"/>
    </w:pPr>
    <w:rPr>
      <w:bCs/>
      <w:szCs w:val="28"/>
    </w:rPr>
  </w:style>
  <w:style w:type="paragraph" w:styleId="7">
    <w:name w:val="heading 6"/>
    <w:basedOn w:val="1"/>
    <w:next w:val="1"/>
    <w:link w:val="35"/>
    <w:unhideWhenUsed/>
    <w:qFormat/>
    <w:uiPriority w:val="9"/>
    <w:pPr>
      <w:keepNext/>
      <w:keepLines/>
      <w:outlineLvl w:val="5"/>
    </w:pPr>
    <w:rPr>
      <w:rFonts w:cstheme="majorBidi"/>
      <w:bCs/>
      <w:szCs w:val="24"/>
    </w:rPr>
  </w:style>
  <w:style w:type="paragraph" w:styleId="8">
    <w:name w:val="heading 7"/>
    <w:basedOn w:val="1"/>
    <w:next w:val="1"/>
    <w:link w:val="36"/>
    <w:semiHidden/>
    <w:unhideWhenUsed/>
    <w:qFormat/>
    <w:uiPriority w:val="9"/>
    <w:pPr>
      <w:keepNext/>
      <w:keepLines/>
      <w:outlineLvl w:val="6"/>
    </w:pPr>
    <w:rPr>
      <w:bCs/>
      <w:szCs w:val="24"/>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link w:val="47"/>
    <w:unhideWhenUsed/>
    <w:qFormat/>
    <w:uiPriority w:val="35"/>
    <w:rPr>
      <w:rFonts w:ascii="Arial" w:hAnsi="Arial" w:eastAsia="黑体"/>
      <w:sz w:val="20"/>
    </w:rPr>
  </w:style>
  <w:style w:type="paragraph" w:styleId="10">
    <w:name w:val="Body Text Indent"/>
    <w:basedOn w:val="1"/>
    <w:qFormat/>
    <w:uiPriority w:val="0"/>
    <w:pPr>
      <w:spacing w:line="460" w:lineRule="exact"/>
      <w:ind w:firstLine="480"/>
    </w:pPr>
    <w:rPr>
      <w:sz w:val="24"/>
    </w:rPr>
  </w:style>
  <w:style w:type="paragraph" w:styleId="11">
    <w:name w:val="toc 3"/>
    <w:basedOn w:val="1"/>
    <w:next w:val="1"/>
    <w:unhideWhenUsed/>
    <w:qFormat/>
    <w:uiPriority w:val="39"/>
    <w:pPr>
      <w:ind w:left="840" w:leftChars="400"/>
    </w:pPr>
  </w:style>
  <w:style w:type="paragraph" w:styleId="12">
    <w:name w:val="Plain Text"/>
    <w:basedOn w:val="1"/>
    <w:link w:val="38"/>
    <w:qFormat/>
    <w:uiPriority w:val="0"/>
    <w:pPr>
      <w:spacing w:line="288" w:lineRule="auto"/>
      <w:ind w:left="492"/>
      <w:outlineLvl w:val="0"/>
    </w:pPr>
    <w:rPr>
      <w:rFonts w:ascii="宋体" w:hAnsi="Courier New" w:cs="Times New Roman"/>
      <w:sz w:val="21"/>
      <w:szCs w:val="20"/>
    </w:rPr>
  </w:style>
  <w:style w:type="paragraph" w:styleId="13">
    <w:name w:val="endnote text"/>
    <w:basedOn w:val="1"/>
    <w:link w:val="44"/>
    <w:semiHidden/>
    <w:unhideWhenUsed/>
    <w:qFormat/>
    <w:uiPriority w:val="99"/>
    <w:pPr>
      <w:snapToGrid w:val="0"/>
      <w:jc w:val="left"/>
    </w:pPr>
  </w:style>
  <w:style w:type="paragraph" w:styleId="14">
    <w:name w:val="Balloon Text"/>
    <w:basedOn w:val="1"/>
    <w:link w:val="43"/>
    <w:semiHidden/>
    <w:unhideWhenUsed/>
    <w:qFormat/>
    <w:uiPriority w:val="99"/>
    <w:pPr>
      <w:spacing w:line="240" w:lineRule="auto"/>
    </w:pPr>
    <w:rPr>
      <w:sz w:val="18"/>
      <w:szCs w:val="18"/>
    </w:rPr>
  </w:style>
  <w:style w:type="paragraph" w:styleId="15">
    <w:name w:val="footer"/>
    <w:basedOn w:val="1"/>
    <w:link w:val="32"/>
    <w:unhideWhenUsed/>
    <w:qFormat/>
    <w:uiPriority w:val="99"/>
    <w:pPr>
      <w:tabs>
        <w:tab w:val="center" w:pos="4153"/>
        <w:tab w:val="right" w:pos="8306"/>
      </w:tabs>
      <w:snapToGrid w:val="0"/>
      <w:jc w:val="left"/>
    </w:pPr>
    <w:rPr>
      <w:sz w:val="18"/>
      <w:szCs w:val="18"/>
    </w:rPr>
  </w:style>
  <w:style w:type="paragraph" w:styleId="16">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link w:val="49"/>
    <w:qFormat/>
    <w:uiPriority w:val="39"/>
    <w:pPr>
      <w:spacing w:line="288" w:lineRule="auto"/>
    </w:pPr>
    <w:rPr>
      <w:rFonts w:cs="Times New Roman"/>
      <w:szCs w:val="21"/>
    </w:rPr>
  </w:style>
  <w:style w:type="paragraph" w:styleId="18">
    <w:name w:val="footnote text"/>
    <w:basedOn w:val="1"/>
    <w:link w:val="39"/>
    <w:semiHidden/>
    <w:qFormat/>
    <w:uiPriority w:val="0"/>
    <w:pPr>
      <w:snapToGrid w:val="0"/>
      <w:spacing w:line="288" w:lineRule="auto"/>
      <w:jc w:val="left"/>
    </w:pPr>
    <w:rPr>
      <w:rFonts w:cs="Times New Roman"/>
      <w:sz w:val="18"/>
      <w:szCs w:val="18"/>
    </w:rPr>
  </w:style>
  <w:style w:type="paragraph" w:styleId="19">
    <w:name w:val="toc 2"/>
    <w:basedOn w:val="1"/>
    <w:next w:val="1"/>
    <w:unhideWhenUsed/>
    <w:qFormat/>
    <w:uiPriority w:val="39"/>
    <w:pPr>
      <w:ind w:left="420" w:leftChars="200"/>
    </w:pPr>
  </w:style>
  <w:style w:type="paragraph" w:styleId="2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endnote reference"/>
    <w:basedOn w:val="23"/>
    <w:semiHidden/>
    <w:unhideWhenUsed/>
    <w:qFormat/>
    <w:uiPriority w:val="99"/>
    <w:rPr>
      <w:vertAlign w:val="superscript"/>
    </w:rPr>
  </w:style>
  <w:style w:type="character" w:styleId="25">
    <w:name w:val="page number"/>
    <w:basedOn w:val="23"/>
    <w:qFormat/>
    <w:uiPriority w:val="0"/>
  </w:style>
  <w:style w:type="character" w:styleId="26">
    <w:name w:val="Hyperlink"/>
    <w:basedOn w:val="23"/>
    <w:unhideWhenUsed/>
    <w:qFormat/>
    <w:uiPriority w:val="99"/>
    <w:rPr>
      <w:color w:val="0563C1" w:themeColor="hyperlink"/>
      <w:u w:val="single"/>
      <w14:textFill>
        <w14:solidFill>
          <w14:schemeClr w14:val="hlink"/>
        </w14:solidFill>
      </w14:textFill>
    </w:rPr>
  </w:style>
  <w:style w:type="character" w:styleId="27">
    <w:name w:val="footnote reference"/>
    <w:basedOn w:val="23"/>
    <w:semiHidden/>
    <w:qFormat/>
    <w:uiPriority w:val="0"/>
    <w:rPr>
      <w:vertAlign w:val="superscript"/>
    </w:rPr>
  </w:style>
  <w:style w:type="character" w:customStyle="1" w:styleId="28">
    <w:name w:val="标题 2 字符"/>
    <w:basedOn w:val="23"/>
    <w:link w:val="3"/>
    <w:qFormat/>
    <w:uiPriority w:val="9"/>
    <w:rPr>
      <w:rFonts w:ascii="Times New Roman" w:hAnsi="Times New Roman" w:eastAsia="宋体" w:cstheme="majorBidi"/>
      <w:b/>
      <w:bCs/>
      <w:sz w:val="28"/>
      <w:szCs w:val="32"/>
    </w:rPr>
  </w:style>
  <w:style w:type="character" w:customStyle="1" w:styleId="29">
    <w:name w:val="标题 3 字符"/>
    <w:basedOn w:val="23"/>
    <w:link w:val="4"/>
    <w:qFormat/>
    <w:uiPriority w:val="9"/>
    <w:rPr>
      <w:rFonts w:ascii="Times New Roman" w:hAnsi="Times New Roman" w:eastAsia="宋体"/>
      <w:b/>
      <w:bCs/>
      <w:sz w:val="24"/>
      <w:szCs w:val="32"/>
    </w:rPr>
  </w:style>
  <w:style w:type="character" w:customStyle="1" w:styleId="30">
    <w:name w:val="标题 1 字符"/>
    <w:basedOn w:val="23"/>
    <w:link w:val="2"/>
    <w:qFormat/>
    <w:uiPriority w:val="0"/>
    <w:rPr>
      <w:rFonts w:ascii="Times New Roman" w:hAnsi="Times New Roman" w:eastAsia="宋体" w:cs="Times New Roman"/>
      <w:b/>
      <w:bCs/>
      <w:kern w:val="44"/>
      <w:sz w:val="30"/>
      <w:szCs w:val="30"/>
    </w:rPr>
  </w:style>
  <w:style w:type="character" w:customStyle="1" w:styleId="31">
    <w:name w:val="页眉 字符"/>
    <w:basedOn w:val="23"/>
    <w:link w:val="16"/>
    <w:qFormat/>
    <w:uiPriority w:val="99"/>
    <w:rPr>
      <w:rFonts w:ascii="Times New Roman" w:hAnsi="Times New Roman" w:eastAsia="宋体"/>
      <w:sz w:val="18"/>
      <w:szCs w:val="18"/>
    </w:rPr>
  </w:style>
  <w:style w:type="character" w:customStyle="1" w:styleId="32">
    <w:name w:val="页脚 字符"/>
    <w:basedOn w:val="23"/>
    <w:link w:val="15"/>
    <w:qFormat/>
    <w:uiPriority w:val="99"/>
    <w:rPr>
      <w:rFonts w:ascii="Times New Roman" w:hAnsi="Times New Roman" w:eastAsia="宋体"/>
      <w:sz w:val="18"/>
      <w:szCs w:val="18"/>
    </w:rPr>
  </w:style>
  <w:style w:type="character" w:customStyle="1" w:styleId="33">
    <w:name w:val="标题 4 字符"/>
    <w:basedOn w:val="23"/>
    <w:link w:val="5"/>
    <w:qFormat/>
    <w:uiPriority w:val="9"/>
    <w:rPr>
      <w:rFonts w:ascii="Times New Roman" w:hAnsi="Times New Roman" w:eastAsia="宋体" w:cstheme="majorBidi"/>
      <w:bCs/>
      <w:sz w:val="24"/>
      <w:szCs w:val="28"/>
    </w:rPr>
  </w:style>
  <w:style w:type="character" w:customStyle="1" w:styleId="34">
    <w:name w:val="标题 5 字符"/>
    <w:basedOn w:val="23"/>
    <w:link w:val="6"/>
    <w:qFormat/>
    <w:uiPriority w:val="9"/>
    <w:rPr>
      <w:rFonts w:ascii="Times New Roman" w:hAnsi="Times New Roman" w:eastAsia="宋体"/>
      <w:bCs/>
      <w:sz w:val="24"/>
      <w:szCs w:val="28"/>
    </w:rPr>
  </w:style>
  <w:style w:type="character" w:customStyle="1" w:styleId="35">
    <w:name w:val="标题 6 字符"/>
    <w:basedOn w:val="23"/>
    <w:link w:val="7"/>
    <w:qFormat/>
    <w:uiPriority w:val="9"/>
    <w:rPr>
      <w:rFonts w:ascii="Times New Roman" w:hAnsi="Times New Roman" w:eastAsia="宋体" w:cstheme="majorBidi"/>
      <w:bCs/>
      <w:sz w:val="24"/>
      <w:szCs w:val="24"/>
    </w:rPr>
  </w:style>
  <w:style w:type="character" w:customStyle="1" w:styleId="36">
    <w:name w:val="标题 7 字符"/>
    <w:basedOn w:val="23"/>
    <w:link w:val="8"/>
    <w:semiHidden/>
    <w:qFormat/>
    <w:uiPriority w:val="9"/>
    <w:rPr>
      <w:rFonts w:ascii="Times New Roman" w:hAnsi="Times New Roman" w:eastAsia="宋体"/>
      <w:bCs/>
      <w:sz w:val="24"/>
      <w:szCs w:val="24"/>
    </w:rPr>
  </w:style>
  <w:style w:type="paragraph" w:customStyle="1" w:styleId="37">
    <w:name w:val="图表题注"/>
    <w:basedOn w:val="1"/>
    <w:next w:val="1"/>
    <w:qFormat/>
    <w:uiPriority w:val="0"/>
    <w:pPr>
      <w:spacing w:beforeLines="50" w:afterLines="50" w:line="288" w:lineRule="auto"/>
      <w:jc w:val="center"/>
    </w:pPr>
    <w:rPr>
      <w:rFonts w:cs="Times New Roman"/>
      <w:sz w:val="21"/>
      <w:szCs w:val="21"/>
    </w:rPr>
  </w:style>
  <w:style w:type="character" w:customStyle="1" w:styleId="38">
    <w:name w:val="纯文本 字符"/>
    <w:basedOn w:val="23"/>
    <w:link w:val="12"/>
    <w:qFormat/>
    <w:uiPriority w:val="0"/>
    <w:rPr>
      <w:rFonts w:ascii="宋体" w:hAnsi="Courier New" w:eastAsia="宋体" w:cs="Times New Roman"/>
      <w:szCs w:val="20"/>
    </w:rPr>
  </w:style>
  <w:style w:type="character" w:customStyle="1" w:styleId="39">
    <w:name w:val="脚注文本 字符"/>
    <w:basedOn w:val="23"/>
    <w:link w:val="18"/>
    <w:semiHidden/>
    <w:qFormat/>
    <w:uiPriority w:val="0"/>
    <w:rPr>
      <w:rFonts w:ascii="Times New Roman" w:hAnsi="Times New Roman" w:eastAsia="宋体" w:cs="Times New Roman"/>
      <w:sz w:val="18"/>
      <w:szCs w:val="18"/>
    </w:rPr>
  </w:style>
  <w:style w:type="paragraph" w:customStyle="1" w:styleId="40">
    <w:name w:val="公式"/>
    <w:basedOn w:val="1"/>
    <w:next w:val="1"/>
    <w:qFormat/>
    <w:uiPriority w:val="0"/>
    <w:pPr>
      <w:tabs>
        <w:tab w:val="right" w:pos="8971"/>
      </w:tabs>
      <w:spacing w:beforeLines="50" w:afterLines="50"/>
      <w:ind w:firstLine="480"/>
    </w:pPr>
    <w:rPr>
      <w:rFonts w:cs="Times New Roman"/>
      <w:szCs w:val="21"/>
    </w:rPr>
  </w:style>
  <w:style w:type="character" w:styleId="41">
    <w:name w:val="Placeholder Text"/>
    <w:basedOn w:val="23"/>
    <w:qFormat/>
    <w:uiPriority w:val="99"/>
    <w:rPr>
      <w:color w:val="808080"/>
    </w:rPr>
  </w:style>
  <w:style w:type="paragraph" w:customStyle="1" w:styleId="42">
    <w:name w:val="TOC 标题1"/>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3">
    <w:name w:val="批注框文本 字符"/>
    <w:basedOn w:val="23"/>
    <w:link w:val="14"/>
    <w:semiHidden/>
    <w:qFormat/>
    <w:uiPriority w:val="99"/>
    <w:rPr>
      <w:rFonts w:ascii="Times New Roman" w:hAnsi="Times New Roman" w:eastAsia="宋体"/>
      <w:sz w:val="18"/>
      <w:szCs w:val="18"/>
    </w:rPr>
  </w:style>
  <w:style w:type="character" w:customStyle="1" w:styleId="44">
    <w:name w:val="尾注文本 字符"/>
    <w:basedOn w:val="23"/>
    <w:link w:val="13"/>
    <w:semiHidden/>
    <w:qFormat/>
    <w:uiPriority w:val="99"/>
    <w:rPr>
      <w:rFonts w:ascii="Times New Roman" w:hAnsi="Times New Roman" w:eastAsia="宋体"/>
      <w:sz w:val="24"/>
    </w:rPr>
  </w:style>
  <w:style w:type="paragraph" w:styleId="45">
    <w:name w:val="List Paragraph"/>
    <w:basedOn w:val="1"/>
    <w:qFormat/>
    <w:uiPriority w:val="34"/>
    <w:pPr>
      <w:ind w:firstLine="420"/>
    </w:pPr>
  </w:style>
  <w:style w:type="paragraph" w:customStyle="1" w:styleId="46">
    <w:name w:val="msolistparagraph"/>
    <w:basedOn w:val="1"/>
    <w:qFormat/>
    <w:uiPriority w:val="0"/>
    <w:pPr>
      <w:ind w:firstLine="420"/>
    </w:pPr>
    <w:rPr>
      <w:rFonts w:hint="eastAsia" w:ascii="等线" w:hAnsi="等线" w:eastAsia="等线" w:cs="Times New Roman"/>
      <w:sz w:val="21"/>
    </w:rPr>
  </w:style>
  <w:style w:type="character" w:customStyle="1" w:styleId="47">
    <w:name w:val="题注 字符"/>
    <w:link w:val="9"/>
    <w:qFormat/>
    <w:uiPriority w:val="35"/>
    <w:rPr>
      <w:rFonts w:ascii="Arial" w:hAnsi="Arial" w:eastAsia="黑体"/>
      <w:sz w:val="20"/>
    </w:rPr>
  </w:style>
  <w:style w:type="paragraph" w:customStyle="1" w:styleId="48">
    <w:name w:val="WPSOffice手动目录 1"/>
    <w:qFormat/>
    <w:uiPriority w:val="0"/>
    <w:rPr>
      <w:rFonts w:ascii="Times New Roman" w:hAnsi="Times New Roman" w:eastAsia="宋体" w:cs="Times New Roman"/>
      <w:lang w:val="en-US" w:eastAsia="zh-CN" w:bidi="ar-SA"/>
    </w:rPr>
  </w:style>
  <w:style w:type="character" w:customStyle="1" w:styleId="49">
    <w:name w:val="TOC 1 字符"/>
    <w:link w:val="17"/>
    <w:qFormat/>
    <w:uiPriority w:val="39"/>
    <w:rPr>
      <w:rFonts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16.png"/><Relationship Id="rId63" Type="http://schemas.openxmlformats.org/officeDocument/2006/relationships/image" Target="media/image15.png"/><Relationship Id="rId62" Type="http://schemas.openxmlformats.org/officeDocument/2006/relationships/image" Target="media/image14.png"/><Relationship Id="rId61" Type="http://schemas.openxmlformats.org/officeDocument/2006/relationships/image" Target="media/image13.png"/><Relationship Id="rId60" Type="http://schemas.openxmlformats.org/officeDocument/2006/relationships/image" Target="media/image12.png"/><Relationship Id="rId6" Type="http://schemas.openxmlformats.org/officeDocument/2006/relationships/header" Target="header2.xml"/><Relationship Id="rId59" Type="http://schemas.openxmlformats.org/officeDocument/2006/relationships/image" Target="media/image11.png"/><Relationship Id="rId58" Type="http://schemas.openxmlformats.org/officeDocument/2006/relationships/image" Target="media/image10.png"/><Relationship Id="rId57" Type="http://schemas.openxmlformats.org/officeDocument/2006/relationships/image" Target="media/image9.png"/><Relationship Id="rId56" Type="http://schemas.openxmlformats.org/officeDocument/2006/relationships/image" Target="media/image8.png"/><Relationship Id="rId55" Type="http://schemas.openxmlformats.org/officeDocument/2006/relationships/image" Target="media/image7.png"/><Relationship Id="rId54"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4.png"/><Relationship Id="rId51" Type="http://schemas.openxmlformats.org/officeDocument/2006/relationships/image" Target="media/image3.jpeg"/><Relationship Id="rId50" Type="http://schemas.openxmlformats.org/officeDocument/2006/relationships/image" Target="media/image2.png"/><Relationship Id="rId5" Type="http://schemas.openxmlformats.org/officeDocument/2006/relationships/header" Target="header1.xml"/><Relationship Id="rId49" Type="http://schemas.openxmlformats.org/officeDocument/2006/relationships/image" Target="media/image1.png"/><Relationship Id="rId48" Type="http://schemas.openxmlformats.org/officeDocument/2006/relationships/theme" Target="theme/theme1.xml"/><Relationship Id="rId47" Type="http://schemas.openxmlformats.org/officeDocument/2006/relationships/footer" Target="footer16.xml"/><Relationship Id="rId46" Type="http://schemas.openxmlformats.org/officeDocument/2006/relationships/footer" Target="footer15.xml"/><Relationship Id="rId45" Type="http://schemas.openxmlformats.org/officeDocument/2006/relationships/header" Target="header27.xml"/><Relationship Id="rId44" Type="http://schemas.openxmlformats.org/officeDocument/2006/relationships/header" Target="header26.xml"/><Relationship Id="rId43" Type="http://schemas.openxmlformats.org/officeDocument/2006/relationships/header" Target="header25.xml"/><Relationship Id="rId42" Type="http://schemas.openxmlformats.org/officeDocument/2006/relationships/header" Target="header24.xml"/><Relationship Id="rId41" Type="http://schemas.openxmlformats.org/officeDocument/2006/relationships/header" Target="header23.xml"/><Relationship Id="rId40" Type="http://schemas.openxmlformats.org/officeDocument/2006/relationships/header" Target="header22.xml"/><Relationship Id="rId4" Type="http://schemas.openxmlformats.org/officeDocument/2006/relationships/endnotes" Target="endnotes.xml"/><Relationship Id="rId39" Type="http://schemas.openxmlformats.org/officeDocument/2006/relationships/header" Target="header21.xml"/><Relationship Id="rId38" Type="http://schemas.openxmlformats.org/officeDocument/2006/relationships/header" Target="header20.xml"/><Relationship Id="rId37" Type="http://schemas.openxmlformats.org/officeDocument/2006/relationships/header" Target="header19.xml"/><Relationship Id="rId36" Type="http://schemas.openxmlformats.org/officeDocument/2006/relationships/footer" Target="footer14.xml"/><Relationship Id="rId35" Type="http://schemas.openxmlformats.org/officeDocument/2006/relationships/footer" Target="footer13.xml"/><Relationship Id="rId34" Type="http://schemas.openxmlformats.org/officeDocument/2006/relationships/header" Target="header18.xml"/><Relationship Id="rId33" Type="http://schemas.openxmlformats.org/officeDocument/2006/relationships/footer" Target="footer12.xml"/><Relationship Id="rId32" Type="http://schemas.openxmlformats.org/officeDocument/2006/relationships/footer" Target="footer11.xml"/><Relationship Id="rId31" Type="http://schemas.openxmlformats.org/officeDocument/2006/relationships/header" Target="header17.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footer" Target="footer10.xml"/><Relationship Id="rId28" Type="http://schemas.openxmlformats.org/officeDocument/2006/relationships/footer" Target="footer9.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footer" Target="footer8.xml"/><Relationship Id="rId24" Type="http://schemas.openxmlformats.org/officeDocument/2006/relationships/footer" Target="footer7.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7021B4-799D-49B0-8917-2CE6789A19B9}">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31</Pages>
  <Words>9661</Words>
  <Characters>15699</Characters>
  <Lines>125</Lines>
  <Paragraphs>35</Paragraphs>
  <TotalTime>0</TotalTime>
  <ScaleCrop>false</ScaleCrop>
  <LinksUpToDate>false</LinksUpToDate>
  <CharactersWithSpaces>17018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2017-07-06T12:09:00Z</dcterms:created>
  <dc:creator>张君涛</dc:creator>
  <cp:lastModifiedBy>.</cp:lastModifiedBy>
  <dcterms:modified xsi:type="dcterms:W3CDTF">2022-06-16T07:48:59Z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361FC23562FE4F5F971D3EDE58BEE7B9</vt:lpwstr>
  </property>
</Properties>
</file>