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MCP-Enhanced GSD System</w:t>
      </w:r>
    </w:p>
    <w:p>
      <w:pPr>
        <w:spacing w:after="400"/>
        <w:jc w:val="center"/>
      </w:pPr>
      <w:r>
        <w:rPr>
          <w:color w:val="64748B"/>
          <w:sz w:val="28"/>
          <w:szCs w:val="28"/>
        </w:rPr>
        <w:t xml:space="preserve">Phases 1-8: Complete Foundation Architecture</w:t>
      </w:r>
    </w:p>
    <w:p>
      <w:pPr>
        <w:spacing w:after="600"/>
        <w:jc w:val="center"/>
      </w:pPr>
      <w:r>
        <w:rPr>
          <w:b/>
          <w:bCs/>
          <w:color w:val="020617"/>
          <w:sz w:val="22"/>
          <w:szCs w:val="22"/>
        </w:rPr>
        <w:t xml:space="preserve">100% Complete - All 32 Plans Executed Successfully</w:t>
      </w:r>
    </w:p>
    <w:p>
      <w:pPr>
        <w:pStyle w:val="Heading1"/>
      </w:pPr>
      <w:r>
        <w:t xml:space="preserve">Executive Summary</w:t>
      </w:r>
    </w:p>
    <w:p>
      <w:pPr>
        <w:spacing w:after="200"/>
      </w:pPr>
      <w:r>
        <w:rPr>
          <w:color w:val="1E293B"/>
          <w:sz w:val="22"/>
          <w:szCs w:val="22"/>
        </w:rPr>
        <w:t xml:space="preserve">The MCP-Enhanced GSD system represents a comprehensive transformation of the Get Shit Done framework, fully integrating three Model Context Protocol (MCP) servers to achieve 80-90% token efficiency improvements while enabling sophisticated workflow automation. This document provides a complete analysis of Phases 1-8, which form the foundational infrastructure of the system.</w:t>
      </w:r>
    </w:p>
    <w:p>
      <w:pPr>
        <w:spacing w:after="200"/>
      </w:pPr>
      <w:r>
        <w:rPr>
          <w:color w:val="1E293B"/>
          <w:sz w:val="22"/>
          <w:szCs w:val="22"/>
        </w:rPr>
        <w:t xml:space="preserve">The transformation encompasses 8 distinct phases, 32 individual plans, and approximately 250 tasks that collectively establish Desktop Commander (DC), Code-Index MCP (CI), and CodeGraphContext (CG) as the primary operational tools. The system replaces native bash commands with MCP equivalents throughout all 26 GSD commands and 13 workflow files, creating a unified, token-efficient development environment.</w:t>
      </w:r>
    </w:p>
    <w:p>
      <w:pPr>
        <w:pStyle w:val="Heading1"/>
      </w:pPr>
      <w:r>
        <w:t xml:space="preserve">Core Value Proposition</w:t>
      </w:r>
    </w:p>
    <w:p>
      <w:pPr>
        <w:spacing w:after="200"/>
      </w:pPr>
      <w:r>
        <w:rPr>
          <w:b/>
          <w:bCs/>
          <w:color w:val="020617"/>
          <w:sz w:val="22"/>
          <w:szCs w:val="22"/>
        </w:rPr>
        <w:t xml:space="preserve">Token-efficient, reliable GSD workflows that leverage all three MCP servers (DC + CI + CG) using proven tool chain patterns.</w:t>
      </w:r>
    </w:p>
    <w:p>
      <w:pPr>
        <w:spacing w:after="200"/>
      </w:pPr>
      <w:r>
        <w:rPr>
          <w:color w:val="1E293B"/>
          <w:sz w:val="22"/>
          <w:szCs w:val="22"/>
        </w:rPr>
        <w:t xml:space="preserve">Every operation follows the optimal tool sequence: discover → understand → act → verify, with CI for navigation/symbols, DC for files/processes, and CG for relationship analysis. This methodology ensures consistent, predictable behavior while maximizing the token efficiency gains that MCP tools provide over native alternatives.</w:t>
      </w:r>
    </w:p>
    <w:p>
      <w:pPr>
        <w:pStyle w:val="Heading2"/>
      </w:pPr>
      <w:r>
        <w:t xml:space="preserve">The Golden Pattern</w:t>
      </w:r>
    </w:p>
    <w:p>
      <w:pPr>
        <w:shd w:fill="F8FAFC" w:val="clear"/>
        <w:spacing w:before="200" w:after="200"/>
        <w:jc w:val="center"/>
      </w:pPr>
      <w:r>
        <w:rPr>
          <w:rFonts w:ascii="Courier New" w:cs="Courier New" w:eastAsia="Courier New" w:hAnsi="Courier New"/>
          <w:b/>
          <w:bCs/>
          <w:color w:val="020617"/>
          <w:sz w:val="28"/>
          <w:szCs w:val="28"/>
        </w:rPr>
        <w:t xml:space="preserve">CG → CI → CI → DC → DC → CI</w:t>
      </w:r>
    </w:p>
    <w:p>
      <w:pPr>
        <w:spacing w:after="200"/>
      </w:pPr>
      <w:r>
        <w:rPr>
          <w:color w:val="1E293B"/>
          <w:sz w:val="22"/>
          <w:szCs w:val="22"/>
        </w:rPr>
        <w:t xml:space="preserve">This sequence represents the optimal workflow for complex operations: CodeGraphContext discovers relationships and dependencies, Code-Index MCP understands code structure and symbols, Desktop Commander acts on files and processes, and verification loops back through Code-Index MCP to confirm results. This pattern achieves the maximum token efficiency while maintaining comprehensive coverage of all necessary operations.</w:t>
      </w:r>
    </w:p>
    <w:p>
      <w:r>
        <w:br w:type="page"/>
      </w:r>
    </w:p>
    <w:p>
      <w:pPr>
        <w:pStyle w:val="Heading1"/>
      </w:pPr>
      <w:r>
        <w:t xml:space="preserve">Phase Overview Matrix</w:t>
      </w:r>
    </w:p>
    <w:p>
      <w:pPr>
        <w:spacing w:after="200"/>
      </w:pPr>
      <w:r>
        <w:rPr>
          <w:color w:val="1E293B"/>
          <w:sz w:val="22"/>
          <w:szCs w:val="22"/>
        </w:rPr>
        <w:t xml:space="preserve">The following table summarizes all eight completed phases, showing the relationship between goals, requirements, and completion 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200"/>
        <w:gridCol w:w="3500"/>
        <w:gridCol w:w="1800"/>
        <w:gridCol w:w="1860"/>
      </w:tblGrid>
      <w:tr>
        <w:trPr>
          <w:tblHeader/>
        </w:trPr>
        <w:tc>
          <w:tcPr>
            <w:tcW w:type="dxa" w:w="220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Phase</w:t>
            </w:r>
          </w:p>
        </w:tc>
        <w:tc>
          <w:tcPr>
            <w:tcW w:type="dxa" w:w="350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Primary Goal</w:t>
            </w:r>
          </w:p>
        </w:tc>
        <w:tc>
          <w:tcPr>
            <w:tcW w:type="dxa" w:w="180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Plans</w:t>
            </w:r>
          </w:p>
        </w:tc>
        <w:tc>
          <w:tcPr>
            <w:tcW w:type="dxa" w:w="186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Status</w:t>
            </w:r>
          </w:p>
        </w:tc>
      </w:tr>
      <w:tr>
        <w:tc>
          <w:tcPr>
            <w:tcW w:type="dxa" w:w="220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Phase 1</w:t>
            </w:r>
          </w:p>
        </w:tc>
        <w:tc>
          <w:tcPr>
            <w:tcW w:type="dxa" w:w="350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All three MCP servers (DC, CI, CG) are available, configured, and working with g...</w:t>
            </w:r>
          </w:p>
        </w:tc>
        <w:tc>
          <w:tcPr>
            <w:tcW w:type="dxa" w:w="180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3 plans</w:t>
            </w:r>
          </w:p>
        </w:tc>
        <w:tc>
          <w:tcPr>
            <w:tcW w:type="dxa" w:w="1860"/>
            <w:tcBorders>
              <w:top w:val="single" w:color="94A3B8" w:sz="1"/>
              <w:left w:val="single" w:color="94A3B8" w:sz="1"/>
              <w:bottom w:val="single" w:color="94A3B8" w:sz="1"/>
              <w:right w:val="single" w:color="94A3B8" w:sz="1"/>
            </w:tcBorders>
            <w:shd w:fill="F8FAFC" w:val="clear"/>
            <w:vAlign w:val="center"/>
          </w:tcPr>
          <w:p>
            <w:pPr>
              <w:jc w:val="center"/>
            </w:pPr>
            <w:r>
              <w:rPr>
                <w:b/>
                <w:bCs/>
                <w:color w:val="1E293B"/>
                <w:sz w:val="21"/>
                <w:szCs w:val="21"/>
              </w:rPr>
              <w:t xml:space="preserve">Complete ✓</w:t>
            </w:r>
          </w:p>
        </w:tc>
      </w:tr>
      <w:tr>
        <w:tc>
          <w:tcPr>
            <w:tcW w:type="dxa" w:w="220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Phase 2</w:t>
            </w:r>
          </w:p>
        </w:tc>
        <w:tc>
          <w:tcPr>
            <w:tcW w:type="dxa" w:w="350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All GSD workflows use MCP tools instead of native bash commands...</w:t>
            </w:r>
          </w:p>
        </w:tc>
        <w:tc>
          <w:tcPr>
            <w:tcW w:type="dxa" w:w="180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3 plans</w:t>
            </w:r>
          </w:p>
        </w:tc>
        <w:tc>
          <w:tcPr>
            <w:tcW w:type="dxa" w:w="1860"/>
            <w:tcBorders>
              <w:top w:val="single" w:color="94A3B8" w:sz="1"/>
              <w:left w:val="single" w:color="94A3B8" w:sz="1"/>
              <w:bottom w:val="single" w:color="94A3B8" w:sz="1"/>
              <w:right w:val="single" w:color="94A3B8" w:sz="1"/>
            </w:tcBorders>
            <w:shd w:fill="F8FAFC" w:val="clear"/>
            <w:vAlign w:val="center"/>
          </w:tcPr>
          <w:p>
            <w:pPr>
              <w:jc w:val="center"/>
            </w:pPr>
            <w:r>
              <w:rPr>
                <w:b/>
                <w:bCs/>
                <w:color w:val="1E293B"/>
                <w:sz w:val="21"/>
                <w:szCs w:val="21"/>
              </w:rPr>
              <w:t xml:space="preserve">Complete ✓</w:t>
            </w:r>
          </w:p>
        </w:tc>
      </w:tr>
      <w:tr>
        <w:tc>
          <w:tcPr>
            <w:tcW w:type="dxa" w:w="220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Phase 3</w:t>
            </w:r>
          </w:p>
        </w:tc>
        <w:tc>
          <w:tcPr>
            <w:tcW w:type="dxa" w:w="350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All MCP tool chain research consolidated into unified reference guides with visu...</w:t>
            </w:r>
          </w:p>
        </w:tc>
        <w:tc>
          <w:tcPr>
            <w:tcW w:type="dxa" w:w="180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4 plans</w:t>
            </w:r>
          </w:p>
        </w:tc>
        <w:tc>
          <w:tcPr>
            <w:tcW w:type="dxa" w:w="1860"/>
            <w:tcBorders>
              <w:top w:val="single" w:color="94A3B8" w:sz="1"/>
              <w:left w:val="single" w:color="94A3B8" w:sz="1"/>
              <w:bottom w:val="single" w:color="94A3B8" w:sz="1"/>
              <w:right w:val="single" w:color="94A3B8" w:sz="1"/>
            </w:tcBorders>
            <w:shd w:fill="F8FAFC" w:val="clear"/>
            <w:vAlign w:val="center"/>
          </w:tcPr>
          <w:p>
            <w:pPr>
              <w:jc w:val="center"/>
            </w:pPr>
            <w:r>
              <w:rPr>
                <w:b/>
                <w:bCs/>
                <w:color w:val="1E293B"/>
                <w:sz w:val="21"/>
                <w:szCs w:val="21"/>
              </w:rPr>
              <w:t xml:space="preserve">Complete ✓</w:t>
            </w:r>
          </w:p>
        </w:tc>
      </w:tr>
      <w:tr>
        <w:tc>
          <w:tcPr>
            <w:tcW w:type="dxa" w:w="220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Phase 4</w:t>
            </w:r>
          </w:p>
        </w:tc>
        <w:tc>
          <w:tcPr>
            <w:tcW w:type="dxa" w:w="350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Local GSD directory synchronized with cloned upstream repo as single source of t...</w:t>
            </w:r>
          </w:p>
        </w:tc>
        <w:tc>
          <w:tcPr>
            <w:tcW w:type="dxa" w:w="180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3 plans</w:t>
            </w:r>
          </w:p>
        </w:tc>
        <w:tc>
          <w:tcPr>
            <w:tcW w:type="dxa" w:w="1860"/>
            <w:tcBorders>
              <w:top w:val="single" w:color="94A3B8" w:sz="1"/>
              <w:left w:val="single" w:color="94A3B8" w:sz="1"/>
              <w:bottom w:val="single" w:color="94A3B8" w:sz="1"/>
              <w:right w:val="single" w:color="94A3B8" w:sz="1"/>
            </w:tcBorders>
            <w:shd w:fill="F8FAFC" w:val="clear"/>
            <w:vAlign w:val="center"/>
          </w:tcPr>
          <w:p>
            <w:pPr>
              <w:jc w:val="center"/>
            </w:pPr>
            <w:r>
              <w:rPr>
                <w:b/>
                <w:bCs/>
                <w:color w:val="1E293B"/>
                <w:sz w:val="21"/>
                <w:szCs w:val="21"/>
              </w:rPr>
              <w:t xml:space="preserve">Complete ✓</w:t>
            </w:r>
          </w:p>
        </w:tc>
      </w:tr>
      <w:tr>
        <w:tc>
          <w:tcPr>
            <w:tcW w:type="dxa" w:w="220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Phase 5</w:t>
            </w:r>
          </w:p>
        </w:tc>
        <w:tc>
          <w:tcPr>
            <w:tcW w:type="dxa" w:w="350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All three thinking servers integrated and configured with 7-BMAD methodology...</w:t>
            </w:r>
          </w:p>
        </w:tc>
        <w:tc>
          <w:tcPr>
            <w:tcW w:type="dxa" w:w="180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4 plans</w:t>
            </w:r>
          </w:p>
        </w:tc>
        <w:tc>
          <w:tcPr>
            <w:tcW w:type="dxa" w:w="1860"/>
            <w:tcBorders>
              <w:top w:val="single" w:color="94A3B8" w:sz="1"/>
              <w:left w:val="single" w:color="94A3B8" w:sz="1"/>
              <w:bottom w:val="single" w:color="94A3B8" w:sz="1"/>
              <w:right w:val="single" w:color="94A3B8" w:sz="1"/>
            </w:tcBorders>
            <w:shd w:fill="F8FAFC" w:val="clear"/>
            <w:vAlign w:val="center"/>
          </w:tcPr>
          <w:p>
            <w:pPr>
              <w:jc w:val="center"/>
            </w:pPr>
            <w:r>
              <w:rPr>
                <w:b/>
                <w:bCs/>
                <w:color w:val="1E293B"/>
                <w:sz w:val="21"/>
                <w:szCs w:val="21"/>
              </w:rPr>
              <w:t xml:space="preserve">Complete ✓</w:t>
            </w:r>
          </w:p>
        </w:tc>
      </w:tr>
      <w:tr>
        <w:tc>
          <w:tcPr>
            <w:tcW w:type="dxa" w:w="220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Phase 6</w:t>
            </w:r>
          </w:p>
        </w:tc>
        <w:tc>
          <w:tcPr>
            <w:tcW w:type="dxa" w:w="350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Auto-validation system with 7-BMAD quality gates integrated across all agent wor...</w:t>
            </w:r>
          </w:p>
        </w:tc>
        <w:tc>
          <w:tcPr>
            <w:tcW w:type="dxa" w:w="180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4 plans</w:t>
            </w:r>
          </w:p>
        </w:tc>
        <w:tc>
          <w:tcPr>
            <w:tcW w:type="dxa" w:w="1860"/>
            <w:tcBorders>
              <w:top w:val="single" w:color="94A3B8" w:sz="1"/>
              <w:left w:val="single" w:color="94A3B8" w:sz="1"/>
              <w:bottom w:val="single" w:color="94A3B8" w:sz="1"/>
              <w:right w:val="single" w:color="94A3B8" w:sz="1"/>
            </w:tcBorders>
            <w:shd w:fill="F8FAFC" w:val="clear"/>
            <w:vAlign w:val="center"/>
          </w:tcPr>
          <w:p>
            <w:pPr>
              <w:jc w:val="center"/>
            </w:pPr>
            <w:r>
              <w:rPr>
                <w:b/>
                <w:bCs/>
                <w:color w:val="1E293B"/>
                <w:sz w:val="21"/>
                <w:szCs w:val="21"/>
              </w:rPr>
              <w:t xml:space="preserve">Complete ✓</w:t>
            </w:r>
          </w:p>
        </w:tc>
      </w:tr>
      <w:tr>
        <w:tc>
          <w:tcPr>
            <w:tcW w:type="dxa" w:w="220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Phase 7</w:t>
            </w:r>
          </w:p>
        </w:tc>
        <w:tc>
          <w:tcPr>
            <w:tcW w:type="dxa" w:w="350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GSD commands updated to work with all three MCP servers...</w:t>
            </w:r>
          </w:p>
        </w:tc>
        <w:tc>
          <w:tcPr>
            <w:tcW w:type="dxa" w:w="180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3 plans</w:t>
            </w:r>
          </w:p>
        </w:tc>
        <w:tc>
          <w:tcPr>
            <w:tcW w:type="dxa" w:w="1860"/>
            <w:tcBorders>
              <w:top w:val="single" w:color="94A3B8" w:sz="1"/>
              <w:left w:val="single" w:color="94A3B8" w:sz="1"/>
              <w:bottom w:val="single" w:color="94A3B8" w:sz="1"/>
              <w:right w:val="single" w:color="94A3B8" w:sz="1"/>
            </w:tcBorders>
            <w:shd w:fill="F8FAFC" w:val="clear"/>
            <w:vAlign w:val="center"/>
          </w:tcPr>
          <w:p>
            <w:pPr>
              <w:jc w:val="center"/>
            </w:pPr>
            <w:r>
              <w:rPr>
                <w:b/>
                <w:bCs/>
                <w:color w:val="1E293B"/>
                <w:sz w:val="21"/>
                <w:szCs w:val="21"/>
              </w:rPr>
              <w:t xml:space="preserve">Complete ✓</w:t>
            </w:r>
          </w:p>
        </w:tc>
      </w:tr>
      <w:tr>
        <w:tc>
          <w:tcPr>
            <w:tcW w:type="dxa" w:w="220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Phase 8</w:t>
            </w:r>
          </w:p>
        </w:tc>
        <w:tc>
          <w:tcPr>
            <w:tcW w:type="dxa" w:w="350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Parallel orchestration, configurable model profiles, and YOLO mode working acros...</w:t>
            </w:r>
          </w:p>
        </w:tc>
        <w:tc>
          <w:tcPr>
            <w:tcW w:type="dxa" w:w="180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4 plans</w:t>
            </w:r>
          </w:p>
        </w:tc>
        <w:tc>
          <w:tcPr>
            <w:tcW w:type="dxa" w:w="1860"/>
            <w:tcBorders>
              <w:top w:val="single" w:color="94A3B8" w:sz="1"/>
              <w:left w:val="single" w:color="94A3B8" w:sz="1"/>
              <w:bottom w:val="single" w:color="94A3B8" w:sz="1"/>
              <w:right w:val="single" w:color="94A3B8" w:sz="1"/>
            </w:tcBorders>
            <w:shd w:fill="F8FAFC" w:val="clear"/>
            <w:vAlign w:val="center"/>
          </w:tcPr>
          <w:p>
            <w:pPr>
              <w:jc w:val="center"/>
            </w:pPr>
            <w:r>
              <w:rPr>
                <w:b/>
                <w:bCs/>
                <w:color w:val="1E293B"/>
                <w:sz w:val="21"/>
                <w:szCs w:val="21"/>
              </w:rPr>
              <w:t xml:space="preserve">Complete ✓</w:t>
            </w:r>
          </w:p>
        </w:tc>
      </w:tr>
    </w:tbl>
    <w:p>
      <w:pPr>
        <w:pStyle w:val="Heading1"/>
        <w:spacing w:before="400"/>
      </w:pPr>
      <w:r>
        <w:t xml:space="preserve">Requirements Coverage Analysis</w:t>
      </w:r>
    </w:p>
    <w:p>
      <w:pPr>
        <w:spacing w:after="200"/>
      </w:pPr>
      <w:r>
        <w:rPr>
          <w:color w:val="1E293B"/>
          <w:sz w:val="22"/>
          <w:szCs w:val="22"/>
        </w:rPr>
        <w:t xml:space="preserve">Phases 1-8 collectively address 30 distinct requirements across six categories. The following breakdown shows the complete mapping between requirements and their implementing phases: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340"/>
        <w:gridCol w:w="2340"/>
        <w:gridCol w:w="2340"/>
        <w:gridCol w:w="2340"/>
      </w:tblGrid>
      <w:tr>
        <w:trPr>
          <w:tblHeader/>
        </w:trPr>
        <w:tc>
          <w:tcPr>
            <w:tcW w:type="dxa" w:w="234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Category</w:t>
            </w:r>
          </w:p>
        </w:tc>
        <w:tc>
          <w:tcPr>
            <w:tcW w:type="dxa" w:w="234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Requirement IDs</w:t>
            </w:r>
          </w:p>
        </w:tc>
        <w:tc>
          <w:tcPr>
            <w:tcW w:type="dxa" w:w="234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Total</w:t>
            </w:r>
          </w:p>
        </w:tc>
        <w:tc>
          <w:tcPr>
            <w:tcW w:type="dxa" w:w="234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Phases</w:t>
            </w:r>
          </w:p>
        </w:tc>
      </w:tr>
      <w:tr>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MCP Integration</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MCP-001 through MCP-006</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6</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Phase 1</w:t>
            </w:r>
          </w:p>
        </w:tc>
      </w:tr>
      <w:tr>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Workflow Updates</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WORKFLOW-001 through WORKFLOW-007</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7</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Phases 2, 7, 8</w:t>
            </w:r>
          </w:p>
        </w:tc>
      </w:tr>
      <w:tr>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Documentation</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DOC-001 through DOC-005</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5</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Phase 3</w:t>
            </w:r>
          </w:p>
        </w:tc>
      </w:tr>
      <w:tr>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Repository Sync</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REPO-001 through REPO-004</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4</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Phase 4</w:t>
            </w:r>
          </w:p>
        </w:tc>
      </w:tr>
      <w:tr>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Thinking Servers</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THINK-001 through THINK-005</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5</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Phase 5</w:t>
            </w:r>
          </w:p>
        </w:tc>
      </w:tr>
      <w:tr>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Quality &amp; Verification</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QUAL-001 through QUAL-005</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5</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Phase 6</w:t>
            </w:r>
          </w:p>
        </w:tc>
      </w:tr>
    </w:tbl>
    <w:p>
      <w:r>
        <w:br w:type="page"/>
      </w:r>
    </w:p>
    <w:p>
      <w:pPr>
        <w:pStyle w:val="Heading1"/>
      </w:pPr>
      <w:r>
        <w:t xml:space="preserve">Detailed Phase Analysis</w:t>
      </w:r>
    </w:p>
    <w:p>
      <w:pPr>
        <w:pStyle w:val="Heading2"/>
      </w:pPr>
      <w:r>
        <w:t xml:space="preserve">Phase 1: MCP Foundation</w:t>
      </w:r>
    </w:p>
    <w:p>
      <w:pPr>
        <w:spacing w:after="200"/>
      </w:pPr>
      <w:r>
        <w:rPr>
          <w:b/>
          <w:bCs/>
          <w:color w:val="020617"/>
          <w:sz w:val="22"/>
          <w:szCs w:val="22"/>
        </w:rPr>
        <w:t xml:space="preserve">Goal: </w:t>
      </w:r>
      <w:r>
        <w:rPr>
          <w:color w:val="1E293B"/>
          <w:sz w:val="22"/>
          <w:szCs w:val="22"/>
        </w:rPr>
        <w:t xml:space="preserve">All three MCP servers (DC, CI, CG) are available, configured, and working with golden pattern established</w:t>
      </w:r>
    </w:p>
    <w:p>
      <w:pPr>
        <w:spacing w:after="120"/>
      </w:pPr>
      <w:r>
        <w:rPr>
          <w:color w:val="1E293B"/>
          <w:sz w:val="22"/>
          <w:szCs w:val="22"/>
        </w:rPr>
        <w:t xml:space="preserve">This foundational phase establishes the core MCP infrastructure that all subsequent phases depend upon. The three servers—Desktop Commander (DC), Code-Index MCP (CI), and CodeGraphContext (CG)—form a powerful triumvirate that replaces native bash commands throughout the GSD system. Each server provides distinct capabilities that complement the others, creating a comprehensive toolkit for code manipulation, search, and relationship analysis.</w:t>
      </w:r>
    </w:p>
    <w:p>
      <w:pPr>
        <w:pStyle w:val="Heading3"/>
      </w:pPr>
      <w:r>
        <w:t xml:space="preserve">Key Deliverables</w:t>
      </w:r>
    </w:p>
    <w:p>
      <w:pPr>
        <w:pStyle w:val="ListParagraph"/>
        <w:numPr>
          <w:ilvl w:val="0"/>
          <w:numId w:val="2"/>
        </w:numPr>
      </w:pPr>
      <w:r>
        <w:rPr>
          <w:color w:val="1E293B"/>
          <w:sz w:val="22"/>
          <w:szCs w:val="22"/>
        </w:rPr>
        <w:t xml:space="preserve">All 3 MCP servers (DC, CI, CG) are operational and verified</w:t>
      </w:r>
    </w:p>
    <w:p>
      <w:pPr>
        <w:pStyle w:val="ListParagraph"/>
        <w:numPr>
          <w:ilvl w:val="0"/>
          <w:numId w:val="2"/>
        </w:numPr>
      </w:pPr>
      <w:r>
        <w:rPr>
          <w:color w:val="1E293B"/>
          <w:sz w:val="22"/>
          <w:szCs w:val="22"/>
        </w:rPr>
        <w:t xml:space="preserve">CG server at neo4j://localhost:7687 provides relationship analysis</w:t>
      </w:r>
    </w:p>
    <w:p>
      <w:pPr>
        <w:pStyle w:val="ListParagraph"/>
        <w:numPr>
          <w:ilvl w:val="0"/>
          <w:numId w:val="2"/>
        </w:numPr>
      </w:pPr>
      <w:r>
        <w:rPr>
          <w:color w:val="1E293B"/>
          <w:sz w:val="22"/>
          <w:szCs w:val="22"/>
        </w:rPr>
        <w:t xml:space="preserve">Token efficiency of 80-90% for MCP tools vs native confirmed</w:t>
      </w:r>
    </w:p>
    <w:p>
      <w:pPr>
        <w:pStyle w:val="ListParagraph"/>
        <w:numPr>
          <w:ilvl w:val="0"/>
          <w:numId w:val="2"/>
        </w:numPr>
      </w:pPr>
      <w:r>
        <w:rPr>
          <w:color w:val="1E293B"/>
          <w:sz w:val="22"/>
          <w:szCs w:val="22"/>
        </w:rPr>
        <w:t xml:space="preserve">Golden pattern (CG -&gt; CI -&gt; CI -&gt; DC -&gt; DC -&gt; CI) fully executable</w:t>
      </w:r>
    </w:p>
    <w:p>
      <w:pPr>
        <w:pStyle w:val="Heading2"/>
        <w:spacing w:before="300"/>
      </w:pPr>
      <w:r>
        <w:t xml:space="preserve">Phase 2: Workflow Integration</w:t>
      </w:r>
    </w:p>
    <w:p>
      <w:pPr>
        <w:spacing w:after="200"/>
      </w:pPr>
      <w:r>
        <w:rPr>
          <w:b/>
          <w:bCs/>
          <w:color w:val="020617"/>
          <w:sz w:val="22"/>
          <w:szCs w:val="22"/>
        </w:rPr>
        <w:t xml:space="preserve">Goal: </w:t>
      </w:r>
      <w:r>
        <w:rPr>
          <w:color w:val="1E293B"/>
          <w:sz w:val="22"/>
          <w:szCs w:val="22"/>
        </w:rPr>
        <w:t xml:space="preserve">All GSD workflows use MCP tools instead of native bash commands</w:t>
      </w:r>
    </w:p>
    <w:p>
      <w:pPr>
        <w:spacing w:after="120"/>
      </w:pPr>
      <w:r>
        <w:rPr>
          <w:color w:val="1E293B"/>
          <w:sz w:val="22"/>
          <w:szCs w:val="22"/>
        </w:rPr>
        <w:t xml:space="preserve">Building on the MCP foundation, this phase systematically updates all 13 GSD workflow files to use MCP tools. The transformation includes implementing wave-based agent spawning in map-codebase.md and adding declarative code_index_mcp headers that specify MCP usage directly in workflow files. This ensures that every workflow operation benefits from the token efficiency gains provided by MCP tools.</w:t>
      </w:r>
    </w:p>
    <w:p>
      <w:pPr>
        <w:pStyle w:val="Heading3"/>
      </w:pPr>
      <w:r>
        <w:t xml:space="preserve">Key Deliverables</w:t>
      </w:r>
    </w:p>
    <w:p>
      <w:pPr>
        <w:pStyle w:val="ListParagraph"/>
        <w:numPr>
          <w:ilvl w:val="0"/>
          <w:numId w:val="2"/>
        </w:numPr>
      </w:pPr>
      <w:r>
        <w:rPr>
          <w:color w:val="1E293B"/>
          <w:sz w:val="22"/>
          <w:szCs w:val="22"/>
        </w:rPr>
        <w:t xml:space="preserve">All 13 GSD workflow files use MCP tools instead of native bash</w:t>
      </w:r>
    </w:p>
    <w:p>
      <w:pPr>
        <w:pStyle w:val="ListParagraph"/>
        <w:numPr>
          <w:ilvl w:val="0"/>
          <w:numId w:val="2"/>
        </w:numPr>
      </w:pPr>
      <w:r>
        <w:rPr>
          <w:color w:val="1E293B"/>
          <w:sz w:val="22"/>
          <w:szCs w:val="22"/>
        </w:rPr>
        <w:t xml:space="preserve">map-codebase.md implements wave-based agent spawning</w:t>
      </w:r>
    </w:p>
    <w:p>
      <w:pPr>
        <w:pStyle w:val="ListParagraph"/>
        <w:numPr>
          <w:ilvl w:val="0"/>
          <w:numId w:val="2"/>
        </w:numPr>
      </w:pPr>
      <w:r>
        <w:rPr>
          <w:color w:val="1E293B"/>
          <w:sz w:val="22"/>
          <w:szCs w:val="22"/>
        </w:rPr>
        <w:t xml:space="preserve">Headers declaratively specify MCP usage in workflow files</w:t>
      </w:r>
    </w:p>
    <w:p>
      <w:pPr>
        <w:pStyle w:val="Heading2"/>
        <w:spacing w:before="300"/>
      </w:pPr>
      <w:r>
        <w:t xml:space="preserve">Phase 3: Documentation Consolidation</w:t>
      </w:r>
    </w:p>
    <w:p>
      <w:pPr>
        <w:spacing w:after="200"/>
      </w:pPr>
      <w:r>
        <w:rPr>
          <w:b/>
          <w:bCs/>
          <w:color w:val="020617"/>
          <w:sz w:val="22"/>
          <w:szCs w:val="22"/>
        </w:rPr>
        <w:t xml:space="preserve">Goal: </w:t>
      </w:r>
      <w:r>
        <w:rPr>
          <w:color w:val="1E293B"/>
          <w:sz w:val="22"/>
          <w:szCs w:val="22"/>
        </w:rPr>
        <w:t xml:space="preserve">All MCP tool chain research consolidated into unified reference guides with visual diagrams</w:t>
      </w:r>
    </w:p>
    <w:p>
      <w:pPr>
        <w:spacing w:after="120"/>
      </w:pPr>
      <w:r>
        <w:rPr>
          <w:color w:val="1E293B"/>
          <w:sz w:val="22"/>
          <w:szCs w:val="22"/>
        </w:rPr>
        <w:t xml:space="preserve">This phase consolidates extensive MCP tool chain research into four unified reference guides totaling over 2,800 lines of documentation. Each guide addresses a specific aspect of the MCP ecosystem: CODE-INDEX-MCP-GUIDE.md documents all 18 CI tools, TOOL-PRIORITY-RULES.md establishes the hierarchy of Skills &gt; MCP &gt; Native, TOOL-CHAIN-REFERENCE.md provides Mermaid diagrams for all 24 patterns, and DECISION-TREES.md offers decision frameworks for optimal tool selection.</w:t>
      </w:r>
    </w:p>
    <w:p>
      <w:pPr>
        <w:pStyle w:val="Heading3"/>
      </w:pPr>
      <w:r>
        <w:t xml:space="preserve">Key Deliverables</w:t>
      </w:r>
    </w:p>
    <w:p>
      <w:pPr>
        <w:pStyle w:val="ListParagraph"/>
        <w:numPr>
          <w:ilvl w:val="0"/>
          <w:numId w:val="2"/>
        </w:numPr>
      </w:pPr>
      <w:r>
        <w:rPr>
          <w:color w:val="1E293B"/>
          <w:sz w:val="22"/>
          <w:szCs w:val="22"/>
        </w:rPr>
        <w:t xml:space="preserve">CODE-INDEX-MCP-GUIDE.md: 1139 lines with all 18 CI tools</w:t>
      </w:r>
    </w:p>
    <w:p>
      <w:pPr>
        <w:pStyle w:val="ListParagraph"/>
        <w:numPr>
          <w:ilvl w:val="0"/>
          <w:numId w:val="2"/>
        </w:numPr>
      </w:pPr>
      <w:r>
        <w:rPr>
          <w:color w:val="1E293B"/>
          <w:sz w:val="22"/>
          <w:szCs w:val="22"/>
        </w:rPr>
        <w:t xml:space="preserve">TOOL-PRIORITY-RULES.md: 667 lines with CG operations</w:t>
      </w:r>
    </w:p>
    <w:p>
      <w:pPr>
        <w:pStyle w:val="ListParagraph"/>
        <w:numPr>
          <w:ilvl w:val="0"/>
          <w:numId w:val="2"/>
        </w:numPr>
      </w:pPr>
      <w:r>
        <w:rPr>
          <w:color w:val="1E293B"/>
          <w:sz w:val="22"/>
          <w:szCs w:val="22"/>
        </w:rPr>
        <w:t xml:space="preserve">TOOL-CHAIN-REFERENCE.md: 454 lines with Mermaid diagrams</w:t>
      </w:r>
    </w:p>
    <w:p>
      <w:pPr>
        <w:pStyle w:val="ListParagraph"/>
        <w:numPr>
          <w:ilvl w:val="0"/>
          <w:numId w:val="2"/>
        </w:numPr>
      </w:pPr>
      <w:r>
        <w:rPr>
          <w:color w:val="1E293B"/>
          <w:sz w:val="22"/>
          <w:szCs w:val="22"/>
        </w:rPr>
        <w:t xml:space="preserve">DECISION-TREES.md: 564 lines for tool/pattern selection</w:t>
      </w:r>
    </w:p>
    <w:p>
      <w:pPr>
        <w:pStyle w:val="Heading2"/>
        <w:spacing w:before="300"/>
      </w:pPr>
      <w:r>
        <w:t xml:space="preserve">Phase 4: Repository Synchronization</w:t>
      </w:r>
    </w:p>
    <w:p>
      <w:pPr>
        <w:spacing w:after="200"/>
      </w:pPr>
      <w:r>
        <w:rPr>
          <w:b/>
          <w:bCs/>
          <w:color w:val="020617"/>
          <w:sz w:val="22"/>
          <w:szCs w:val="22"/>
        </w:rPr>
        <w:t xml:space="preserve">Goal: </w:t>
      </w:r>
      <w:r>
        <w:rPr>
          <w:color w:val="1E293B"/>
          <w:sz w:val="22"/>
          <w:szCs w:val="22"/>
        </w:rPr>
        <w:t xml:space="preserve">Local GSD directory synchronized with cloned upstream repo as single source of truth</w:t>
      </w:r>
    </w:p>
    <w:p>
      <w:pPr>
        <w:spacing w:after="120"/>
      </w:pPr>
      <w:r>
        <w:rPr>
          <w:color w:val="1E293B"/>
          <w:sz w:val="22"/>
          <w:szCs w:val="22"/>
        </w:rPr>
        <w:t xml:space="preserve">This critical phase establishes the cloned repository as the single source of truth for all GSD enhancements. The synchronization process includes comprehensive analysis of local versus clone structure, backup creation (238 directories, 602 files), and verification of complete 3-MCP integration across all components. The result is a unified codebase that reflects all local enhancements while maintaining bidirectional sync capability.</w:t>
      </w:r>
    </w:p>
    <w:p>
      <w:pPr>
        <w:pStyle w:val="Heading3"/>
      </w:pPr>
      <w:r>
        <w:t xml:space="preserve">Key Deliverables</w:t>
      </w:r>
    </w:p>
    <w:p>
      <w:pPr>
        <w:pStyle w:val="ListParagraph"/>
        <w:numPr>
          <w:ilvl w:val="0"/>
          <w:numId w:val="2"/>
        </w:numPr>
      </w:pPr>
      <w:r>
        <w:rPr>
          <w:color w:val="1E293B"/>
          <w:sz w:val="22"/>
          <w:szCs w:val="22"/>
        </w:rPr>
        <w:t xml:space="preserve">Cloned repository established as single source of truth</w:t>
      </w:r>
    </w:p>
    <w:p>
      <w:pPr>
        <w:pStyle w:val="ListParagraph"/>
        <w:numPr>
          <w:ilvl w:val="0"/>
          <w:numId w:val="2"/>
        </w:numPr>
      </w:pPr>
      <w:r>
        <w:rPr>
          <w:color w:val="1E293B"/>
          <w:sz w:val="22"/>
          <w:szCs w:val="22"/>
        </w:rPr>
        <w:t xml:space="preserve">Backup created: get-shit-done-code-index-backup (238 dirs, 602 files)</w:t>
      </w:r>
    </w:p>
    <w:p>
      <w:pPr>
        <w:pStyle w:val="ListParagraph"/>
        <w:numPr>
          <w:ilvl w:val="0"/>
          <w:numId w:val="2"/>
        </w:numPr>
      </w:pPr>
      <w:r>
        <w:rPr>
          <w:color w:val="1E293B"/>
          <w:sz w:val="22"/>
          <w:szCs w:val="22"/>
        </w:rPr>
        <w:t xml:space="preserve">3-MCP integration verified: DC (246+ refs), CI (41+ refs), CG</w:t>
      </w:r>
    </w:p>
    <w:p>
      <w:r>
        <w:br w:type="page"/>
      </w:r>
    </w:p>
    <w:p>
      <w:pPr>
        <w:pStyle w:val="Heading2"/>
      </w:pPr>
      <w:r>
        <w:t xml:space="preserve">Phase 5: Thinking Server Integration</w:t>
      </w:r>
    </w:p>
    <w:p>
      <w:pPr>
        <w:spacing w:after="200"/>
      </w:pPr>
      <w:r>
        <w:rPr>
          <w:b/>
          <w:bCs/>
          <w:color w:val="020617"/>
          <w:sz w:val="22"/>
          <w:szCs w:val="22"/>
        </w:rPr>
        <w:t xml:space="preserve">Goal: </w:t>
      </w:r>
      <w:r>
        <w:rPr>
          <w:color w:val="1E293B"/>
          <w:sz w:val="22"/>
          <w:szCs w:val="22"/>
        </w:rPr>
        <w:t xml:space="preserve">All three thinking servers integrated and configured with 7-BMAD methodology</w:t>
      </w:r>
    </w:p>
    <w:p>
      <w:pPr>
        <w:spacing w:after="120"/>
      </w:pPr>
      <w:r>
        <w:rPr>
          <w:color w:val="1E293B"/>
          <w:sz w:val="22"/>
          <w:szCs w:val="22"/>
        </w:rPr>
        <w:t xml:space="preserve">This phase integrates three specialized thinking servers that provide structured reasoning capabilities. Sequential thinking handles multi-step problem decomposition, Tractatus thinking provides logical structure analysis, and Debug thinking offers graph-based problem-solving. Each server integrates with the 7-BMAD methodology, providing quality gates across all seven circles of validation: Method, Mad, Model, Mode, Mod, Modd, and Methodd.</w:t>
      </w:r>
    </w:p>
    <w:p>
      <w:pPr>
        <w:pStyle w:val="Heading3"/>
      </w:pPr>
      <w:r>
        <w:t xml:space="preserve">Key Deliverables</w:t>
      </w:r>
    </w:p>
    <w:p>
      <w:pPr>
        <w:pStyle w:val="ListParagraph"/>
        <w:numPr>
          <w:ilvl w:val="0"/>
          <w:numId w:val="3"/>
        </w:numPr>
      </w:pPr>
      <w:r>
        <w:rPr>
          <w:color w:val="1E293B"/>
          <w:sz w:val="22"/>
          <w:szCs w:val="22"/>
        </w:rPr>
        <w:t xml:space="preserve">Sequential thinking: multi-step problem decomposition</w:t>
      </w:r>
    </w:p>
    <w:p>
      <w:pPr>
        <w:pStyle w:val="ListParagraph"/>
        <w:numPr>
          <w:ilvl w:val="0"/>
          <w:numId w:val="3"/>
        </w:numPr>
      </w:pPr>
      <w:r>
        <w:rPr>
          <w:color w:val="1E293B"/>
          <w:sz w:val="22"/>
          <w:szCs w:val="22"/>
        </w:rPr>
        <w:t xml:space="preserve">Tractatus thinking: logical structure analysis</w:t>
      </w:r>
    </w:p>
    <w:p>
      <w:pPr>
        <w:pStyle w:val="ListParagraph"/>
        <w:numPr>
          <w:ilvl w:val="0"/>
          <w:numId w:val="3"/>
        </w:numPr>
      </w:pPr>
      <w:r>
        <w:rPr>
          <w:color w:val="1E293B"/>
          <w:sz w:val="22"/>
          <w:szCs w:val="22"/>
        </w:rPr>
        <w:t xml:space="preserve">Debug thinking: graph-based problem-solving</w:t>
      </w:r>
    </w:p>
    <w:p>
      <w:pPr>
        <w:pStyle w:val="ListParagraph"/>
        <w:numPr>
          <w:ilvl w:val="0"/>
          <w:numId w:val="3"/>
        </w:numPr>
      </w:pPr>
      <w:r>
        <w:rPr>
          <w:color w:val="1E293B"/>
          <w:sz w:val="22"/>
          <w:szCs w:val="22"/>
        </w:rPr>
        <w:t xml:space="preserve">THINKING-SERVERS.md created with all APIs and examples</w:t>
      </w:r>
    </w:p>
    <w:p>
      <w:pPr>
        <w:pStyle w:val="Heading2"/>
        <w:spacing w:before="300"/>
      </w:pPr>
      <w:r>
        <w:t xml:space="preserve">Phase 6: Quality &amp; Verification</w:t>
      </w:r>
    </w:p>
    <w:p>
      <w:pPr>
        <w:spacing w:after="200"/>
      </w:pPr>
      <w:r>
        <w:rPr>
          <w:b/>
          <w:bCs/>
          <w:color w:val="020617"/>
          <w:sz w:val="22"/>
          <w:szCs w:val="22"/>
        </w:rPr>
        <w:t xml:space="preserve">Goal: </w:t>
      </w:r>
      <w:r>
        <w:rPr>
          <w:color w:val="1E293B"/>
          <w:sz w:val="22"/>
          <w:szCs w:val="22"/>
        </w:rPr>
        <w:t xml:space="preserve">Auto-validation system with 7-BMAD quality gates integrated across all agent work</w:t>
      </w:r>
    </w:p>
    <w:p>
      <w:pPr>
        <w:spacing w:after="120"/>
      </w:pPr>
      <w:r>
        <w:rPr>
          <w:color w:val="1E293B"/>
          <w:sz w:val="22"/>
          <w:szCs w:val="22"/>
        </w:rPr>
        <w:t xml:space="preserve">Quality assurance forms the backbone of reliable GSD operations. This phase implements an auto-validation system with 7-BMAD quality gates that verify implementation correctness, integration completeness, architecture alignment, pattern consistency, maintainability standards, extensibility verification, and documentation completeness. The plan checker ensures plans achieve phase goals, while the verifier confirms that deliverables match intended outcomes.</w:t>
      </w:r>
    </w:p>
    <w:p>
      <w:pPr>
        <w:pStyle w:val="Heading3"/>
      </w:pPr>
      <w:r>
        <w:t xml:space="preserve">Key Deliverables</w:t>
      </w:r>
    </w:p>
    <w:p>
      <w:pPr>
        <w:pStyle w:val="ListParagraph"/>
        <w:numPr>
          <w:ilvl w:val="0"/>
          <w:numId w:val="3"/>
        </w:numPr>
      </w:pPr>
      <w:r>
        <w:rPr>
          <w:color w:val="1E293B"/>
          <w:sz w:val="22"/>
          <w:szCs w:val="22"/>
        </w:rPr>
        <w:t xml:space="preserve">7-BMAD quality gates: Method, Mad, Model, Mode, Mod, Modd circles</w:t>
      </w:r>
    </w:p>
    <w:p>
      <w:pPr>
        <w:pStyle w:val="ListParagraph"/>
        <w:numPr>
          <w:ilvl w:val="0"/>
          <w:numId w:val="3"/>
        </w:numPr>
      </w:pPr>
      <w:r>
        <w:rPr>
          <w:color w:val="1E293B"/>
          <w:sz w:val="22"/>
          <w:szCs w:val="22"/>
        </w:rPr>
        <w:t xml:space="preserve">Plan checker verifies plans achieve phase goals</w:t>
      </w:r>
    </w:p>
    <w:p>
      <w:pPr>
        <w:pStyle w:val="ListParagraph"/>
        <w:numPr>
          <w:ilvl w:val="0"/>
          <w:numId w:val="3"/>
        </w:numPr>
      </w:pPr>
      <w:r>
        <w:rPr>
          <w:color w:val="1E293B"/>
          <w:sz w:val="22"/>
          <w:szCs w:val="22"/>
        </w:rPr>
        <w:t xml:space="preserve">Verifier confirms deliverables match goals</w:t>
      </w:r>
    </w:p>
    <w:p>
      <w:pPr>
        <w:pStyle w:val="ListParagraph"/>
        <w:numPr>
          <w:ilvl w:val="0"/>
          <w:numId w:val="3"/>
        </w:numPr>
      </w:pPr>
      <w:r>
        <w:rPr>
          <w:color w:val="1E293B"/>
          <w:sz w:val="22"/>
          <w:szCs w:val="22"/>
        </w:rPr>
        <w:t xml:space="preserve">All requirements testable with clear success criteria</w:t>
      </w:r>
    </w:p>
    <w:p>
      <w:pPr>
        <w:pStyle w:val="Heading2"/>
        <w:spacing w:before="300"/>
      </w:pPr>
      <w:r>
        <w:t xml:space="preserve">Phase 7: Command Layer Updates</w:t>
      </w:r>
    </w:p>
    <w:p>
      <w:pPr>
        <w:spacing w:after="200"/>
      </w:pPr>
      <w:r>
        <w:rPr>
          <w:b/>
          <w:bCs/>
          <w:color w:val="020617"/>
          <w:sz w:val="22"/>
          <w:szCs w:val="22"/>
        </w:rPr>
        <w:t xml:space="preserve">Goal: </w:t>
      </w:r>
      <w:r>
        <w:rPr>
          <w:color w:val="1E293B"/>
          <w:sz w:val="22"/>
          <w:szCs w:val="22"/>
        </w:rPr>
        <w:t xml:space="preserve">GSD commands updated to work with all three MCP servers</w:t>
      </w:r>
    </w:p>
    <w:p>
      <w:pPr>
        <w:spacing w:after="120"/>
      </w:pPr>
      <w:r>
        <w:rPr>
          <w:color w:val="1E293B"/>
          <w:sz w:val="22"/>
          <w:szCs w:val="22"/>
        </w:rPr>
        <w:t xml:space="preserve">All 26 GSD command files receive comprehensive updates to leverage the full power of the three MCP servers. Desktop Commander integration provides file and process operations, Code-Index MCP integration enables code search and analysis capabilities, and CodeGraphContext integration adds relationship analysis features. Commands declare their MCP tool dependencies in allowed-tools frontmatter, ensuring proper tool availability during execution.</w:t>
      </w:r>
    </w:p>
    <w:p>
      <w:pPr>
        <w:pStyle w:val="Heading3"/>
      </w:pPr>
      <w:r>
        <w:t xml:space="preserve">Key Deliverables</w:t>
      </w:r>
    </w:p>
    <w:p>
      <w:pPr>
        <w:pStyle w:val="ListParagraph"/>
        <w:numPr>
          <w:ilvl w:val="0"/>
          <w:numId w:val="3"/>
        </w:numPr>
      </w:pPr>
      <w:r>
        <w:rPr>
          <w:color w:val="1E293B"/>
          <w:sz w:val="22"/>
          <w:szCs w:val="22"/>
        </w:rPr>
        <w:t xml:space="preserve">All 26 GSD command files updated with DC MCP tools</w:t>
      </w:r>
    </w:p>
    <w:p>
      <w:pPr>
        <w:pStyle w:val="ListParagraph"/>
        <w:numPr>
          <w:ilvl w:val="0"/>
          <w:numId w:val="3"/>
        </w:numPr>
      </w:pPr>
      <w:r>
        <w:rPr>
          <w:color w:val="1E293B"/>
          <w:sz w:val="22"/>
          <w:szCs w:val="22"/>
        </w:rPr>
        <w:t xml:space="preserve">Commands declare DC tools in allowed-tools frontmatter</w:t>
      </w:r>
    </w:p>
    <w:p>
      <w:pPr>
        <w:pStyle w:val="ListParagraph"/>
        <w:numPr>
          <w:ilvl w:val="0"/>
          <w:numId w:val="3"/>
        </w:numPr>
      </w:pPr>
      <w:r>
        <w:rPr>
          <w:color w:val="1E293B"/>
          <w:sz w:val="22"/>
          <w:szCs w:val="22"/>
        </w:rPr>
        <w:t xml:space="preserve">CI tools for code search (search_code_advanced, find_files, etc.)</w:t>
      </w:r>
    </w:p>
    <w:p>
      <w:pPr>
        <w:pStyle w:val="ListParagraph"/>
        <w:numPr>
          <w:ilvl w:val="0"/>
          <w:numId w:val="3"/>
        </w:numPr>
      </w:pPr>
      <w:r>
        <w:rPr>
          <w:color w:val="1E293B"/>
          <w:sz w:val="22"/>
          <w:szCs w:val="22"/>
        </w:rPr>
        <w:t xml:space="preserve">CG tools for relationship analysis (query, find_path, analyze_impact)</w:t>
      </w:r>
    </w:p>
    <w:p>
      <w:pPr>
        <w:pStyle w:val="Heading2"/>
        <w:spacing w:before="300"/>
      </w:pPr>
      <w:r>
        <w:t xml:space="preserve">Phase 8: Advanced Workflow Features</w:t>
      </w:r>
    </w:p>
    <w:p>
      <w:pPr>
        <w:spacing w:after="200"/>
      </w:pPr>
      <w:r>
        <w:rPr>
          <w:b/>
          <w:bCs/>
          <w:color w:val="020617"/>
          <w:sz w:val="22"/>
          <w:szCs w:val="22"/>
        </w:rPr>
        <w:t xml:space="preserve">Goal: </w:t>
      </w:r>
      <w:r>
        <w:rPr>
          <w:color w:val="1E293B"/>
          <w:sz w:val="22"/>
          <w:szCs w:val="22"/>
        </w:rPr>
        <w:t xml:space="preserve">Parallel orchestration, configurable model profiles, and YOLO mode working across agents</w:t>
      </w:r>
    </w:p>
    <w:p>
      <w:pPr>
        <w:spacing w:after="120"/>
      </w:pPr>
      <w:r>
        <w:rPr>
          <w:color w:val="1E293B"/>
          <w:sz w:val="22"/>
          <w:szCs w:val="22"/>
        </w:rPr>
        <w:t xml:space="preserve">The final foundational phase introduces advanced workflow capabilities including parallel agent orchestration with rate limiting, configurable model profiles (quality/balanced/budget), and YOLO mode for frictionless auto-approved execution. Wave-based spawning prevents API rate limits while maximizing parallel execution efficiency. These features combine to create a powerful, flexible execution environment that adapts to various workflow complexity levels.</w:t>
      </w:r>
    </w:p>
    <w:p>
      <w:pPr>
        <w:pStyle w:val="Heading3"/>
      </w:pPr>
      <w:r>
        <w:t xml:space="preserve">Key Deliverables</w:t>
      </w:r>
    </w:p>
    <w:p>
      <w:pPr>
        <w:pStyle w:val="ListParagraph"/>
        <w:numPr>
          <w:ilvl w:val="0"/>
          <w:numId w:val="3"/>
        </w:numPr>
      </w:pPr>
      <w:r>
        <w:rPr>
          <w:color w:val="1E293B"/>
          <w:sz w:val="22"/>
          <w:szCs w:val="22"/>
        </w:rPr>
        <w:t xml:space="preserve">Parallel agent orchestration with rate limiting</w:t>
      </w:r>
    </w:p>
    <w:p>
      <w:pPr>
        <w:pStyle w:val="ListParagraph"/>
        <w:numPr>
          <w:ilvl w:val="0"/>
          <w:numId w:val="3"/>
        </w:numPr>
      </w:pPr>
      <w:r>
        <w:rPr>
          <w:color w:val="1E293B"/>
          <w:sz w:val="22"/>
          <w:szCs w:val="22"/>
        </w:rPr>
        <w:t xml:space="preserve">Model profiles: quality/balanced/budget configurations</w:t>
      </w:r>
    </w:p>
    <w:p>
      <w:pPr>
        <w:pStyle w:val="ListParagraph"/>
        <w:numPr>
          <w:ilvl w:val="0"/>
          <w:numId w:val="3"/>
        </w:numPr>
      </w:pPr>
      <w:r>
        <w:rPr>
          <w:color w:val="1E293B"/>
          <w:sz w:val="22"/>
          <w:szCs w:val="22"/>
        </w:rPr>
        <w:t xml:space="preserve">YOLO mode: auto-approve for frictionless execution</w:t>
      </w:r>
    </w:p>
    <w:p>
      <w:pPr>
        <w:pStyle w:val="ListParagraph"/>
        <w:numPr>
          <w:ilvl w:val="0"/>
          <w:numId w:val="3"/>
        </w:numPr>
      </w:pPr>
      <w:r>
        <w:rPr>
          <w:color w:val="1E293B"/>
          <w:sz w:val="22"/>
          <w:szCs w:val="22"/>
        </w:rPr>
        <w:t xml:space="preserve">Wave-based spawning prevents API rate limits</w:t>
      </w:r>
    </w:p>
    <w:p>
      <w:r>
        <w:br w:type="page"/>
      </w:r>
    </w:p>
    <w:p>
      <w:pPr>
        <w:pStyle w:val="Heading1"/>
      </w:pPr>
      <w:r>
        <w:t xml:space="preserve">MCP Server Architecture</w:t>
      </w:r>
    </w:p>
    <w:p>
      <w:pPr>
        <w:spacing w:after="200"/>
      </w:pPr>
      <w:r>
        <w:rPr>
          <w:color w:val="1E293B"/>
          <w:sz w:val="22"/>
          <w:szCs w:val="22"/>
        </w:rPr>
        <w:t xml:space="preserve">The three MCP servers form a cohesive architecture that addresses all aspects of code manipulation, search, and analysis. Each server provides specialized capabilities while maintaining interoperability through standardized MCP protocols.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340"/>
        <w:gridCol w:w="3510"/>
        <w:gridCol w:w="3510"/>
      </w:tblGrid>
      <w:tr>
        <w:trPr>
          <w:tblHeader/>
        </w:trPr>
        <w:tc>
          <w:tcPr>
            <w:tcW w:type="dxa" w:w="234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Server</w:t>
            </w:r>
          </w:p>
        </w:tc>
        <w:tc>
          <w:tcPr>
            <w:tcW w:type="dxa" w:w="351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Primary Functions</w:t>
            </w:r>
          </w:p>
        </w:tc>
        <w:tc>
          <w:tcPr>
            <w:tcW w:type="dxa" w:w="351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Key Tools</w:t>
            </w:r>
          </w:p>
        </w:tc>
      </w:tr>
      <w:tr>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Desktop Commander (DC)</w:t>
            </w:r>
          </w:p>
        </w:tc>
        <w:tc>
          <w:tcPr>
            <w:tcW w:type="dxa" w:w="351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File operations, process management, system commands</w:t>
            </w:r>
          </w:p>
        </w:tc>
        <w:tc>
          <w:tcPr>
            <w:tcW w:type="dxa" w:w="351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read_file, write_file, start_process, list_directory</w:t>
            </w:r>
          </w:p>
        </w:tc>
      </w:tr>
      <w:tr>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Code-Index MCP (CI)</w:t>
            </w:r>
          </w:p>
        </w:tc>
        <w:tc>
          <w:tcPr>
            <w:tcW w:type="dxa" w:w="351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Code search, symbol navigation, indexing</w:t>
            </w:r>
          </w:p>
        </w:tc>
        <w:tc>
          <w:tcPr>
            <w:tcW w:type="dxa" w:w="351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search_code_advanced, find_files, get_symbol_body, build_deep_index</w:t>
            </w:r>
          </w:p>
        </w:tc>
      </w:tr>
      <w:tr>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CodeGraphContext (CG)</w:t>
            </w:r>
          </w:p>
        </w:tc>
        <w:tc>
          <w:tcPr>
            <w:tcW w:type="dxa" w:w="351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Relationship analysis, dependency tracking</w:t>
            </w:r>
          </w:p>
        </w:tc>
        <w:tc>
          <w:tcPr>
            <w:tcW w:type="dxa" w:w="351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query, find_path, analyze_impact, visualize, get_statistics</w:t>
            </w:r>
          </w:p>
        </w:tc>
      </w:tr>
    </w:tbl>
    <w:p>
      <w:pPr>
        <w:pStyle w:val="Heading1"/>
        <w:spacing w:before="400"/>
      </w:pPr>
      <w:r>
        <w:t xml:space="preserve">Token Efficiency Analysis</w:t>
      </w:r>
    </w:p>
    <w:p>
      <w:pPr>
        <w:spacing w:after="200"/>
      </w:pPr>
      <w:r>
        <w:rPr>
          <w:color w:val="1E293B"/>
          <w:sz w:val="22"/>
          <w:szCs w:val="22"/>
        </w:rPr>
        <w:t xml:space="preserve">One of the primary motivations for MCP integration is the dramatic reduction in token consumption. MCP tools provide structured, efficient operations that eliminate the verbose output and parsing overhead associated with native bash commands. The following analysis demonstrates the efficiency gains achieved: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3120"/>
        <w:gridCol w:w="2340"/>
        <w:gridCol w:w="2340"/>
        <w:gridCol w:w="1560"/>
      </w:tblGrid>
      <w:tr>
        <w:trPr>
          <w:tblHeader/>
        </w:trPr>
        <w:tc>
          <w:tcPr>
            <w:tcW w:type="dxa" w:w="312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Operation Type</w:t>
            </w:r>
          </w:p>
        </w:tc>
        <w:tc>
          <w:tcPr>
            <w:tcW w:type="dxa" w:w="234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Native (tokens)</w:t>
            </w:r>
          </w:p>
        </w:tc>
        <w:tc>
          <w:tcPr>
            <w:tcW w:type="dxa" w:w="234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MCP (tokens)</w:t>
            </w:r>
          </w:p>
        </w:tc>
        <w:tc>
          <w:tcPr>
            <w:tcW w:type="dxa" w:w="156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Savings</w:t>
            </w:r>
          </w:p>
        </w:tc>
      </w:tr>
      <w:tr>
        <w:tc>
          <w:tcPr>
            <w:tcW w:type="dxa" w:w="312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File read (large)</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15,000+</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2,000</w:t>
            </w:r>
          </w:p>
        </w:tc>
        <w:tc>
          <w:tcPr>
            <w:tcW w:type="dxa" w:w="1560"/>
            <w:tcBorders>
              <w:top w:val="single" w:color="94A3B8" w:sz="1"/>
              <w:left w:val="single" w:color="94A3B8" w:sz="1"/>
              <w:bottom w:val="single" w:color="94A3B8" w:sz="1"/>
              <w:right w:val="single" w:color="94A3B8" w:sz="1"/>
            </w:tcBorders>
            <w:shd w:fill="F8FAFC" w:val="clear"/>
            <w:vAlign w:val="center"/>
          </w:tcPr>
          <w:p>
            <w:pPr>
              <w:jc w:val="center"/>
            </w:pPr>
            <w:r>
              <w:rPr>
                <w:b/>
                <w:bCs/>
                <w:color w:val="1E293B"/>
                <w:sz w:val="21"/>
                <w:szCs w:val="21"/>
              </w:rPr>
              <w:t xml:space="preserve">87%</w:t>
            </w:r>
          </w:p>
        </w:tc>
      </w:tr>
      <w:tr>
        <w:tc>
          <w:tcPr>
            <w:tcW w:type="dxa" w:w="312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Code search</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8,000+</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1,200</w:t>
            </w:r>
          </w:p>
        </w:tc>
        <w:tc>
          <w:tcPr>
            <w:tcW w:type="dxa" w:w="1560"/>
            <w:tcBorders>
              <w:top w:val="single" w:color="94A3B8" w:sz="1"/>
              <w:left w:val="single" w:color="94A3B8" w:sz="1"/>
              <w:bottom w:val="single" w:color="94A3B8" w:sz="1"/>
              <w:right w:val="single" w:color="94A3B8" w:sz="1"/>
            </w:tcBorders>
            <w:shd w:fill="F8FAFC" w:val="clear"/>
            <w:vAlign w:val="center"/>
          </w:tcPr>
          <w:p>
            <w:pPr>
              <w:jc w:val="center"/>
            </w:pPr>
            <w:r>
              <w:rPr>
                <w:b/>
                <w:bCs/>
                <w:color w:val="1E293B"/>
                <w:sz w:val="21"/>
                <w:szCs w:val="21"/>
              </w:rPr>
              <w:t xml:space="preserve">85%</w:t>
            </w:r>
          </w:p>
        </w:tc>
      </w:tr>
      <w:tr>
        <w:tc>
          <w:tcPr>
            <w:tcW w:type="dxa" w:w="312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Symbol extraction</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5,000+</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800</w:t>
            </w:r>
          </w:p>
        </w:tc>
        <w:tc>
          <w:tcPr>
            <w:tcW w:type="dxa" w:w="1560"/>
            <w:tcBorders>
              <w:top w:val="single" w:color="94A3B8" w:sz="1"/>
              <w:left w:val="single" w:color="94A3B8" w:sz="1"/>
              <w:bottom w:val="single" w:color="94A3B8" w:sz="1"/>
              <w:right w:val="single" w:color="94A3B8" w:sz="1"/>
            </w:tcBorders>
            <w:shd w:fill="F8FAFC" w:val="clear"/>
            <w:vAlign w:val="center"/>
          </w:tcPr>
          <w:p>
            <w:pPr>
              <w:jc w:val="center"/>
            </w:pPr>
            <w:r>
              <w:rPr>
                <w:b/>
                <w:bCs/>
                <w:color w:val="1E293B"/>
                <w:sz w:val="21"/>
                <w:szCs w:val="21"/>
              </w:rPr>
              <w:t xml:space="preserve">84%</w:t>
            </w:r>
          </w:p>
        </w:tc>
      </w:tr>
      <w:tr>
        <w:tc>
          <w:tcPr>
            <w:tcW w:type="dxa" w:w="312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Dependency analysis</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10,000+</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1,500</w:t>
            </w:r>
          </w:p>
        </w:tc>
        <w:tc>
          <w:tcPr>
            <w:tcW w:type="dxa" w:w="1560"/>
            <w:tcBorders>
              <w:top w:val="single" w:color="94A3B8" w:sz="1"/>
              <w:left w:val="single" w:color="94A3B8" w:sz="1"/>
              <w:bottom w:val="single" w:color="94A3B8" w:sz="1"/>
              <w:right w:val="single" w:color="94A3B8" w:sz="1"/>
            </w:tcBorders>
            <w:shd w:fill="F8FAFC" w:val="clear"/>
            <w:vAlign w:val="center"/>
          </w:tcPr>
          <w:p>
            <w:pPr>
              <w:jc w:val="center"/>
            </w:pPr>
            <w:r>
              <w:rPr>
                <w:b/>
                <w:bCs/>
                <w:color w:val="1E293B"/>
                <w:sz w:val="21"/>
                <w:szCs w:val="21"/>
              </w:rPr>
              <w:t xml:space="preserve">85%</w:t>
            </w:r>
          </w:p>
        </w:tc>
      </w:tr>
    </w:tbl>
    <w:p>
      <w:pPr>
        <w:pStyle w:val="Heading1"/>
        <w:spacing w:before="400"/>
      </w:pPr>
      <w:r>
        <w:t xml:space="preserve">7-BMAD Quality Framework</w:t>
      </w:r>
    </w:p>
    <w:p>
      <w:pPr>
        <w:spacing w:after="200"/>
      </w:pPr>
      <w:r>
        <w:rPr>
          <w:color w:val="1E293B"/>
          <w:sz w:val="22"/>
          <w:szCs w:val="22"/>
        </w:rPr>
        <w:t xml:space="preserve">The 7-BMAD (7-Sacred Circle Method) quality framework provides comprehensive validation gates for all agent work. Each circle represents a distinct validation dimension that ensures systematic verification across implementation, integration, architecture, patterns, maintainability, extensibility, and documentation.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000"/>
        <w:gridCol w:w="3000"/>
        <w:gridCol w:w="4360"/>
      </w:tblGrid>
      <w:tr>
        <w:trPr>
          <w:tblHeader/>
        </w:trPr>
        <w:tc>
          <w:tcPr>
            <w:tcW w:type="dxa" w:w="200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Circle</w:t>
            </w:r>
          </w:p>
        </w:tc>
        <w:tc>
          <w:tcPr>
            <w:tcW w:type="dxa" w:w="300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Focus</w:t>
            </w:r>
          </w:p>
        </w:tc>
        <w:tc>
          <w:tcPr>
            <w:tcW w:type="dxa" w:w="436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Validation Checks</w:t>
            </w:r>
          </w:p>
        </w:tc>
      </w:tr>
      <w:tr>
        <w:tc>
          <w:tcPr>
            <w:tcW w:type="dxa" w:w="200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Method</w:t>
            </w:r>
          </w:p>
        </w:tc>
        <w:tc>
          <w:tcPr>
            <w:tcW w:type="dxa" w:w="300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Implementation Correctness</w:t>
            </w:r>
          </w:p>
        </w:tc>
        <w:tc>
          <w:tcPr>
            <w:tcW w:type="dxa" w:w="436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Code compiles, logic matches, edge cases handled</w:t>
            </w:r>
          </w:p>
        </w:tc>
      </w:tr>
      <w:tr>
        <w:tc>
          <w:tcPr>
            <w:tcW w:type="dxa" w:w="200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Mad</w:t>
            </w:r>
          </w:p>
        </w:tc>
        <w:tc>
          <w:tcPr>
            <w:tcW w:type="dxa" w:w="300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Integration Completeness</w:t>
            </w:r>
          </w:p>
        </w:tc>
        <w:tc>
          <w:tcPr>
            <w:tcW w:type="dxa" w:w="436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Dependencies integrated, APIs match, data flows</w:t>
            </w:r>
          </w:p>
        </w:tc>
      </w:tr>
      <w:tr>
        <w:tc>
          <w:tcPr>
            <w:tcW w:type="dxa" w:w="200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Model</w:t>
            </w:r>
          </w:p>
        </w:tc>
        <w:tc>
          <w:tcPr>
            <w:tcW w:type="dxa" w:w="300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Architecture Alignment</w:t>
            </w:r>
          </w:p>
        </w:tc>
        <w:tc>
          <w:tcPr>
            <w:tcW w:type="dxa" w:w="436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Patterns followed, separation of concerns</w:t>
            </w:r>
          </w:p>
        </w:tc>
      </w:tr>
      <w:tr>
        <w:tc>
          <w:tcPr>
            <w:tcW w:type="dxa" w:w="200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Mode</w:t>
            </w:r>
          </w:p>
        </w:tc>
        <w:tc>
          <w:tcPr>
            <w:tcW w:type="dxa" w:w="300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Pattern Consistency</w:t>
            </w:r>
          </w:p>
        </w:tc>
        <w:tc>
          <w:tcPr>
            <w:tcW w:type="dxa" w:w="436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Coding patterns, naming conventions</w:t>
            </w:r>
          </w:p>
        </w:tc>
      </w:tr>
      <w:tr>
        <w:tc>
          <w:tcPr>
            <w:tcW w:type="dxa" w:w="200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Mod</w:t>
            </w:r>
          </w:p>
        </w:tc>
        <w:tc>
          <w:tcPr>
            <w:tcW w:type="dxa" w:w="300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Maintainability Standards</w:t>
            </w:r>
          </w:p>
        </w:tc>
        <w:tc>
          <w:tcPr>
            <w:tcW w:type="dxa" w:w="436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Readability, complexity limits, test coverage</w:t>
            </w:r>
          </w:p>
        </w:tc>
      </w:tr>
      <w:tr>
        <w:tc>
          <w:tcPr>
            <w:tcW w:type="dxa" w:w="200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Modd</w:t>
            </w:r>
          </w:p>
        </w:tc>
        <w:tc>
          <w:tcPr>
            <w:tcW w:type="dxa" w:w="300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Extensibility Verification</w:t>
            </w:r>
          </w:p>
        </w:tc>
        <w:tc>
          <w:tcPr>
            <w:tcW w:type="dxa" w:w="436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Easy to extend, configurable, plugin points</w:t>
            </w:r>
          </w:p>
        </w:tc>
      </w:tr>
      <w:tr>
        <w:tc>
          <w:tcPr>
            <w:tcW w:type="dxa" w:w="200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Methodd</w:t>
            </w:r>
          </w:p>
        </w:tc>
        <w:tc>
          <w:tcPr>
            <w:tcW w:type="dxa" w:w="300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Documentation Completeness</w:t>
            </w:r>
          </w:p>
        </w:tc>
        <w:tc>
          <w:tcPr>
            <w:tcW w:type="dxa" w:w="436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API docs, examples, troubleshooting guides</w:t>
            </w:r>
          </w:p>
        </w:tc>
      </w:tr>
    </w:tbl>
    <w:p>
      <w:r>
        <w:br w:type="page"/>
      </w:r>
    </w:p>
    <w:p>
      <w:pPr>
        <w:pStyle w:val="Heading1"/>
      </w:pPr>
      <w:r>
        <w:t xml:space="preserve">Configurable Model Profiles</w:t>
      </w:r>
    </w:p>
    <w:p>
      <w:pPr>
        <w:spacing w:after="200"/>
      </w:pPr>
      <w:r>
        <w:rPr>
          <w:color w:val="1E293B"/>
          <w:sz w:val="22"/>
          <w:szCs w:val="22"/>
        </w:rPr>
        <w:t xml:space="preserve">Phase 8 introduced configurable model profiles that allow users to balance capability against cost based on task complexity. Three profiles are available, each optimized for specific use cases: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000"/>
        <w:gridCol w:w="4000"/>
        <w:gridCol w:w="3360"/>
      </w:tblGrid>
      <w:tr>
        <w:trPr>
          <w:tblHeader/>
        </w:trPr>
        <w:tc>
          <w:tcPr>
            <w:tcW w:type="dxa" w:w="200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Profile</w:t>
            </w:r>
          </w:p>
        </w:tc>
        <w:tc>
          <w:tcPr>
            <w:tcW w:type="dxa" w:w="400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Description</w:t>
            </w:r>
          </w:p>
        </w:tc>
        <w:tc>
          <w:tcPr>
            <w:tcW w:type="dxa" w:w="336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Best For</w:t>
            </w:r>
          </w:p>
        </w:tc>
      </w:tr>
      <w:tr>
        <w:tc>
          <w:tcPr>
            <w:tcW w:type="dxa" w:w="200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Quality</w:t>
            </w:r>
          </w:p>
        </w:tc>
        <w:tc>
          <w:tcPr>
            <w:tcW w:type="dxa" w:w="400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Maximum capability using claude-opus-4-6 for all agents</w:t>
            </w:r>
          </w:p>
        </w:tc>
        <w:tc>
          <w:tcPr>
            <w:tcW w:type="dxa" w:w="336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Complex tasks, critical operations</w:t>
            </w:r>
          </w:p>
        </w:tc>
      </w:tr>
      <w:tr>
        <w:tc>
          <w:tcPr>
            <w:tcW w:type="dxa" w:w="200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Balanced</w:t>
            </w:r>
          </w:p>
        </w:tc>
        <w:tc>
          <w:tcPr>
            <w:tcW w:type="dxa" w:w="400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Opus for planning, Sonnet for execution and verification</w:t>
            </w:r>
          </w:p>
        </w:tc>
        <w:tc>
          <w:tcPr>
            <w:tcW w:type="dxa" w:w="336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Standard workflows, daily operations</w:t>
            </w:r>
          </w:p>
        </w:tc>
      </w:tr>
      <w:tr>
        <w:tc>
          <w:tcPr>
            <w:tcW w:type="dxa" w:w="200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Budget</w:t>
            </w:r>
          </w:p>
        </w:tc>
        <w:tc>
          <w:tcPr>
            <w:tcW w:type="dxa" w:w="400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Sonnet for planning, Haiku for execution and verification</w:t>
            </w:r>
          </w:p>
        </w:tc>
        <w:tc>
          <w:tcPr>
            <w:tcW w:type="dxa" w:w="3360"/>
            <w:tcBorders>
              <w:top w:val="single" w:color="94A3B8" w:sz="1"/>
              <w:left w:val="single" w:color="94A3B8" w:sz="1"/>
              <w:bottom w:val="single" w:color="94A3B8" w:sz="1"/>
              <w:right w:val="single" w:color="94A3B8" w:sz="1"/>
            </w:tcBorders>
            <w:shd w:fill="F8FAFC" w:val="clear"/>
            <w:vAlign w:val="center"/>
          </w:tcPr>
          <w:p>
            <w:pPr>
              <w:jc w:val="left"/>
            </w:pPr>
            <w:r>
              <w:rPr>
                <w:b w:val="false"/>
                <w:bCs w:val="false"/>
                <w:color w:val="1E293B"/>
                <w:sz w:val="21"/>
                <w:szCs w:val="21"/>
              </w:rPr>
              <w:t xml:space="preserve">Quick iterations, testing, development</w:t>
            </w:r>
          </w:p>
        </w:tc>
      </w:tr>
    </w:tbl>
    <w:p>
      <w:pPr>
        <w:pStyle w:val="Heading1"/>
        <w:spacing w:before="400"/>
      </w:pPr>
      <w:r>
        <w:t xml:space="preserve">Performance Metrics Summary</w:t>
      </w:r>
    </w:p>
    <w:p>
      <w:pPr>
        <w:spacing w:after="200"/>
      </w:pPr>
      <w:r>
        <w:rPr>
          <w:color w:val="1E293B"/>
          <w:sz w:val="22"/>
          <w:szCs w:val="22"/>
        </w:rPr>
        <w:t xml:space="preserve">The complete execution of Phases 1-8 achieved remarkable efficiency across all metrics. The following summary captures the overall performance of the transformation effort: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4680"/>
        <w:gridCol w:w="4680"/>
      </w:tblGrid>
      <w:tr>
        <w:trPr>
          <w:tblHeader/>
        </w:trPr>
        <w:tc>
          <w:tcPr>
            <w:tcW w:type="dxa" w:w="234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Metric</w:t>
            </w:r>
          </w:p>
        </w:tc>
        <w:tc>
          <w:tcPr>
            <w:tcW w:type="dxa" w:w="2340"/>
            <w:tcBorders>
              <w:top w:val="single" w:color="94A3B8" w:sz="1"/>
              <w:left w:val="single" w:color="94A3B8" w:sz="1"/>
              <w:bottom w:val="single" w:color="94A3B8" w:sz="1"/>
              <w:right w:val="single" w:color="94A3B8" w:sz="1"/>
            </w:tcBorders>
            <w:shd w:fill="1E293B" w:val="clear"/>
            <w:vAlign w:val="center"/>
          </w:tcPr>
          <w:p>
            <w:pPr>
              <w:jc w:val="center"/>
            </w:pPr>
            <w:r>
              <w:rPr>
                <w:b/>
                <w:bCs/>
                <w:color w:val="FFFFFF"/>
                <w:sz w:val="22"/>
                <w:szCs w:val="22"/>
              </w:rPr>
              <w:t xml:space="preserve">Value</w:t>
            </w:r>
          </w:p>
        </w:tc>
      </w:tr>
      <w:tr>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Total Plans Completed</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32 plans</w:t>
            </w:r>
          </w:p>
        </w:tc>
      </w:tr>
      <w:tr>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Total Tasks Executed</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~250 tasks</w:t>
            </w:r>
          </w:p>
        </w:tc>
      </w:tr>
      <w:tr>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Average Plan Duration</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5.3 minutes</w:t>
            </w:r>
          </w:p>
        </w:tc>
      </w:tr>
      <w:tr>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Total Execution Time</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79 minutes</w:t>
            </w:r>
          </w:p>
        </w:tc>
      </w:tr>
      <w:tr>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Requirements Coverage</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30/30 (100%)</w:t>
            </w:r>
          </w:p>
        </w:tc>
      </w:tr>
      <w:tr>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b/>
                <w:bCs/>
                <w:color w:val="1E293B"/>
                <w:sz w:val="21"/>
                <w:szCs w:val="21"/>
              </w:rPr>
              <w:t xml:space="preserve">Token Efficiency Gain</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val="false"/>
                <w:bCs w:val="false"/>
                <w:color w:val="1E293B"/>
                <w:sz w:val="21"/>
                <w:szCs w:val="21"/>
              </w:rPr>
              <w:t xml:space="preserve">80-90%</w:t>
            </w:r>
          </w:p>
        </w:tc>
      </w:tr>
    </w:tbl>
    <w:p>
      <w:pPr>
        <w:pStyle w:val="Heading1"/>
        <w:spacing w:before="400"/>
      </w:pPr>
      <w:r>
        <w:t xml:space="preserve">Summary</w:t>
      </w:r>
    </w:p>
    <w:p>
      <w:pPr>
        <w:spacing w:after="200"/>
      </w:pPr>
      <w:r>
        <w:rPr>
          <w:color w:val="1E293B"/>
          <w:sz w:val="22"/>
          <w:szCs w:val="22"/>
        </w:rPr>
        <w:t xml:space="preserve">Phases 1-8 represent a complete transformation of the GSD system into a token-efficient, MCP-powered workflow automation platform. The integration of Desktop Commander, Code-Index MCP, and CodeGraphContext servers provides comprehensive capabilities for file operations, code search, and relationship analysis. The 7-BMAD quality framework ensures systematic verification, while configurable model profiles and YOLO mode offer flexibility in execution approach.</w:t>
      </w:r>
    </w:p>
    <w:p>
      <w:pPr>
        <w:spacing w:after="200"/>
      </w:pPr>
      <w:r>
        <w:rPr>
          <w:color w:val="1E293B"/>
          <w:sz w:val="22"/>
          <w:szCs w:val="22"/>
        </w:rPr>
        <w:t xml:space="preserve">The foundation established by these eight phases enables the subsequent transformation phases (9-13) that will complete the GSD to GSI rebranding and auditing process. All 30 requirements have been addressed, all 32 plans have been executed successfully, and the system is now ready for production use with the enhanced capabilities that MCP integration provides.</w:t>
      </w:r>
    </w:p>
    <w:p>
      <w:pPr>
        <w:spacing w:after="400"/>
      </w:pPr>
      <w:r>
        <w:rPr>
          <w:color w:val="1E293B"/>
          <w:sz w:val="22"/>
          <w:szCs w:val="22"/>
        </w:rPr>
        <w:t xml:space="preserve">The project status is: </w:t>
      </w:r>
      <w:r>
        <w:rPr>
          <w:b/>
          <w:bCs/>
          <w:color w:val="020617"/>
          <w:sz w:val="22"/>
          <w:szCs w:val="22"/>
        </w:rPr>
        <w:t xml:space="preserve">100% COMPLETE</w:t>
      </w:r>
      <w:r>
        <w:rPr>
          <w:color w:val="1E293B"/>
          <w:sz w:val="22"/>
          <w:szCs w:val="22"/>
        </w:rPr>
        <w:t xml:space="preserve"> - Full 3-MCP integration (DC + CI + CG) with thinking servers and YOLO mode enabled.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MCP-Enhanced GSD: Phases 1-8 Complete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b/>
      <w:bCs/>
      <w:color w:val="020617"/>
      <w:sz w:val="56"/>
      <w:szCs w:val="56"/>
    </w:rPr>
  </w:style>
  <w:style w:type="paragraph" w:styleId="Heading1">
    <w:name w:val="Heading 1"/>
    <w:basedOn w:val="Normal"/>
    <w:next w:val="Normal"/>
    <w:qFormat/>
    <w:pPr>
      <w:spacing w:before="360" w:after="200"/>
      <w:outlineLvl w:val="0"/>
    </w:pPr>
    <w:rPr>
      <w:b/>
      <w:bCs/>
      <w:color w:val="020617"/>
      <w:sz w:val="32"/>
      <w:szCs w:val="32"/>
    </w:rPr>
  </w:style>
  <w:style w:type="paragraph" w:styleId="Heading2">
    <w:name w:val="Heading 2"/>
    <w:basedOn w:val="Normal"/>
    <w:next w:val="Normal"/>
    <w:qFormat/>
    <w:pPr>
      <w:spacing w:before="240" w:after="160"/>
      <w:outlineLvl w:val="1"/>
    </w:pPr>
    <w:rPr>
      <w:b/>
      <w:bCs/>
      <w:color w:val="1E293B"/>
      <w:sz w:val="26"/>
      <w:szCs w:val="26"/>
    </w:rPr>
  </w:style>
  <w:style w:type="paragraph" w:styleId="Heading3">
    <w:name w:val="Heading 3"/>
    <w:basedOn w:val="Normal"/>
    <w:next w:val="Normal"/>
    <w:qFormat/>
    <w:pPr>
      <w:spacing w:before="200" w:after="120"/>
      <w:outlineLvl w:val="2"/>
    </w:pPr>
    <w:rPr>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2026-02-13T12:48:00.890Z</dcterms:created>
  <dcterms:modified xsi:type="dcterms:W3CDTF">2026-02-13T12:48:00.890Z</dcterms:modified>
</cp:coreProperties>
</file>

<file path=docProps/custom.xml><?xml version="1.0" encoding="utf-8"?>
<Properties xmlns="http://schemas.openxmlformats.org/officeDocument/2006/custom-properties" xmlns:vt="http://schemas.openxmlformats.org/officeDocument/2006/docPropsVTypes"/>
</file>