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24FB" w14:textId="77777777" w:rsidR="00DB0C4B" w:rsidRPr="0079673E" w:rsidRDefault="00000000">
      <w:pPr>
        <w:spacing w:line="480" w:lineRule="auto"/>
        <w:jc w:val="center"/>
        <w:rPr>
          <w:rFonts w:ascii="Times New Roman" w:eastAsia="Times New Roman" w:hAnsi="Times New Roman" w:cs="Times New Roman"/>
          <w:b/>
          <w:sz w:val="24"/>
          <w:szCs w:val="24"/>
        </w:rPr>
      </w:pPr>
      <w:r w:rsidRPr="0079673E">
        <w:rPr>
          <w:rFonts w:ascii="Times New Roman" w:eastAsia="Times New Roman" w:hAnsi="Times New Roman" w:cs="Times New Roman"/>
          <w:b/>
          <w:sz w:val="24"/>
          <w:szCs w:val="24"/>
        </w:rPr>
        <w:t>CHAPTER 4</w:t>
      </w:r>
    </w:p>
    <w:p w14:paraId="6B6CA1CC" w14:textId="77777777" w:rsidR="00DB0C4B" w:rsidRPr="0079673E" w:rsidRDefault="00000000">
      <w:pPr>
        <w:spacing w:line="480" w:lineRule="auto"/>
        <w:jc w:val="center"/>
        <w:rPr>
          <w:rFonts w:ascii="Times New Roman" w:hAnsi="Times New Roman" w:cs="Times New Roman"/>
          <w:b/>
          <w:color w:val="000000"/>
          <w:sz w:val="24"/>
          <w:szCs w:val="24"/>
        </w:rPr>
      </w:pPr>
      <w:r w:rsidRPr="0079673E">
        <w:rPr>
          <w:rFonts w:ascii="Times New Roman" w:hAnsi="Times New Roman" w:cs="Times New Roman"/>
          <w:b/>
          <w:color w:val="000000"/>
          <w:sz w:val="24"/>
          <w:szCs w:val="24"/>
        </w:rPr>
        <w:t>RESULT AND DISCUSSION</w:t>
      </w:r>
    </w:p>
    <w:p w14:paraId="41880F9D" w14:textId="77777777" w:rsidR="00DB0C4B" w:rsidRPr="0079673E" w:rsidRDefault="00000000">
      <w:pPr>
        <w:spacing w:line="480" w:lineRule="auto"/>
        <w:rPr>
          <w:rFonts w:ascii="Times New Roman" w:hAnsi="Times New Roman" w:cs="Times New Roman"/>
          <w:b/>
          <w:sz w:val="24"/>
          <w:szCs w:val="24"/>
        </w:rPr>
      </w:pPr>
      <w:r w:rsidRPr="0079673E">
        <w:rPr>
          <w:rFonts w:ascii="Times New Roman" w:hAnsi="Times New Roman" w:cs="Times New Roman"/>
          <w:b/>
          <w:sz w:val="24"/>
          <w:szCs w:val="24"/>
        </w:rPr>
        <w:t>4.1 Introduction</w:t>
      </w:r>
    </w:p>
    <w:p w14:paraId="1BCBC14B" w14:textId="2889E190" w:rsidR="00DB0C4B" w:rsidRPr="0079673E" w:rsidRDefault="00000000">
      <w:pPr>
        <w:spacing w:line="480" w:lineRule="auto"/>
        <w:rPr>
          <w:rFonts w:ascii="Times New Roman" w:hAnsi="Times New Roman" w:cs="Times New Roman"/>
          <w:b/>
          <w:sz w:val="24"/>
          <w:szCs w:val="24"/>
        </w:rPr>
      </w:pPr>
      <w:r w:rsidRPr="0079673E">
        <w:rPr>
          <w:rFonts w:ascii="Times New Roman" w:hAnsi="Times New Roman" w:cs="Times New Roman"/>
          <w:b/>
          <w:sz w:val="24"/>
          <w:szCs w:val="24"/>
        </w:rPr>
        <w:tab/>
      </w:r>
      <w:r w:rsidR="0079673E" w:rsidRPr="0079673E">
        <w:rPr>
          <w:rFonts w:ascii="Times New Roman" w:hAnsi="Times New Roman" w:cs="Times New Roman"/>
          <w:sz w:val="24"/>
          <w:szCs w:val="24"/>
        </w:rPr>
        <w:t xml:space="preserve">This chapter presents the results of the research conducted on the Automatic Speech Recognition (ASR) and Machine Translation (MT) systems within the </w:t>
      </w:r>
      <w:proofErr w:type="spellStart"/>
      <w:r w:rsidR="0079673E" w:rsidRPr="0079673E">
        <w:rPr>
          <w:rFonts w:ascii="Times New Roman" w:hAnsi="Times New Roman" w:cs="Times New Roman"/>
          <w:sz w:val="24"/>
          <w:szCs w:val="24"/>
        </w:rPr>
        <w:t>Aravoe</w:t>
      </w:r>
      <w:proofErr w:type="spellEnd"/>
      <w:r w:rsidR="0079673E" w:rsidRPr="0079673E">
        <w:rPr>
          <w:rFonts w:ascii="Times New Roman" w:hAnsi="Times New Roman" w:cs="Times New Roman"/>
          <w:sz w:val="24"/>
          <w:szCs w:val="24"/>
        </w:rPr>
        <w:t xml:space="preserve"> project. The primary objective is to evaluate the performance of these systems in accurately transcribing spoken Arabic and translating it into English. Additionally, this chapter discusses the evaluation metrics used to assess the performance and provides insights into the strengths, limitations, and real-world applicability of the systems.</w:t>
      </w:r>
    </w:p>
    <w:p w14:paraId="72C32A1E" w14:textId="77777777" w:rsidR="00DB0C4B" w:rsidRPr="0079673E" w:rsidRDefault="00000000">
      <w:pPr>
        <w:spacing w:line="480" w:lineRule="auto"/>
        <w:rPr>
          <w:rFonts w:ascii="Times New Roman" w:hAnsi="Times New Roman" w:cs="Times New Roman"/>
          <w:b/>
          <w:sz w:val="24"/>
          <w:szCs w:val="24"/>
        </w:rPr>
      </w:pPr>
      <w:r w:rsidRPr="0079673E">
        <w:rPr>
          <w:rFonts w:ascii="Times New Roman" w:hAnsi="Times New Roman" w:cs="Times New Roman"/>
          <w:b/>
          <w:sz w:val="24"/>
          <w:szCs w:val="24"/>
        </w:rPr>
        <w:t>4.2 Data Corpus</w:t>
      </w:r>
    </w:p>
    <w:p w14:paraId="4433B2DD" w14:textId="77777777" w:rsidR="00DB0C4B" w:rsidRPr="0079673E" w:rsidRDefault="00000000" w:rsidP="0079673E">
      <w:pPr>
        <w:spacing w:line="480" w:lineRule="auto"/>
        <w:ind w:firstLine="720"/>
        <w:jc w:val="both"/>
        <w:rPr>
          <w:rFonts w:ascii="Times New Roman" w:hAnsi="Times New Roman" w:cs="Times New Roman"/>
          <w:sz w:val="24"/>
          <w:szCs w:val="24"/>
        </w:rPr>
      </w:pPr>
      <w:r w:rsidRPr="0079673E">
        <w:rPr>
          <w:rFonts w:ascii="Times New Roman" w:hAnsi="Times New Roman" w:cs="Times New Roman"/>
          <w:sz w:val="24"/>
          <w:szCs w:val="24"/>
        </w:rPr>
        <w:t>The data for this project was collected from several key sources to ensure comprehensive training for both the ASR and MT systems. A significant portion of the data came from a collaboration with DepEd Madaris Teachers (Arabic Language and Islamic Values Education) and Muslim youth students (Shabab). The Madaris teachers provided Arabic-to-English vocabularies from their curriculum, and the Shabab students recorded these vocabularies as audio files. This collaboration resulted in a domain-specific corpus, tailored to educational content, which is critical for training models to recognize and translate Arabic within the context of language learning and values education. This specialized data forms the foundation of the ASR and MT models.</w:t>
      </w:r>
    </w:p>
    <w:p w14:paraId="6CD68145" w14:textId="77777777" w:rsidR="00DF55DB" w:rsidRDefault="00000000" w:rsidP="0079673E">
      <w:pPr>
        <w:spacing w:line="480" w:lineRule="auto"/>
        <w:ind w:firstLine="720"/>
        <w:jc w:val="both"/>
        <w:rPr>
          <w:rFonts w:ascii="Times New Roman" w:hAnsi="Times New Roman" w:cs="Times New Roman"/>
          <w:sz w:val="24"/>
          <w:szCs w:val="24"/>
        </w:rPr>
        <w:sectPr w:rsidR="00DF55DB">
          <w:headerReference w:type="default" r:id="rId7"/>
          <w:pgSz w:w="11906" w:h="16838"/>
          <w:pgMar w:top="1440" w:right="1440" w:bottom="1440" w:left="2160" w:header="709" w:footer="709" w:gutter="0"/>
          <w:pgNumType w:start="11"/>
          <w:cols w:space="720"/>
        </w:sectPr>
      </w:pPr>
      <w:r w:rsidRPr="0079673E">
        <w:rPr>
          <w:rFonts w:ascii="Times New Roman" w:hAnsi="Times New Roman" w:cs="Times New Roman"/>
          <w:sz w:val="24"/>
          <w:szCs w:val="24"/>
        </w:rPr>
        <w:t>In addition to this locally sourced data, the project also leveraged the Common Voice Corpus 7.0 for the ASR system and OPUS (</w:t>
      </w:r>
      <w:proofErr w:type="spellStart"/>
      <w:r w:rsidRPr="0079673E">
        <w:rPr>
          <w:rFonts w:ascii="Times New Roman" w:hAnsi="Times New Roman" w:cs="Times New Roman"/>
          <w:sz w:val="24"/>
          <w:szCs w:val="24"/>
        </w:rPr>
        <w:t>CCMatrix</w:t>
      </w:r>
      <w:proofErr w:type="spellEnd"/>
      <w:r w:rsidRPr="0079673E">
        <w:rPr>
          <w:rFonts w:ascii="Times New Roman" w:hAnsi="Times New Roman" w:cs="Times New Roman"/>
          <w:sz w:val="24"/>
          <w:szCs w:val="24"/>
        </w:rPr>
        <w:t xml:space="preserve"> v1) for MT. The Common Voice dataset, developed by Mozilla, provides a diverse collection of Arabic speech </w:t>
      </w:r>
    </w:p>
    <w:p w14:paraId="0E61ACC4" w14:textId="77777777" w:rsidR="00DB0C4B" w:rsidRPr="0079673E" w:rsidRDefault="00000000" w:rsidP="00DF55DB">
      <w:pPr>
        <w:spacing w:line="480" w:lineRule="auto"/>
        <w:jc w:val="both"/>
        <w:rPr>
          <w:rFonts w:ascii="Times New Roman" w:hAnsi="Times New Roman" w:cs="Times New Roman"/>
          <w:sz w:val="24"/>
          <w:szCs w:val="24"/>
        </w:rPr>
      </w:pPr>
      <w:r w:rsidRPr="0079673E">
        <w:rPr>
          <w:rFonts w:ascii="Times New Roman" w:hAnsi="Times New Roman" w:cs="Times New Roman"/>
          <w:sz w:val="24"/>
          <w:szCs w:val="24"/>
        </w:rPr>
        <w:lastRenderedPageBreak/>
        <w:t>data from a variety of speakers, helping to improve the robustness and adaptability of the ASR model to different accents and environments. Meanwhile, OPUS (</w:t>
      </w:r>
      <w:proofErr w:type="spellStart"/>
      <w:r w:rsidRPr="0079673E">
        <w:rPr>
          <w:rFonts w:ascii="Times New Roman" w:hAnsi="Times New Roman" w:cs="Times New Roman"/>
          <w:sz w:val="24"/>
          <w:szCs w:val="24"/>
        </w:rPr>
        <w:t>CCMatrix</w:t>
      </w:r>
      <w:proofErr w:type="spellEnd"/>
      <w:r w:rsidRPr="0079673E">
        <w:rPr>
          <w:rFonts w:ascii="Times New Roman" w:hAnsi="Times New Roman" w:cs="Times New Roman"/>
          <w:sz w:val="24"/>
          <w:szCs w:val="24"/>
        </w:rPr>
        <w:t xml:space="preserve"> v1) is a large-scale parallel corpus with aligned Arabic-English sentence pairs, offering a wide range of linguistic diversity and high-quality translations, which is essential for effective MT training. Together, these diverse data sources ensure that the models are trained on both domain-specific and general-purpose data, enhancing their performance across multiple use cases.</w:t>
      </w:r>
    </w:p>
    <w:p w14:paraId="542DA4EF" w14:textId="77777777" w:rsidR="00DB0C4B" w:rsidRPr="0079673E" w:rsidRDefault="00000000">
      <w:pPr>
        <w:spacing w:line="480" w:lineRule="auto"/>
        <w:rPr>
          <w:rFonts w:ascii="Times New Roman" w:hAnsi="Times New Roman" w:cs="Times New Roman"/>
          <w:sz w:val="24"/>
          <w:szCs w:val="24"/>
        </w:rPr>
      </w:pPr>
      <w:r w:rsidRPr="0079673E">
        <w:rPr>
          <w:rFonts w:ascii="Times New Roman" w:hAnsi="Times New Roman" w:cs="Times New Roman"/>
          <w:b/>
          <w:sz w:val="24"/>
          <w:szCs w:val="24"/>
        </w:rPr>
        <w:t>Table 1.</w:t>
      </w:r>
      <w:r w:rsidRPr="0079673E">
        <w:rPr>
          <w:rFonts w:ascii="Times New Roman" w:hAnsi="Times New Roman" w:cs="Times New Roman"/>
          <w:sz w:val="24"/>
          <w:szCs w:val="24"/>
        </w:rPr>
        <w:t xml:space="preserve">  Arabic Word and its Wavelength</w:t>
      </w:r>
    </w:p>
    <w:p w14:paraId="761D3478" w14:textId="77777777" w:rsidR="00DB0C4B" w:rsidRPr="0079673E" w:rsidRDefault="00000000">
      <w:pPr>
        <w:spacing w:line="480" w:lineRule="auto"/>
        <w:rPr>
          <w:rFonts w:ascii="Times New Roman" w:hAnsi="Times New Roman" w:cs="Times New Roman"/>
          <w:sz w:val="24"/>
          <w:szCs w:val="24"/>
        </w:rPr>
      </w:pPr>
      <w:r w:rsidRPr="0079673E">
        <w:rPr>
          <w:rFonts w:ascii="Times New Roman" w:hAnsi="Times New Roman" w:cs="Times New Roman"/>
          <w:noProof/>
          <w:sz w:val="24"/>
          <w:szCs w:val="24"/>
        </w:rPr>
        <w:drawing>
          <wp:inline distT="0" distB="0" distL="0" distR="0" wp14:anchorId="602DD088" wp14:editId="58A5CC98">
            <wp:extent cx="4670020" cy="4314825"/>
            <wp:effectExtent l="38100" t="38100" r="38100" b="38100"/>
            <wp:docPr id="189828689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r="56008"/>
                    <a:stretch>
                      <a:fillRect/>
                    </a:stretch>
                  </pic:blipFill>
                  <pic:spPr>
                    <a:xfrm>
                      <a:off x="0" y="0"/>
                      <a:ext cx="4670020" cy="4314825"/>
                    </a:xfrm>
                    <a:prstGeom prst="rect">
                      <a:avLst/>
                    </a:prstGeom>
                    <a:ln w="38100">
                      <a:solidFill>
                        <a:srgbClr val="000000"/>
                      </a:solidFill>
                      <a:prstDash val="solid"/>
                    </a:ln>
                  </pic:spPr>
                </pic:pic>
              </a:graphicData>
            </a:graphic>
          </wp:inline>
        </w:drawing>
      </w:r>
    </w:p>
    <w:p w14:paraId="5972E304" w14:textId="77777777" w:rsidR="00DB0C4B" w:rsidRPr="0079673E" w:rsidRDefault="00000000">
      <w:pPr>
        <w:spacing w:line="480" w:lineRule="auto"/>
        <w:rPr>
          <w:rFonts w:ascii="Times New Roman" w:hAnsi="Times New Roman" w:cs="Times New Roman"/>
          <w:sz w:val="24"/>
          <w:szCs w:val="24"/>
        </w:rPr>
      </w:pPr>
      <w:r w:rsidRPr="0079673E">
        <w:rPr>
          <w:rFonts w:ascii="Times New Roman" w:hAnsi="Times New Roman" w:cs="Times New Roman"/>
          <w:sz w:val="24"/>
          <w:szCs w:val="24"/>
        </w:rPr>
        <w:t>Table 1 shows the Transcription of the Audio Data we Collected during Data Gathering followed by its Audio Wavelength.</w:t>
      </w:r>
    </w:p>
    <w:p w14:paraId="277C015F" w14:textId="77777777" w:rsidR="00DB0C4B" w:rsidRPr="0079673E" w:rsidRDefault="00DB0C4B">
      <w:pPr>
        <w:spacing w:line="480" w:lineRule="auto"/>
        <w:rPr>
          <w:rFonts w:ascii="Times New Roman" w:hAnsi="Times New Roman" w:cs="Times New Roman"/>
          <w:sz w:val="24"/>
          <w:szCs w:val="24"/>
        </w:rPr>
      </w:pPr>
    </w:p>
    <w:p w14:paraId="5B4D6916" w14:textId="77777777" w:rsidR="00DB0C4B" w:rsidRPr="0079673E" w:rsidRDefault="00000000">
      <w:pPr>
        <w:spacing w:line="480" w:lineRule="auto"/>
        <w:rPr>
          <w:rFonts w:ascii="Times New Roman" w:hAnsi="Times New Roman" w:cs="Times New Roman"/>
          <w:b/>
          <w:sz w:val="24"/>
          <w:szCs w:val="24"/>
        </w:rPr>
      </w:pPr>
      <w:r w:rsidRPr="0079673E">
        <w:rPr>
          <w:rFonts w:ascii="Times New Roman" w:hAnsi="Times New Roman" w:cs="Times New Roman"/>
          <w:b/>
          <w:sz w:val="24"/>
          <w:szCs w:val="24"/>
        </w:rPr>
        <w:lastRenderedPageBreak/>
        <w:t>4.3 Training of Models</w:t>
      </w:r>
    </w:p>
    <w:p w14:paraId="2DC0BC73" w14:textId="77777777" w:rsidR="0079673E" w:rsidRDefault="0079673E" w:rsidP="0079673E">
      <w:pPr>
        <w:spacing w:line="480" w:lineRule="auto"/>
        <w:ind w:firstLine="720"/>
        <w:rPr>
          <w:rFonts w:ascii="Times New Roman" w:hAnsi="Times New Roman" w:cs="Times New Roman"/>
          <w:sz w:val="24"/>
          <w:szCs w:val="24"/>
        </w:rPr>
      </w:pPr>
      <w:r w:rsidRPr="0079673E">
        <w:rPr>
          <w:rFonts w:ascii="Times New Roman" w:hAnsi="Times New Roman" w:cs="Times New Roman"/>
          <w:sz w:val="24"/>
          <w:szCs w:val="24"/>
        </w:rPr>
        <w:t>The current approach utilizes pre-trained models for both the Automatic Speech Recognition (ASR) and Machine Translation (MT) tasks. This choice was made to leverage existing high-quality models, which were trained on large datasets, to assess their applicability to our use case without further fine-tuning. In the future, there is potential to enhance performance through fine-tuning on domain-specific data.</w:t>
      </w:r>
    </w:p>
    <w:p w14:paraId="0244E585" w14:textId="3A8F7D25" w:rsidR="00DB0C4B" w:rsidRPr="0079673E" w:rsidRDefault="00000000" w:rsidP="0079673E">
      <w:pPr>
        <w:spacing w:line="480" w:lineRule="auto"/>
        <w:rPr>
          <w:rFonts w:ascii="Times New Roman" w:hAnsi="Times New Roman" w:cs="Times New Roman"/>
          <w:b/>
          <w:bCs/>
          <w:sz w:val="24"/>
          <w:szCs w:val="24"/>
        </w:rPr>
      </w:pPr>
      <w:r w:rsidRPr="0079673E">
        <w:rPr>
          <w:rFonts w:ascii="Times New Roman" w:hAnsi="Times New Roman" w:cs="Times New Roman"/>
          <w:b/>
          <w:bCs/>
          <w:sz w:val="24"/>
          <w:szCs w:val="24"/>
        </w:rPr>
        <w:t>Table 2: Waveform Visualization and Unique Preprocessed Audio Values Result</w:t>
      </w:r>
    </w:p>
    <w:p w14:paraId="2825E095" w14:textId="77777777" w:rsidR="00DB0C4B" w:rsidRPr="0079673E" w:rsidRDefault="00000000">
      <w:pPr>
        <w:spacing w:line="480" w:lineRule="auto"/>
        <w:rPr>
          <w:rFonts w:ascii="Times New Roman" w:hAnsi="Times New Roman" w:cs="Times New Roman"/>
          <w:sz w:val="24"/>
          <w:szCs w:val="24"/>
        </w:rPr>
      </w:pPr>
      <w:r w:rsidRPr="0079673E">
        <w:rPr>
          <w:rFonts w:ascii="Times New Roman" w:hAnsi="Times New Roman" w:cs="Times New Roman"/>
          <w:noProof/>
          <w:sz w:val="24"/>
          <w:szCs w:val="24"/>
        </w:rPr>
        <w:drawing>
          <wp:inline distT="114300" distB="114300" distL="114300" distR="114300" wp14:anchorId="6BA6BF3A" wp14:editId="7703165E">
            <wp:extent cx="5274000" cy="4914000"/>
            <wp:effectExtent l="0" t="0" r="0" b="0"/>
            <wp:docPr id="189828690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74000" cy="4914000"/>
                    </a:xfrm>
                    <a:prstGeom prst="rect">
                      <a:avLst/>
                    </a:prstGeom>
                    <a:ln/>
                  </pic:spPr>
                </pic:pic>
              </a:graphicData>
            </a:graphic>
          </wp:inline>
        </w:drawing>
      </w:r>
    </w:p>
    <w:p w14:paraId="50256FA0" w14:textId="77777777" w:rsidR="00DB0C4B" w:rsidRDefault="00000000">
      <w:pPr>
        <w:spacing w:line="480" w:lineRule="auto"/>
        <w:rPr>
          <w:rFonts w:ascii="Times New Roman" w:hAnsi="Times New Roman" w:cs="Times New Roman"/>
          <w:sz w:val="24"/>
          <w:szCs w:val="24"/>
        </w:rPr>
      </w:pPr>
      <w:r w:rsidRPr="0079673E">
        <w:rPr>
          <w:rFonts w:ascii="Times New Roman" w:hAnsi="Times New Roman" w:cs="Times New Roman"/>
          <w:sz w:val="24"/>
          <w:szCs w:val="24"/>
        </w:rPr>
        <w:t xml:space="preserve">Table 2 shows the waveforms of the audio files along with their unique preprocessed audio values. The waveforms illustrate amplitude variations over time, while the </w:t>
      </w:r>
      <w:r w:rsidRPr="0079673E">
        <w:rPr>
          <w:rFonts w:ascii="Times New Roman" w:hAnsi="Times New Roman" w:cs="Times New Roman"/>
          <w:sz w:val="24"/>
          <w:szCs w:val="24"/>
        </w:rPr>
        <w:lastRenderedPageBreak/>
        <w:t>unique values provide insight into the audio characteristics, aiding in the analysis for Automatic Speech Recognition (ASR) tasks.</w:t>
      </w:r>
    </w:p>
    <w:p w14:paraId="3BF74F84" w14:textId="77777777" w:rsidR="0079673E" w:rsidRPr="0079673E" w:rsidRDefault="0079673E">
      <w:pPr>
        <w:spacing w:line="480" w:lineRule="auto"/>
        <w:rPr>
          <w:rFonts w:ascii="Times New Roman" w:hAnsi="Times New Roman" w:cs="Times New Roman"/>
          <w:sz w:val="24"/>
          <w:szCs w:val="24"/>
        </w:rPr>
      </w:pPr>
    </w:p>
    <w:p w14:paraId="47382025" w14:textId="28DB8EDA" w:rsidR="00DB0C4B" w:rsidRPr="0079673E" w:rsidRDefault="00000000">
      <w:pPr>
        <w:spacing w:line="480" w:lineRule="auto"/>
        <w:ind w:firstLine="720"/>
        <w:rPr>
          <w:rFonts w:ascii="Times New Roman" w:hAnsi="Times New Roman" w:cs="Times New Roman"/>
          <w:b/>
          <w:sz w:val="24"/>
          <w:szCs w:val="24"/>
        </w:rPr>
      </w:pPr>
      <w:r w:rsidRPr="0079673E">
        <w:rPr>
          <w:rFonts w:ascii="Times New Roman" w:hAnsi="Times New Roman" w:cs="Times New Roman"/>
          <w:b/>
          <w:sz w:val="24"/>
          <w:szCs w:val="24"/>
        </w:rPr>
        <w:t xml:space="preserve">4.3.1 </w:t>
      </w:r>
      <w:r w:rsidR="0079673E" w:rsidRPr="0079673E">
        <w:rPr>
          <w:rFonts w:ascii="Times New Roman" w:hAnsi="Times New Roman" w:cs="Times New Roman"/>
          <w:b/>
          <w:sz w:val="24"/>
          <w:szCs w:val="24"/>
        </w:rPr>
        <w:t>Pre-trained ASR Model</w:t>
      </w:r>
    </w:p>
    <w:p w14:paraId="3257C43C" w14:textId="7B338AF3" w:rsidR="0079673E" w:rsidRPr="0079673E" w:rsidRDefault="0079673E" w:rsidP="0079673E">
      <w:pPr>
        <w:spacing w:line="480" w:lineRule="auto"/>
        <w:ind w:left="720" w:firstLine="720"/>
        <w:jc w:val="both"/>
        <w:rPr>
          <w:rFonts w:ascii="Times New Roman" w:hAnsi="Times New Roman" w:cs="Times New Roman"/>
          <w:sz w:val="24"/>
          <w:szCs w:val="24"/>
        </w:rPr>
      </w:pPr>
      <w:r w:rsidRPr="0079673E">
        <w:rPr>
          <w:rFonts w:ascii="Times New Roman" w:hAnsi="Times New Roman" w:cs="Times New Roman"/>
          <w:sz w:val="24"/>
          <w:szCs w:val="24"/>
        </w:rPr>
        <w:t xml:space="preserve">For the ASR task, we utilized the pre-trained </w:t>
      </w:r>
      <w:proofErr w:type="spellStart"/>
      <w:r w:rsidRPr="0079673E">
        <w:rPr>
          <w:rFonts w:ascii="Times New Roman" w:hAnsi="Times New Roman" w:cs="Times New Roman"/>
          <w:sz w:val="24"/>
          <w:szCs w:val="24"/>
        </w:rPr>
        <w:t>muhammed</w:t>
      </w:r>
      <w:proofErr w:type="spellEnd"/>
      <w:r w:rsidRPr="0079673E">
        <w:rPr>
          <w:rFonts w:ascii="Times New Roman" w:hAnsi="Times New Roman" w:cs="Times New Roman"/>
          <w:sz w:val="24"/>
          <w:szCs w:val="24"/>
        </w:rPr>
        <w:t>/</w:t>
      </w:r>
      <w:proofErr w:type="spellStart"/>
      <w:r w:rsidRPr="0079673E">
        <w:rPr>
          <w:rFonts w:ascii="Times New Roman" w:hAnsi="Times New Roman" w:cs="Times New Roman"/>
          <w:sz w:val="24"/>
          <w:szCs w:val="24"/>
        </w:rPr>
        <w:t>arabic-asr</w:t>
      </w:r>
      <w:proofErr w:type="spellEnd"/>
      <w:r w:rsidRPr="0079673E">
        <w:rPr>
          <w:rFonts w:ascii="Times New Roman" w:hAnsi="Times New Roman" w:cs="Times New Roman"/>
          <w:sz w:val="24"/>
          <w:szCs w:val="24"/>
        </w:rPr>
        <w:t xml:space="preserve"> model. This model, based on state-of-the-art ASR architectures, was selected for its ability to transcribe spoken Arabic into text with a high degree of accuracy. The model uses large pre-trained datasets to capture various Arabic dialects and speech variations.</w:t>
      </w:r>
    </w:p>
    <w:p w14:paraId="3B56C385" w14:textId="5094E575" w:rsidR="0079673E" w:rsidRPr="0079673E" w:rsidRDefault="0079673E" w:rsidP="0079673E">
      <w:pPr>
        <w:spacing w:line="480" w:lineRule="auto"/>
        <w:ind w:left="720" w:firstLine="720"/>
        <w:jc w:val="both"/>
        <w:rPr>
          <w:rFonts w:ascii="Times New Roman" w:hAnsi="Times New Roman" w:cs="Times New Roman"/>
          <w:sz w:val="24"/>
          <w:szCs w:val="24"/>
        </w:rPr>
      </w:pPr>
      <w:r w:rsidRPr="0079673E">
        <w:rPr>
          <w:rFonts w:ascii="Times New Roman" w:hAnsi="Times New Roman" w:cs="Times New Roman"/>
          <w:sz w:val="24"/>
          <w:szCs w:val="24"/>
        </w:rPr>
        <w:t xml:space="preserve">Preprocessing: Audio recordings were preprocessed using voice activity detection to ensure that only relevant speech segments were fed into the ASR system. The </w:t>
      </w:r>
      <w:proofErr w:type="spellStart"/>
      <w:r w:rsidRPr="0079673E">
        <w:rPr>
          <w:rFonts w:ascii="Times New Roman" w:hAnsi="Times New Roman" w:cs="Times New Roman"/>
          <w:sz w:val="24"/>
          <w:szCs w:val="24"/>
        </w:rPr>
        <w:t>muhammed</w:t>
      </w:r>
      <w:proofErr w:type="spellEnd"/>
      <w:r w:rsidRPr="0079673E">
        <w:rPr>
          <w:rFonts w:ascii="Times New Roman" w:hAnsi="Times New Roman" w:cs="Times New Roman"/>
          <w:sz w:val="24"/>
          <w:szCs w:val="24"/>
        </w:rPr>
        <w:t>/</w:t>
      </w:r>
      <w:proofErr w:type="spellStart"/>
      <w:r w:rsidRPr="0079673E">
        <w:rPr>
          <w:rFonts w:ascii="Times New Roman" w:hAnsi="Times New Roman" w:cs="Times New Roman"/>
          <w:sz w:val="24"/>
          <w:szCs w:val="24"/>
        </w:rPr>
        <w:t>arabic-asr</w:t>
      </w:r>
      <w:proofErr w:type="spellEnd"/>
      <w:r w:rsidRPr="0079673E">
        <w:rPr>
          <w:rFonts w:ascii="Times New Roman" w:hAnsi="Times New Roman" w:cs="Times New Roman"/>
          <w:sz w:val="24"/>
          <w:szCs w:val="24"/>
        </w:rPr>
        <w:t xml:space="preserve"> model was then used to generate transcriptions from these audio inputs.</w:t>
      </w:r>
    </w:p>
    <w:p w14:paraId="773182A5" w14:textId="339AB169" w:rsidR="0079673E" w:rsidRPr="0079673E" w:rsidRDefault="0079673E" w:rsidP="0079673E">
      <w:pPr>
        <w:spacing w:line="480" w:lineRule="auto"/>
        <w:ind w:left="720" w:firstLine="720"/>
        <w:jc w:val="both"/>
        <w:rPr>
          <w:rFonts w:ascii="Times New Roman" w:hAnsi="Times New Roman" w:cs="Times New Roman"/>
          <w:sz w:val="24"/>
          <w:szCs w:val="24"/>
        </w:rPr>
      </w:pPr>
      <w:r w:rsidRPr="0079673E">
        <w:rPr>
          <w:rFonts w:ascii="Times New Roman" w:hAnsi="Times New Roman" w:cs="Times New Roman"/>
          <w:sz w:val="24"/>
          <w:szCs w:val="24"/>
        </w:rPr>
        <w:t>Model Performance: The performance of the ASR system was measured using the Word Error Rate (WER), a standard metric that quantifies the number of transcription errors (insertions, deletions, and substitutions) relative to the total number of words. The WER for this model was X%, indicating satisfactory transcription accuracy, particularly for standard Arabic.</w:t>
      </w:r>
    </w:p>
    <w:p w14:paraId="67F0DBC1" w14:textId="416DFD49" w:rsidR="00DB0C4B" w:rsidRPr="0079673E" w:rsidRDefault="0079673E" w:rsidP="0079673E">
      <w:pPr>
        <w:spacing w:line="480" w:lineRule="auto"/>
        <w:ind w:left="720" w:firstLine="720"/>
        <w:jc w:val="both"/>
        <w:rPr>
          <w:rFonts w:ascii="Times New Roman" w:hAnsi="Times New Roman" w:cs="Times New Roman"/>
          <w:b/>
          <w:sz w:val="24"/>
          <w:szCs w:val="24"/>
        </w:rPr>
      </w:pPr>
      <w:r w:rsidRPr="0079673E">
        <w:rPr>
          <w:rFonts w:ascii="Times New Roman" w:hAnsi="Times New Roman" w:cs="Times New Roman"/>
          <w:sz w:val="24"/>
          <w:szCs w:val="24"/>
        </w:rPr>
        <w:t xml:space="preserve">Future Work: While the pre-trained </w:t>
      </w:r>
      <w:proofErr w:type="spellStart"/>
      <w:r w:rsidRPr="0079673E">
        <w:rPr>
          <w:rFonts w:ascii="Times New Roman" w:hAnsi="Times New Roman" w:cs="Times New Roman"/>
          <w:sz w:val="24"/>
          <w:szCs w:val="24"/>
        </w:rPr>
        <w:t>muhammed</w:t>
      </w:r>
      <w:proofErr w:type="spellEnd"/>
      <w:r w:rsidRPr="0079673E">
        <w:rPr>
          <w:rFonts w:ascii="Times New Roman" w:hAnsi="Times New Roman" w:cs="Times New Roman"/>
          <w:sz w:val="24"/>
          <w:szCs w:val="24"/>
        </w:rPr>
        <w:t>/</w:t>
      </w:r>
      <w:proofErr w:type="spellStart"/>
      <w:r w:rsidRPr="0079673E">
        <w:rPr>
          <w:rFonts w:ascii="Times New Roman" w:hAnsi="Times New Roman" w:cs="Times New Roman"/>
          <w:sz w:val="24"/>
          <w:szCs w:val="24"/>
        </w:rPr>
        <w:t>arabic-asr</w:t>
      </w:r>
      <w:proofErr w:type="spellEnd"/>
      <w:r w:rsidRPr="0079673E">
        <w:rPr>
          <w:rFonts w:ascii="Times New Roman" w:hAnsi="Times New Roman" w:cs="Times New Roman"/>
          <w:sz w:val="24"/>
          <w:szCs w:val="24"/>
        </w:rPr>
        <w:t xml:space="preserve"> model achieved good results, future improvements could involve fine-tuning the ASR model with more domain-specific audio datasets, such as recordings with distinct regional dialects or technical jargon, to further improve transcription accuracy.</w:t>
      </w:r>
    </w:p>
    <w:p w14:paraId="1E2B73FA" w14:textId="266DD4A2" w:rsidR="00DB0C4B" w:rsidRDefault="00000000">
      <w:pPr>
        <w:spacing w:line="480" w:lineRule="auto"/>
        <w:ind w:firstLine="720"/>
        <w:rPr>
          <w:rFonts w:ascii="Times New Roman" w:hAnsi="Times New Roman" w:cs="Times New Roman"/>
          <w:b/>
          <w:sz w:val="24"/>
          <w:szCs w:val="24"/>
        </w:rPr>
      </w:pPr>
      <w:r w:rsidRPr="0079673E">
        <w:rPr>
          <w:rFonts w:ascii="Times New Roman" w:hAnsi="Times New Roman" w:cs="Times New Roman"/>
          <w:b/>
          <w:sz w:val="24"/>
          <w:szCs w:val="24"/>
        </w:rPr>
        <w:lastRenderedPageBreak/>
        <w:t xml:space="preserve">4.3.2 </w:t>
      </w:r>
      <w:r w:rsidR="0079673E" w:rsidRPr="0079673E">
        <w:rPr>
          <w:rFonts w:ascii="Times New Roman" w:hAnsi="Times New Roman" w:cs="Times New Roman"/>
          <w:b/>
          <w:sz w:val="24"/>
          <w:szCs w:val="24"/>
        </w:rPr>
        <w:t>Pre-trained MT Model</w:t>
      </w:r>
    </w:p>
    <w:p w14:paraId="4C7ECC8F" w14:textId="14C5D28D" w:rsidR="0079673E" w:rsidRPr="0079673E" w:rsidRDefault="0079673E" w:rsidP="0079673E">
      <w:pPr>
        <w:spacing w:line="480" w:lineRule="auto"/>
        <w:ind w:left="1440" w:firstLine="720"/>
        <w:rPr>
          <w:rFonts w:ascii="Times New Roman" w:hAnsi="Times New Roman" w:cs="Times New Roman"/>
          <w:bCs/>
          <w:sz w:val="24"/>
          <w:szCs w:val="24"/>
        </w:rPr>
      </w:pPr>
      <w:r w:rsidRPr="0079673E">
        <w:rPr>
          <w:rFonts w:ascii="Times New Roman" w:hAnsi="Times New Roman" w:cs="Times New Roman"/>
          <w:bCs/>
          <w:sz w:val="24"/>
          <w:szCs w:val="24"/>
        </w:rPr>
        <w:t xml:space="preserve">For the Machine Translation (MT) task, we used the pre-trained </w:t>
      </w:r>
      <w:proofErr w:type="spellStart"/>
      <w:r w:rsidRPr="0079673E">
        <w:rPr>
          <w:rFonts w:ascii="Times New Roman" w:hAnsi="Times New Roman" w:cs="Times New Roman"/>
          <w:bCs/>
          <w:sz w:val="24"/>
          <w:szCs w:val="24"/>
        </w:rPr>
        <w:t>MarianMT</w:t>
      </w:r>
      <w:proofErr w:type="spellEnd"/>
      <w:r w:rsidRPr="0079673E">
        <w:rPr>
          <w:rFonts w:ascii="Times New Roman" w:hAnsi="Times New Roman" w:cs="Times New Roman"/>
          <w:bCs/>
          <w:sz w:val="24"/>
          <w:szCs w:val="24"/>
        </w:rPr>
        <w:t xml:space="preserve"> model from Hugging Face, specifically the Helsinki-NLP/opus-mt-</w:t>
      </w:r>
      <w:proofErr w:type="spellStart"/>
      <w:r w:rsidRPr="0079673E">
        <w:rPr>
          <w:rFonts w:ascii="Times New Roman" w:hAnsi="Times New Roman" w:cs="Times New Roman"/>
          <w:bCs/>
          <w:sz w:val="24"/>
          <w:szCs w:val="24"/>
        </w:rPr>
        <w:t>ar</w:t>
      </w:r>
      <w:proofErr w:type="spellEnd"/>
      <w:r w:rsidRPr="0079673E">
        <w:rPr>
          <w:rFonts w:ascii="Times New Roman" w:hAnsi="Times New Roman" w:cs="Times New Roman"/>
          <w:bCs/>
          <w:sz w:val="24"/>
          <w:szCs w:val="24"/>
        </w:rPr>
        <w:t>-</w:t>
      </w:r>
      <w:proofErr w:type="spellStart"/>
      <w:r w:rsidRPr="0079673E">
        <w:rPr>
          <w:rFonts w:ascii="Times New Roman" w:hAnsi="Times New Roman" w:cs="Times New Roman"/>
          <w:bCs/>
          <w:sz w:val="24"/>
          <w:szCs w:val="24"/>
        </w:rPr>
        <w:t>en</w:t>
      </w:r>
      <w:proofErr w:type="spellEnd"/>
      <w:r w:rsidRPr="0079673E">
        <w:rPr>
          <w:rFonts w:ascii="Times New Roman" w:hAnsi="Times New Roman" w:cs="Times New Roman"/>
          <w:bCs/>
          <w:sz w:val="24"/>
          <w:szCs w:val="24"/>
        </w:rPr>
        <w:t xml:space="preserve"> model. This model was selected for its ability to translate Arabic into English while handling complex sentence structures and contextual dependencies inherent in the Arabic language.</w:t>
      </w:r>
    </w:p>
    <w:p w14:paraId="6B228745" w14:textId="042B3AF3" w:rsidR="0079673E" w:rsidRPr="0079673E" w:rsidRDefault="0079673E" w:rsidP="0079673E">
      <w:pPr>
        <w:spacing w:line="480" w:lineRule="auto"/>
        <w:ind w:left="1440" w:firstLine="720"/>
        <w:rPr>
          <w:rFonts w:ascii="Times New Roman" w:hAnsi="Times New Roman" w:cs="Times New Roman"/>
          <w:bCs/>
          <w:sz w:val="24"/>
          <w:szCs w:val="24"/>
        </w:rPr>
      </w:pPr>
      <w:r w:rsidRPr="0079673E">
        <w:rPr>
          <w:rFonts w:ascii="Times New Roman" w:hAnsi="Times New Roman" w:cs="Times New Roman"/>
          <w:bCs/>
          <w:sz w:val="24"/>
          <w:szCs w:val="24"/>
        </w:rPr>
        <w:t xml:space="preserve">Preprocessing: Transcriptions generated by the ASR system were tokenized using the </w:t>
      </w:r>
      <w:proofErr w:type="spellStart"/>
      <w:r w:rsidRPr="0079673E">
        <w:rPr>
          <w:rFonts w:ascii="Times New Roman" w:hAnsi="Times New Roman" w:cs="Times New Roman"/>
          <w:bCs/>
          <w:sz w:val="24"/>
          <w:szCs w:val="24"/>
        </w:rPr>
        <w:t>MarianMT</w:t>
      </w:r>
      <w:proofErr w:type="spellEnd"/>
      <w:r w:rsidRPr="0079673E">
        <w:rPr>
          <w:rFonts w:ascii="Times New Roman" w:hAnsi="Times New Roman" w:cs="Times New Roman"/>
          <w:bCs/>
          <w:sz w:val="24"/>
          <w:szCs w:val="24"/>
        </w:rPr>
        <w:t xml:space="preserve"> tokenizer. The pre-trained model was then used to translate the tokenized Arabic text into English without additional fine-tuning.</w:t>
      </w:r>
    </w:p>
    <w:p w14:paraId="3DE3E728" w14:textId="098139F2" w:rsidR="0079673E" w:rsidRPr="0079673E" w:rsidRDefault="0079673E" w:rsidP="0079673E">
      <w:pPr>
        <w:spacing w:line="480" w:lineRule="auto"/>
        <w:ind w:left="1440" w:firstLine="720"/>
        <w:rPr>
          <w:rFonts w:ascii="Times New Roman" w:hAnsi="Times New Roman" w:cs="Times New Roman"/>
          <w:bCs/>
          <w:sz w:val="24"/>
          <w:szCs w:val="24"/>
        </w:rPr>
      </w:pPr>
      <w:r w:rsidRPr="0079673E">
        <w:rPr>
          <w:rFonts w:ascii="Times New Roman" w:hAnsi="Times New Roman" w:cs="Times New Roman"/>
          <w:bCs/>
          <w:sz w:val="24"/>
          <w:szCs w:val="24"/>
        </w:rPr>
        <w:t xml:space="preserve">Model Performance: The BLEU score, a metric that compares the machine-generated translations to human-generated reference translations, was used to evaluate the translation quality. The pre-trained </w:t>
      </w:r>
      <w:proofErr w:type="spellStart"/>
      <w:r w:rsidRPr="0079673E">
        <w:rPr>
          <w:rFonts w:ascii="Times New Roman" w:hAnsi="Times New Roman" w:cs="Times New Roman"/>
          <w:bCs/>
          <w:sz w:val="24"/>
          <w:szCs w:val="24"/>
        </w:rPr>
        <w:t>MarianMT</w:t>
      </w:r>
      <w:proofErr w:type="spellEnd"/>
      <w:r w:rsidRPr="0079673E">
        <w:rPr>
          <w:rFonts w:ascii="Times New Roman" w:hAnsi="Times New Roman" w:cs="Times New Roman"/>
          <w:bCs/>
          <w:sz w:val="24"/>
          <w:szCs w:val="24"/>
        </w:rPr>
        <w:t xml:space="preserve"> model achieved a BLEU score of XX, indicating reasonable translation accuracy for general Arabic-to-English translation tasks.</w:t>
      </w:r>
    </w:p>
    <w:p w14:paraId="7F7DA32F" w14:textId="3D98BF33" w:rsidR="00DB0C4B" w:rsidRDefault="0079673E" w:rsidP="0079673E">
      <w:pPr>
        <w:spacing w:line="480" w:lineRule="auto"/>
        <w:ind w:left="1440" w:firstLine="720"/>
        <w:rPr>
          <w:rFonts w:ascii="Times New Roman" w:hAnsi="Times New Roman" w:cs="Times New Roman"/>
          <w:bCs/>
          <w:sz w:val="24"/>
          <w:szCs w:val="24"/>
        </w:rPr>
      </w:pPr>
      <w:r w:rsidRPr="0079673E">
        <w:rPr>
          <w:rFonts w:ascii="Times New Roman" w:hAnsi="Times New Roman" w:cs="Times New Roman"/>
          <w:bCs/>
          <w:sz w:val="24"/>
          <w:szCs w:val="24"/>
        </w:rPr>
        <w:t xml:space="preserve">Future Work: While the pre-trained </w:t>
      </w:r>
      <w:proofErr w:type="spellStart"/>
      <w:r w:rsidRPr="0079673E">
        <w:rPr>
          <w:rFonts w:ascii="Times New Roman" w:hAnsi="Times New Roman" w:cs="Times New Roman"/>
          <w:bCs/>
          <w:sz w:val="24"/>
          <w:szCs w:val="24"/>
        </w:rPr>
        <w:t>MarianMT</w:t>
      </w:r>
      <w:proofErr w:type="spellEnd"/>
      <w:r w:rsidRPr="0079673E">
        <w:rPr>
          <w:rFonts w:ascii="Times New Roman" w:hAnsi="Times New Roman" w:cs="Times New Roman"/>
          <w:bCs/>
          <w:sz w:val="24"/>
          <w:szCs w:val="24"/>
        </w:rPr>
        <w:t xml:space="preserve"> model performed well, further improvements could be made by fine-tuning the model with domain-specific data to better capture nuances in specialized or technical language. Future iterations of this project will explore these fine-tuning opportunities to improve translation fluency and contextual accuracy.</w:t>
      </w:r>
    </w:p>
    <w:p w14:paraId="1B9F8DF3" w14:textId="77777777" w:rsidR="0079673E" w:rsidRPr="0079673E" w:rsidRDefault="0079673E" w:rsidP="0079673E">
      <w:pPr>
        <w:spacing w:line="480" w:lineRule="auto"/>
        <w:ind w:left="1440" w:firstLine="720"/>
        <w:rPr>
          <w:rFonts w:ascii="Times New Roman" w:hAnsi="Times New Roman" w:cs="Times New Roman"/>
          <w:bCs/>
          <w:sz w:val="24"/>
          <w:szCs w:val="24"/>
        </w:rPr>
      </w:pPr>
    </w:p>
    <w:p w14:paraId="11EA3850" w14:textId="77777777" w:rsidR="00DB0C4B" w:rsidRPr="0079673E" w:rsidRDefault="00000000">
      <w:pPr>
        <w:spacing w:line="480" w:lineRule="auto"/>
        <w:rPr>
          <w:rFonts w:ascii="Times New Roman" w:hAnsi="Times New Roman" w:cs="Times New Roman"/>
          <w:b/>
          <w:sz w:val="24"/>
          <w:szCs w:val="24"/>
        </w:rPr>
      </w:pPr>
      <w:r w:rsidRPr="0079673E">
        <w:rPr>
          <w:rFonts w:ascii="Times New Roman" w:hAnsi="Times New Roman" w:cs="Times New Roman"/>
          <w:b/>
          <w:sz w:val="24"/>
          <w:szCs w:val="24"/>
        </w:rPr>
        <w:lastRenderedPageBreak/>
        <w:t>4.4 Evaluation Metrics</w:t>
      </w:r>
    </w:p>
    <w:p w14:paraId="19A32C64" w14:textId="77777777" w:rsidR="0079673E" w:rsidRDefault="0079673E">
      <w:pPr>
        <w:spacing w:line="480" w:lineRule="auto"/>
        <w:ind w:firstLine="720"/>
        <w:rPr>
          <w:rFonts w:ascii="Times New Roman" w:hAnsi="Times New Roman" w:cs="Times New Roman"/>
          <w:sz w:val="24"/>
          <w:szCs w:val="24"/>
        </w:rPr>
      </w:pPr>
      <w:r w:rsidRPr="0079673E">
        <w:rPr>
          <w:rFonts w:ascii="Times New Roman" w:hAnsi="Times New Roman" w:cs="Times New Roman"/>
          <w:sz w:val="24"/>
          <w:szCs w:val="24"/>
        </w:rPr>
        <w:t>To assess the effectiveness of the ASR and MT systems, evaluation metrics such as Word Error Rate (WER) and BLEU score were used. These metrics provide a quantitative measure of transcription and translation accuracy, respectively.</w:t>
      </w:r>
    </w:p>
    <w:p w14:paraId="651ABDE7" w14:textId="4F6CBD33" w:rsidR="00DB0C4B" w:rsidRPr="0079673E" w:rsidRDefault="00000000">
      <w:pPr>
        <w:spacing w:line="480" w:lineRule="auto"/>
        <w:ind w:firstLine="720"/>
        <w:rPr>
          <w:rFonts w:ascii="Times New Roman" w:hAnsi="Times New Roman" w:cs="Times New Roman"/>
          <w:b/>
          <w:sz w:val="24"/>
          <w:szCs w:val="24"/>
        </w:rPr>
      </w:pPr>
      <w:r w:rsidRPr="0079673E">
        <w:rPr>
          <w:rFonts w:ascii="Times New Roman" w:hAnsi="Times New Roman" w:cs="Times New Roman"/>
          <w:b/>
          <w:sz w:val="24"/>
          <w:szCs w:val="24"/>
        </w:rPr>
        <w:t>4.4.1 Word Error Rate (WER)</w:t>
      </w:r>
    </w:p>
    <w:p w14:paraId="4E3D3D7E" w14:textId="04916E06" w:rsidR="00DB0C4B" w:rsidRPr="0079673E" w:rsidRDefault="00000000" w:rsidP="0079673E">
      <w:pPr>
        <w:spacing w:line="480" w:lineRule="auto"/>
        <w:ind w:left="1440" w:firstLine="720"/>
        <w:jc w:val="both"/>
        <w:rPr>
          <w:rFonts w:ascii="Times New Roman" w:hAnsi="Times New Roman" w:cs="Times New Roman"/>
          <w:sz w:val="24"/>
          <w:szCs w:val="24"/>
        </w:rPr>
      </w:pPr>
      <w:r w:rsidRPr="0079673E">
        <w:rPr>
          <w:rFonts w:ascii="Times New Roman" w:hAnsi="Times New Roman" w:cs="Times New Roman"/>
          <w:sz w:val="24"/>
          <w:szCs w:val="24"/>
        </w:rPr>
        <w:t>For the ASR system, Word Error Rate (WER) is the primary metric used to evaluate transcription accuracy. WER quantifies the errors made by comparing the predicted transcription against a reference transcription. It is calculated using the formula:</w:t>
      </w:r>
    </w:p>
    <w:p w14:paraId="1E6CDA93" w14:textId="77777777" w:rsidR="00DB0C4B" w:rsidRPr="0079673E" w:rsidRDefault="00000000" w:rsidP="0079673E">
      <w:pPr>
        <w:spacing w:line="480" w:lineRule="auto"/>
        <w:ind w:left="720" w:firstLine="720"/>
        <w:jc w:val="both"/>
        <w:rPr>
          <w:rFonts w:ascii="Times New Roman" w:hAnsi="Times New Roman" w:cs="Times New Roman"/>
          <w:sz w:val="24"/>
          <w:szCs w:val="24"/>
        </w:rPr>
      </w:pPr>
      <w:r w:rsidRPr="0079673E">
        <w:rPr>
          <w:rFonts w:ascii="Times New Roman" w:hAnsi="Times New Roman" w:cs="Times New Roman"/>
          <w:noProof/>
          <w:sz w:val="24"/>
          <w:szCs w:val="24"/>
        </w:rPr>
        <w:drawing>
          <wp:inline distT="114300" distB="114300" distL="114300" distR="114300" wp14:anchorId="4C7E0F8E" wp14:editId="1B279AB9">
            <wp:extent cx="3907827" cy="2113200"/>
            <wp:effectExtent l="0" t="0" r="0" b="0"/>
            <wp:docPr id="1898286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07827" cy="2113200"/>
                    </a:xfrm>
                    <a:prstGeom prst="rect">
                      <a:avLst/>
                    </a:prstGeom>
                    <a:ln/>
                  </pic:spPr>
                </pic:pic>
              </a:graphicData>
            </a:graphic>
          </wp:inline>
        </w:drawing>
      </w:r>
    </w:p>
    <w:p w14:paraId="5109FE09" w14:textId="77777777" w:rsidR="00DB0C4B" w:rsidRPr="0079673E" w:rsidRDefault="00000000" w:rsidP="0079673E">
      <w:pPr>
        <w:spacing w:line="480" w:lineRule="auto"/>
        <w:ind w:left="2160" w:firstLine="720"/>
        <w:rPr>
          <w:rFonts w:ascii="Times New Roman" w:hAnsi="Times New Roman" w:cs="Times New Roman"/>
          <w:sz w:val="24"/>
          <w:szCs w:val="24"/>
        </w:rPr>
      </w:pPr>
      <w:r w:rsidRPr="0079673E">
        <w:rPr>
          <w:rFonts w:ascii="Times New Roman" w:hAnsi="Times New Roman" w:cs="Times New Roman"/>
          <w:sz w:val="24"/>
          <w:szCs w:val="24"/>
        </w:rPr>
        <w:t>A lower WER indicates better performance, as it signifies fewer errors in the transcription output.</w:t>
      </w:r>
    </w:p>
    <w:p w14:paraId="076387CC" w14:textId="77777777" w:rsidR="00DB0C4B" w:rsidRPr="0079673E" w:rsidRDefault="00000000">
      <w:pPr>
        <w:pStyle w:val="Heading4"/>
        <w:keepNext w:val="0"/>
        <w:keepLines w:val="0"/>
        <w:spacing w:line="480" w:lineRule="auto"/>
        <w:ind w:firstLine="720"/>
        <w:rPr>
          <w:rFonts w:ascii="Times New Roman" w:hAnsi="Times New Roman" w:cs="Times New Roman"/>
        </w:rPr>
      </w:pPr>
      <w:bookmarkStart w:id="0" w:name="_heading=h.eo8pe035i8xx" w:colFirst="0" w:colLast="0"/>
      <w:bookmarkEnd w:id="0"/>
      <w:r w:rsidRPr="0079673E">
        <w:rPr>
          <w:rFonts w:ascii="Times New Roman" w:hAnsi="Times New Roman" w:cs="Times New Roman"/>
        </w:rPr>
        <w:t>4.4.2 BLEU Score</w:t>
      </w:r>
    </w:p>
    <w:p w14:paraId="6925626D" w14:textId="562F401A" w:rsidR="00DB0C4B" w:rsidRPr="0079673E" w:rsidRDefault="00000000" w:rsidP="00A61C50">
      <w:pPr>
        <w:spacing w:before="240" w:after="240" w:line="480" w:lineRule="auto"/>
        <w:ind w:left="1440" w:firstLine="720"/>
        <w:jc w:val="both"/>
        <w:rPr>
          <w:rFonts w:ascii="Times New Roman" w:hAnsi="Times New Roman" w:cs="Times New Roman"/>
          <w:sz w:val="24"/>
          <w:szCs w:val="24"/>
        </w:rPr>
      </w:pPr>
      <w:r w:rsidRPr="0079673E">
        <w:rPr>
          <w:rFonts w:ascii="Times New Roman" w:hAnsi="Times New Roman" w:cs="Times New Roman"/>
          <w:sz w:val="24"/>
          <w:szCs w:val="24"/>
        </w:rPr>
        <w:t xml:space="preserve">For the MT system, the </w:t>
      </w:r>
      <w:r w:rsidRPr="0079673E">
        <w:rPr>
          <w:rFonts w:ascii="Times New Roman" w:hAnsi="Times New Roman" w:cs="Times New Roman"/>
          <w:b/>
          <w:sz w:val="24"/>
          <w:szCs w:val="24"/>
        </w:rPr>
        <w:t>Bilingual Evaluation Understudy (BLEU)</w:t>
      </w:r>
      <w:r w:rsidRPr="0079673E">
        <w:rPr>
          <w:rFonts w:ascii="Times New Roman" w:hAnsi="Times New Roman" w:cs="Times New Roman"/>
          <w:sz w:val="24"/>
          <w:szCs w:val="24"/>
        </w:rPr>
        <w:t xml:space="preserve"> score is utilized to measure the quality of the translated output. BLEU evaluates the correspondence between a machine-generated translation and one or more reference translations. It considers both </w:t>
      </w:r>
      <w:r w:rsidRPr="0079673E">
        <w:rPr>
          <w:rFonts w:ascii="Times New Roman" w:hAnsi="Times New Roman" w:cs="Times New Roman"/>
          <w:sz w:val="24"/>
          <w:szCs w:val="24"/>
        </w:rPr>
        <w:lastRenderedPageBreak/>
        <w:t>precision and n-grams (a contiguous sequence of n items from a given sample of text). The BLEU score ranges from 0 to 1, with higher scores indicating closer matches to the reference translations.</w:t>
      </w:r>
    </w:p>
    <w:p w14:paraId="5A3DE0E3" w14:textId="77777777" w:rsidR="00DB0C4B" w:rsidRPr="0079673E" w:rsidRDefault="00000000">
      <w:pPr>
        <w:spacing w:line="480" w:lineRule="auto"/>
        <w:rPr>
          <w:rFonts w:ascii="Times New Roman" w:hAnsi="Times New Roman" w:cs="Times New Roman"/>
          <w:sz w:val="24"/>
          <w:szCs w:val="24"/>
        </w:rPr>
      </w:pPr>
      <w:r w:rsidRPr="0079673E">
        <w:rPr>
          <w:rFonts w:ascii="Times New Roman" w:hAnsi="Times New Roman" w:cs="Times New Roman"/>
          <w:noProof/>
          <w:sz w:val="24"/>
          <w:szCs w:val="24"/>
        </w:rPr>
        <w:drawing>
          <wp:inline distT="114300" distB="114300" distL="114300" distR="114300" wp14:anchorId="59676068" wp14:editId="6DEA4E45">
            <wp:extent cx="5274000" cy="2603500"/>
            <wp:effectExtent l="0" t="0" r="0" b="0"/>
            <wp:docPr id="1898286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74000" cy="2603500"/>
                    </a:xfrm>
                    <a:prstGeom prst="rect">
                      <a:avLst/>
                    </a:prstGeom>
                    <a:ln/>
                  </pic:spPr>
                </pic:pic>
              </a:graphicData>
            </a:graphic>
          </wp:inline>
        </w:drawing>
      </w:r>
    </w:p>
    <w:p w14:paraId="12E956E2" w14:textId="77777777" w:rsidR="00DB0C4B" w:rsidRPr="0079673E" w:rsidRDefault="00000000">
      <w:pPr>
        <w:spacing w:line="480" w:lineRule="auto"/>
        <w:ind w:firstLine="720"/>
        <w:rPr>
          <w:rFonts w:ascii="Times New Roman" w:hAnsi="Times New Roman" w:cs="Times New Roman"/>
          <w:sz w:val="24"/>
          <w:szCs w:val="24"/>
        </w:rPr>
      </w:pPr>
      <w:r w:rsidRPr="0079673E">
        <w:rPr>
          <w:rFonts w:ascii="Times New Roman" w:hAnsi="Times New Roman" w:cs="Times New Roman"/>
          <w:sz w:val="24"/>
          <w:szCs w:val="24"/>
        </w:rPr>
        <w:t>By employing these metrics, the evaluation provides a comprehensive assessment of both the transcription accuracy of the ASR system and the translation quality of the MT system.</w:t>
      </w:r>
    </w:p>
    <w:p w14:paraId="1CB6DD97" w14:textId="77777777" w:rsidR="00DB0C4B" w:rsidRPr="0079673E" w:rsidRDefault="00000000">
      <w:pPr>
        <w:spacing w:line="480" w:lineRule="auto"/>
        <w:rPr>
          <w:rFonts w:ascii="Times New Roman" w:hAnsi="Times New Roman" w:cs="Times New Roman"/>
          <w:sz w:val="24"/>
          <w:szCs w:val="24"/>
        </w:rPr>
      </w:pPr>
      <w:r w:rsidRPr="0079673E">
        <w:rPr>
          <w:rFonts w:ascii="Times New Roman" w:hAnsi="Times New Roman" w:cs="Times New Roman"/>
          <w:noProof/>
          <w:sz w:val="24"/>
          <w:szCs w:val="24"/>
        </w:rPr>
        <w:drawing>
          <wp:inline distT="114300" distB="114300" distL="114300" distR="114300" wp14:anchorId="50C99AC3" wp14:editId="614301AE">
            <wp:extent cx="5274000" cy="2501900"/>
            <wp:effectExtent l="0" t="0" r="0" b="0"/>
            <wp:docPr id="189828690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74000" cy="2501900"/>
                    </a:xfrm>
                    <a:prstGeom prst="rect">
                      <a:avLst/>
                    </a:prstGeom>
                    <a:ln/>
                  </pic:spPr>
                </pic:pic>
              </a:graphicData>
            </a:graphic>
          </wp:inline>
        </w:drawing>
      </w:r>
    </w:p>
    <w:p w14:paraId="2E5FBA41" w14:textId="07CB8A93" w:rsidR="00DB0C4B" w:rsidRPr="0079673E" w:rsidRDefault="00000000">
      <w:pPr>
        <w:spacing w:line="480" w:lineRule="auto"/>
        <w:jc w:val="center"/>
        <w:rPr>
          <w:rFonts w:ascii="Times New Roman" w:hAnsi="Times New Roman" w:cs="Times New Roman"/>
          <w:sz w:val="24"/>
          <w:szCs w:val="24"/>
        </w:rPr>
      </w:pPr>
      <w:r w:rsidRPr="0079673E">
        <w:rPr>
          <w:rFonts w:ascii="Times New Roman" w:hAnsi="Times New Roman" w:cs="Times New Roman"/>
          <w:sz w:val="24"/>
          <w:szCs w:val="24"/>
        </w:rPr>
        <w:t xml:space="preserve">figure </w:t>
      </w:r>
      <w:r w:rsidR="006937A2">
        <w:rPr>
          <w:rFonts w:ascii="Times New Roman" w:hAnsi="Times New Roman" w:cs="Times New Roman"/>
          <w:sz w:val="24"/>
          <w:szCs w:val="24"/>
        </w:rPr>
        <w:t>8</w:t>
      </w:r>
      <w:r w:rsidRPr="0079673E">
        <w:rPr>
          <w:rFonts w:ascii="Times New Roman" w:hAnsi="Times New Roman" w:cs="Times New Roman"/>
          <w:sz w:val="24"/>
          <w:szCs w:val="24"/>
        </w:rPr>
        <w:t xml:space="preserve"> BLEU Scores for Predicted Translations</w:t>
      </w:r>
    </w:p>
    <w:p w14:paraId="27A57F69" w14:textId="5609C75B" w:rsidR="00DB0C4B" w:rsidRPr="0079673E" w:rsidRDefault="00000000" w:rsidP="006937A2">
      <w:pPr>
        <w:spacing w:line="480" w:lineRule="auto"/>
        <w:ind w:firstLine="720"/>
        <w:rPr>
          <w:rFonts w:ascii="Times New Roman" w:hAnsi="Times New Roman" w:cs="Times New Roman"/>
          <w:sz w:val="24"/>
          <w:szCs w:val="24"/>
        </w:rPr>
      </w:pPr>
      <w:r w:rsidRPr="0079673E">
        <w:rPr>
          <w:rFonts w:ascii="Times New Roman" w:hAnsi="Times New Roman" w:cs="Times New Roman"/>
          <w:sz w:val="24"/>
          <w:szCs w:val="24"/>
        </w:rPr>
        <w:lastRenderedPageBreak/>
        <w:t xml:space="preserve">Figure </w:t>
      </w:r>
      <w:r w:rsidR="006937A2">
        <w:rPr>
          <w:rFonts w:ascii="Times New Roman" w:hAnsi="Times New Roman" w:cs="Times New Roman"/>
          <w:sz w:val="24"/>
          <w:szCs w:val="24"/>
        </w:rPr>
        <w:t>8</w:t>
      </w:r>
      <w:r w:rsidRPr="0079673E">
        <w:rPr>
          <w:rFonts w:ascii="Times New Roman" w:hAnsi="Times New Roman" w:cs="Times New Roman"/>
          <w:sz w:val="24"/>
          <w:szCs w:val="24"/>
        </w:rPr>
        <w:t xml:space="preserve"> illustrates the BLEU scores obtained for various predicted translations against a reference translation. The BLEU score, which ranges from 0 to 1, provides a quantitative measure of the quality of the machine-generated translations in comparison to human reference translations.</w:t>
      </w:r>
    </w:p>
    <w:p w14:paraId="1315A488" w14:textId="77777777" w:rsidR="00DB0C4B" w:rsidRPr="0079673E" w:rsidRDefault="00000000">
      <w:pPr>
        <w:spacing w:line="480" w:lineRule="auto"/>
        <w:ind w:firstLine="720"/>
        <w:rPr>
          <w:rFonts w:ascii="Times New Roman" w:hAnsi="Times New Roman" w:cs="Times New Roman"/>
          <w:sz w:val="24"/>
          <w:szCs w:val="24"/>
        </w:rPr>
      </w:pPr>
      <w:r w:rsidRPr="0079673E">
        <w:rPr>
          <w:rFonts w:ascii="Times New Roman" w:hAnsi="Times New Roman" w:cs="Times New Roman"/>
          <w:sz w:val="24"/>
          <w:szCs w:val="24"/>
        </w:rPr>
        <w:t>In this chart, each bar represents a different predicted translation of the reference sentence "I am handsome." The chart displays the corresponding BLEU scores, highlighting the effectiveness of each translation in capturing the meaning and fluency of the original sentence. Higher BLEU scores indicate a closer match to the reference translation, demonstrating the model's capability to produce accurate and contextually appropriate translations.</w:t>
      </w:r>
    </w:p>
    <w:p w14:paraId="4055B086" w14:textId="77777777" w:rsidR="00DB0C4B" w:rsidRPr="0079673E" w:rsidRDefault="00000000">
      <w:pPr>
        <w:spacing w:line="480" w:lineRule="auto"/>
        <w:ind w:firstLine="720"/>
        <w:rPr>
          <w:rFonts w:ascii="Times New Roman" w:hAnsi="Times New Roman" w:cs="Times New Roman"/>
          <w:sz w:val="24"/>
          <w:szCs w:val="24"/>
        </w:rPr>
      </w:pPr>
      <w:r w:rsidRPr="0079673E">
        <w:rPr>
          <w:rFonts w:ascii="Times New Roman" w:hAnsi="Times New Roman" w:cs="Times New Roman"/>
          <w:sz w:val="24"/>
          <w:szCs w:val="24"/>
        </w:rPr>
        <w:t>The predicted translations include variations such as "I am good-looking," "I am beautiful," and others. The results emphasize the strengths and weaknesses of the translation model, providing insight into the translation quality and areas for improvement in future iterations of the machine translation system.</w:t>
      </w:r>
    </w:p>
    <w:p w14:paraId="3261EA95" w14:textId="77777777" w:rsidR="00DB0C4B" w:rsidRPr="0079673E" w:rsidRDefault="00000000">
      <w:pPr>
        <w:spacing w:line="480" w:lineRule="auto"/>
        <w:rPr>
          <w:rFonts w:ascii="Times New Roman" w:hAnsi="Times New Roman" w:cs="Times New Roman"/>
          <w:b/>
          <w:sz w:val="24"/>
          <w:szCs w:val="24"/>
        </w:rPr>
      </w:pPr>
      <w:r w:rsidRPr="0079673E">
        <w:rPr>
          <w:rFonts w:ascii="Times New Roman" w:hAnsi="Times New Roman" w:cs="Times New Roman"/>
          <w:b/>
          <w:sz w:val="24"/>
          <w:szCs w:val="24"/>
        </w:rPr>
        <w:t>4.5 Results of the ASR System</w:t>
      </w:r>
    </w:p>
    <w:p w14:paraId="2394AF55" w14:textId="77777777" w:rsidR="007B59C7" w:rsidRPr="007B59C7" w:rsidRDefault="007B59C7" w:rsidP="007B59C7">
      <w:pPr>
        <w:spacing w:line="480" w:lineRule="auto"/>
        <w:ind w:firstLine="720"/>
        <w:jc w:val="both"/>
        <w:rPr>
          <w:rFonts w:ascii="Times New Roman" w:hAnsi="Times New Roman" w:cs="Times New Roman"/>
          <w:sz w:val="24"/>
          <w:szCs w:val="24"/>
        </w:rPr>
      </w:pPr>
      <w:r w:rsidRPr="007B59C7">
        <w:rPr>
          <w:rFonts w:ascii="Times New Roman" w:hAnsi="Times New Roman" w:cs="Times New Roman"/>
          <w:sz w:val="24"/>
          <w:szCs w:val="24"/>
        </w:rPr>
        <w:t xml:space="preserve">The </w:t>
      </w:r>
      <w:proofErr w:type="spellStart"/>
      <w:r w:rsidRPr="007B59C7">
        <w:rPr>
          <w:rFonts w:ascii="Times New Roman" w:hAnsi="Times New Roman" w:cs="Times New Roman"/>
          <w:sz w:val="24"/>
          <w:szCs w:val="24"/>
        </w:rPr>
        <w:t>muhammed</w:t>
      </w:r>
      <w:proofErr w:type="spellEnd"/>
      <w:r w:rsidRPr="007B59C7">
        <w:rPr>
          <w:rFonts w:ascii="Times New Roman" w:hAnsi="Times New Roman" w:cs="Times New Roman"/>
          <w:sz w:val="24"/>
          <w:szCs w:val="24"/>
        </w:rPr>
        <w:t>/</w:t>
      </w:r>
      <w:proofErr w:type="spellStart"/>
      <w:r w:rsidRPr="007B59C7">
        <w:rPr>
          <w:rFonts w:ascii="Times New Roman" w:hAnsi="Times New Roman" w:cs="Times New Roman"/>
          <w:sz w:val="24"/>
          <w:szCs w:val="24"/>
        </w:rPr>
        <w:t>arabic-asr</w:t>
      </w:r>
      <w:proofErr w:type="spellEnd"/>
      <w:r w:rsidRPr="007B59C7">
        <w:rPr>
          <w:rFonts w:ascii="Times New Roman" w:hAnsi="Times New Roman" w:cs="Times New Roman"/>
          <w:sz w:val="24"/>
          <w:szCs w:val="24"/>
        </w:rPr>
        <w:t xml:space="preserve"> model demonstrated strong performance in transcribing standard Arabic speech, particularly in controlled environments. The system was evaluated using the Word Error Rate (WER), a standard metric for ASR systems that calculates transcription errors by comparing predicted transcriptions with human-generated references. In clean speech environments, the model achieved a WER of 5.4%, which indicates that it was able to transcribe most words correctly with very few errors, making it suitable for environments with minimal background noise.</w:t>
      </w:r>
    </w:p>
    <w:p w14:paraId="1A170528" w14:textId="77777777" w:rsidR="007B59C7" w:rsidRPr="007B59C7" w:rsidRDefault="007B59C7" w:rsidP="007B59C7">
      <w:pPr>
        <w:spacing w:line="480" w:lineRule="auto"/>
        <w:jc w:val="both"/>
        <w:rPr>
          <w:rFonts w:ascii="Times New Roman" w:hAnsi="Times New Roman" w:cs="Times New Roman"/>
          <w:sz w:val="24"/>
          <w:szCs w:val="24"/>
        </w:rPr>
      </w:pPr>
    </w:p>
    <w:p w14:paraId="6DDF4BB2" w14:textId="6F6BE83B" w:rsidR="007B59C7" w:rsidRPr="007B59C7" w:rsidRDefault="007B59C7" w:rsidP="007B59C7">
      <w:pPr>
        <w:spacing w:line="480" w:lineRule="auto"/>
        <w:ind w:firstLine="720"/>
        <w:jc w:val="both"/>
        <w:rPr>
          <w:rFonts w:ascii="Times New Roman" w:hAnsi="Times New Roman" w:cs="Times New Roman"/>
          <w:sz w:val="24"/>
          <w:szCs w:val="24"/>
        </w:rPr>
      </w:pPr>
      <w:r w:rsidRPr="007B59C7">
        <w:rPr>
          <w:rFonts w:ascii="Times New Roman" w:hAnsi="Times New Roman" w:cs="Times New Roman"/>
          <w:sz w:val="24"/>
          <w:szCs w:val="24"/>
        </w:rPr>
        <w:lastRenderedPageBreak/>
        <w:t>However, as background noise increased, the WER also rose significantly. In environments with moderate noise, the WER increased to 12.6%, and in heavy noise conditions, the WER further escalated to 21.3%. This highlights the model's reduced ability to accurately recognize words when external noise interferes with the speaker's voice. Additionally, the model faced notable challenges when dealing with colloquial Arabic and regional dialects. When tested on audio containing these variations, the WER rose to 28.7%, largely due to the model's difficulty in handling non-standardized Arabic speech patterns, including dialect-specific vocabulary and pronunciation.</w:t>
      </w:r>
    </w:p>
    <w:p w14:paraId="6BD4BAFE" w14:textId="77777777" w:rsidR="007B59C7" w:rsidRDefault="007B59C7" w:rsidP="007B59C7">
      <w:pPr>
        <w:spacing w:line="480" w:lineRule="auto"/>
        <w:ind w:firstLine="720"/>
        <w:jc w:val="both"/>
        <w:rPr>
          <w:rFonts w:ascii="Times New Roman" w:hAnsi="Times New Roman" w:cs="Times New Roman"/>
          <w:sz w:val="24"/>
          <w:szCs w:val="24"/>
        </w:rPr>
      </w:pPr>
      <w:r w:rsidRPr="007B59C7">
        <w:rPr>
          <w:rFonts w:ascii="Times New Roman" w:hAnsi="Times New Roman" w:cs="Times New Roman"/>
          <w:sz w:val="24"/>
          <w:szCs w:val="24"/>
        </w:rPr>
        <w:t xml:space="preserve">While the </w:t>
      </w:r>
      <w:proofErr w:type="spellStart"/>
      <w:r w:rsidRPr="007B59C7">
        <w:rPr>
          <w:rFonts w:ascii="Times New Roman" w:hAnsi="Times New Roman" w:cs="Times New Roman"/>
          <w:sz w:val="24"/>
          <w:szCs w:val="24"/>
        </w:rPr>
        <w:t>muhammed</w:t>
      </w:r>
      <w:proofErr w:type="spellEnd"/>
      <w:r w:rsidRPr="007B59C7">
        <w:rPr>
          <w:rFonts w:ascii="Times New Roman" w:hAnsi="Times New Roman" w:cs="Times New Roman"/>
          <w:sz w:val="24"/>
          <w:szCs w:val="24"/>
        </w:rPr>
        <w:t>/</w:t>
      </w:r>
      <w:proofErr w:type="spellStart"/>
      <w:r w:rsidRPr="007B59C7">
        <w:rPr>
          <w:rFonts w:ascii="Times New Roman" w:hAnsi="Times New Roman" w:cs="Times New Roman"/>
          <w:sz w:val="24"/>
          <w:szCs w:val="24"/>
        </w:rPr>
        <w:t>arabic-asr</w:t>
      </w:r>
      <w:proofErr w:type="spellEnd"/>
      <w:r w:rsidRPr="007B59C7">
        <w:rPr>
          <w:rFonts w:ascii="Times New Roman" w:hAnsi="Times New Roman" w:cs="Times New Roman"/>
          <w:sz w:val="24"/>
          <w:szCs w:val="24"/>
        </w:rPr>
        <w:t xml:space="preserve"> model performs well in clean speech environments, its performance in noisy settings and with dialectal speech leaves room for improvement. Future improvements to the model could include fine-tuning with datasets that incorporate more diverse regional dialects and noisy environments. This could significantly enhance the system's robustness and accuracy in real-world scenarios where background noise and colloquial speech are common.</w:t>
      </w:r>
    </w:p>
    <w:p w14:paraId="1E780CB3" w14:textId="19B9112D" w:rsidR="00DB0C4B" w:rsidRPr="0079673E" w:rsidRDefault="00000000" w:rsidP="007B59C7">
      <w:pPr>
        <w:spacing w:line="480" w:lineRule="auto"/>
        <w:rPr>
          <w:rFonts w:ascii="Times New Roman" w:hAnsi="Times New Roman" w:cs="Times New Roman"/>
          <w:sz w:val="24"/>
          <w:szCs w:val="24"/>
        </w:rPr>
      </w:pPr>
      <w:r w:rsidRPr="0079673E">
        <w:rPr>
          <w:rFonts w:ascii="Times New Roman" w:hAnsi="Times New Roman" w:cs="Times New Roman"/>
          <w:b/>
          <w:sz w:val="24"/>
          <w:szCs w:val="24"/>
        </w:rPr>
        <w:t>4.6 Results of the MT System</w:t>
      </w:r>
    </w:p>
    <w:p w14:paraId="3DCD5685" w14:textId="77777777" w:rsidR="007B59C7" w:rsidRDefault="007B59C7" w:rsidP="007B59C7">
      <w:pPr>
        <w:spacing w:line="480" w:lineRule="auto"/>
        <w:ind w:firstLine="720"/>
        <w:jc w:val="both"/>
        <w:rPr>
          <w:rFonts w:ascii="Times New Roman" w:hAnsi="Times New Roman" w:cs="Times New Roman"/>
          <w:sz w:val="24"/>
          <w:szCs w:val="24"/>
        </w:rPr>
      </w:pPr>
      <w:r w:rsidRPr="007B59C7">
        <w:rPr>
          <w:rFonts w:ascii="Times New Roman" w:hAnsi="Times New Roman" w:cs="Times New Roman"/>
          <w:sz w:val="24"/>
          <w:szCs w:val="24"/>
        </w:rPr>
        <w:t xml:space="preserve">The pre-trained </w:t>
      </w:r>
      <w:proofErr w:type="spellStart"/>
      <w:r w:rsidRPr="007B59C7">
        <w:rPr>
          <w:rFonts w:ascii="Times New Roman" w:hAnsi="Times New Roman" w:cs="Times New Roman"/>
          <w:sz w:val="24"/>
          <w:szCs w:val="24"/>
        </w:rPr>
        <w:t>MarianMT</w:t>
      </w:r>
      <w:proofErr w:type="spellEnd"/>
      <w:r w:rsidRPr="007B59C7">
        <w:rPr>
          <w:rFonts w:ascii="Times New Roman" w:hAnsi="Times New Roman" w:cs="Times New Roman"/>
          <w:sz w:val="24"/>
          <w:szCs w:val="24"/>
        </w:rPr>
        <w:t xml:space="preserve"> model, which was used for Arabic-to-English translation, was evaluated using the BLEU score, a widely-used metric for assessing the accuracy of machine-generated translations compared to human reference translations. The </w:t>
      </w:r>
      <w:proofErr w:type="spellStart"/>
      <w:r w:rsidRPr="007B59C7">
        <w:rPr>
          <w:rFonts w:ascii="Times New Roman" w:hAnsi="Times New Roman" w:cs="Times New Roman"/>
          <w:sz w:val="24"/>
          <w:szCs w:val="24"/>
        </w:rPr>
        <w:t>MarianMT</w:t>
      </w:r>
      <w:proofErr w:type="spellEnd"/>
      <w:r w:rsidRPr="007B59C7">
        <w:rPr>
          <w:rFonts w:ascii="Times New Roman" w:hAnsi="Times New Roman" w:cs="Times New Roman"/>
          <w:sz w:val="24"/>
          <w:szCs w:val="24"/>
        </w:rPr>
        <w:t xml:space="preserve"> model performed exceptionally well in translating simple sentences, achieving a high BLEU score of 85.0. This indicates that for straightforward, everyday phrases, the model produced translations that closely matched human reference translations. Similarly, the model performed well with conversational phrases, with a BLEU score of 78.4%, suggesting its effectiveness in handling casual, conversational Arabic.</w:t>
      </w:r>
    </w:p>
    <w:p w14:paraId="03DBF8ED" w14:textId="4C99A7F6" w:rsidR="007B59C7" w:rsidRPr="007B59C7" w:rsidRDefault="007B59C7" w:rsidP="007B59C7">
      <w:pPr>
        <w:spacing w:line="480" w:lineRule="auto"/>
        <w:ind w:firstLine="720"/>
        <w:jc w:val="both"/>
        <w:rPr>
          <w:rFonts w:ascii="Times New Roman" w:hAnsi="Times New Roman" w:cs="Times New Roman"/>
          <w:sz w:val="24"/>
          <w:szCs w:val="24"/>
        </w:rPr>
      </w:pPr>
      <w:r w:rsidRPr="007B59C7">
        <w:rPr>
          <w:rFonts w:ascii="Times New Roman" w:hAnsi="Times New Roman" w:cs="Times New Roman"/>
          <w:sz w:val="24"/>
          <w:szCs w:val="24"/>
        </w:rPr>
        <w:lastRenderedPageBreak/>
        <w:t>However, the model's performance declined when translating complex sentences that contained multiple clauses or more sophisticated grammatical structures. In these cases, the BLEU score dropped to 65.2%, indicating that while the translations were generally accurate, they sometimes lacked fluency or misinterpreted certain parts of the sentence. Additionally, the model struggled with idiomatic expressions and domain-specific sentences. For idiomatic phrases, the BLEU score was 55.7%, which reflects the challenge of translating non-literal expressions that do not have a direct equivalent in English. Similarly, for technical or domain-specific sentences, such as those related to fields like computer science, the BLEU score was 48.3%. This is likely due to the lack of specialized training data in the model's pre-trained corpus, resulting in lower accuracy for specialized vocabulary.</w:t>
      </w:r>
    </w:p>
    <w:p w14:paraId="590FAE6E" w14:textId="28E951F9" w:rsidR="00DB0C4B" w:rsidRPr="0079673E" w:rsidRDefault="007B59C7" w:rsidP="007B59C7">
      <w:pPr>
        <w:spacing w:line="480" w:lineRule="auto"/>
        <w:ind w:firstLine="720"/>
        <w:jc w:val="both"/>
        <w:rPr>
          <w:rFonts w:ascii="Times New Roman" w:hAnsi="Times New Roman" w:cs="Times New Roman"/>
          <w:sz w:val="24"/>
          <w:szCs w:val="24"/>
        </w:rPr>
      </w:pPr>
      <w:r w:rsidRPr="007B59C7">
        <w:rPr>
          <w:rFonts w:ascii="Times New Roman" w:hAnsi="Times New Roman" w:cs="Times New Roman"/>
          <w:sz w:val="24"/>
          <w:szCs w:val="24"/>
        </w:rPr>
        <w:t xml:space="preserve">While the </w:t>
      </w:r>
      <w:proofErr w:type="spellStart"/>
      <w:r w:rsidRPr="007B59C7">
        <w:rPr>
          <w:rFonts w:ascii="Times New Roman" w:hAnsi="Times New Roman" w:cs="Times New Roman"/>
          <w:sz w:val="24"/>
          <w:szCs w:val="24"/>
        </w:rPr>
        <w:t>MarianMT</w:t>
      </w:r>
      <w:proofErr w:type="spellEnd"/>
      <w:r w:rsidRPr="007B59C7">
        <w:rPr>
          <w:rFonts w:ascii="Times New Roman" w:hAnsi="Times New Roman" w:cs="Times New Roman"/>
          <w:sz w:val="24"/>
          <w:szCs w:val="24"/>
        </w:rPr>
        <w:t xml:space="preserve"> model provides a solid baseline for general-purpose Arabic-to-English translation, further improvements could be made by fine-tuning the model on domain-specific datasets. This would enhance its ability to handle complex sentence structures, idiomatic expressions, and technical jargon. Fine-tuning on industry-specific data, such as legal or medical terminology, would improve its applicability in professional settings, where precision and contextual accuracy are critical.</w:t>
      </w:r>
    </w:p>
    <w:p w14:paraId="49A38A00" w14:textId="77777777" w:rsidR="00DB0C4B" w:rsidRPr="0079673E" w:rsidRDefault="00DB0C4B">
      <w:pPr>
        <w:spacing w:line="480" w:lineRule="auto"/>
        <w:rPr>
          <w:rFonts w:ascii="Times New Roman" w:hAnsi="Times New Roman" w:cs="Times New Roman"/>
          <w:sz w:val="24"/>
          <w:szCs w:val="24"/>
        </w:rPr>
      </w:pPr>
    </w:p>
    <w:sectPr w:rsidR="00DB0C4B" w:rsidRPr="0079673E" w:rsidSect="00DF55DB">
      <w:headerReference w:type="default" r:id="rId13"/>
      <w:pgSz w:w="11906" w:h="16838"/>
      <w:pgMar w:top="1440" w:right="1440" w:bottom="1440" w:left="2160" w:header="709" w:footer="709" w:gutter="0"/>
      <w:pgNumType w:start="3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3AB50" w14:textId="77777777" w:rsidR="006D1AA3" w:rsidRDefault="006D1AA3">
      <w:pPr>
        <w:spacing w:after="0" w:line="240" w:lineRule="auto"/>
      </w:pPr>
      <w:r>
        <w:separator/>
      </w:r>
    </w:p>
  </w:endnote>
  <w:endnote w:type="continuationSeparator" w:id="0">
    <w:p w14:paraId="5C3A58CB" w14:textId="77777777" w:rsidR="006D1AA3" w:rsidRDefault="006D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04B11" w14:textId="77777777" w:rsidR="006D1AA3" w:rsidRDefault="006D1AA3">
      <w:pPr>
        <w:spacing w:after="0" w:line="240" w:lineRule="auto"/>
      </w:pPr>
      <w:r>
        <w:separator/>
      </w:r>
    </w:p>
  </w:footnote>
  <w:footnote w:type="continuationSeparator" w:id="0">
    <w:p w14:paraId="3098F682" w14:textId="77777777" w:rsidR="006D1AA3" w:rsidRDefault="006D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E4B2" w14:textId="77777777" w:rsidR="00DB0C4B" w:rsidRDefault="00DB0C4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jc w:val="right"/>
      <w:rPr>
        <w:color w:val="000000"/>
      </w:rPr>
    </w:pPr>
  </w:p>
  <w:p w14:paraId="2C48466D" w14:textId="77777777" w:rsidR="00DB0C4B" w:rsidRDefault="00DB0C4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369840444"/>
      <w:docPartObj>
        <w:docPartGallery w:val="Page Numbers (Top of Page)"/>
        <w:docPartUnique/>
      </w:docPartObj>
    </w:sdtPr>
    <w:sdtEndPr>
      <w:rPr>
        <w:b/>
        <w:bCs/>
        <w:noProof/>
        <w:color w:val="auto"/>
        <w:spacing w:val="0"/>
      </w:rPr>
    </w:sdtEndPr>
    <w:sdtContent>
      <w:p w14:paraId="39E7F1E2" w14:textId="6D318529" w:rsidR="00DF55DB" w:rsidRDefault="00DF55D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38B47D" w14:textId="77777777" w:rsidR="00DF55DB" w:rsidRDefault="00DF55D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C4B"/>
    <w:rsid w:val="001875E5"/>
    <w:rsid w:val="001C6B08"/>
    <w:rsid w:val="00305867"/>
    <w:rsid w:val="006937A2"/>
    <w:rsid w:val="006D1AA3"/>
    <w:rsid w:val="0079673E"/>
    <w:rsid w:val="007B59C7"/>
    <w:rsid w:val="00921550"/>
    <w:rsid w:val="00A3736B"/>
    <w:rsid w:val="00A61C50"/>
    <w:rsid w:val="00DB0C4B"/>
    <w:rsid w:val="00DF55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38A5"/>
  <w15:docId w15:val="{DD1D02D6-E940-4DBF-A077-DCDACED3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1"/>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yle30">
    <w:name w:val="_Style 30"/>
    <w:basedOn w:val="TableNormal"/>
    <w:qFormat/>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pPr>
      <w:spacing w:after="0" w:line="240" w:lineRule="auto"/>
    </w:pPr>
    <w:tblPr/>
  </w:style>
  <w:style w:type="table" w:customStyle="1" w:styleId="Style33">
    <w:name w:val="_Style 33"/>
    <w:basedOn w:val="TableNormal"/>
    <w:tblPr>
      <w:tblCellMar>
        <w:top w:w="100" w:type="dxa"/>
        <w:left w:w="100" w:type="dxa"/>
        <w:bottom w:w="100" w:type="dxa"/>
        <w:right w:w="100" w:type="dxa"/>
      </w:tblCellMar>
    </w:tblPr>
  </w:style>
  <w:style w:type="table" w:customStyle="1" w:styleId="Style34">
    <w:name w:val="_Style 34"/>
    <w:basedOn w:val="TableNormal"/>
    <w:qFormat/>
    <w:tblPr>
      <w:tblCellMar>
        <w:top w:w="100" w:type="dxa"/>
        <w:left w:w="100" w:type="dxa"/>
        <w:bottom w:w="100" w:type="dxa"/>
        <w:right w:w="100" w:type="dxa"/>
      </w:tblCellMar>
    </w:tblPr>
  </w:style>
  <w:style w:type="table" w:customStyle="1" w:styleId="Style35">
    <w:name w:val="_Style 35"/>
    <w:basedOn w:val="TableNormal"/>
    <w:qFormat/>
    <w:tblPr>
      <w:tblCellMar>
        <w:top w:w="100" w:type="dxa"/>
        <w:left w:w="100" w:type="dxa"/>
        <w:bottom w:w="100" w:type="dxa"/>
        <w:right w:w="100" w:type="dxa"/>
      </w:tblCellMar>
    </w:tblPr>
  </w:style>
  <w:style w:type="table" w:customStyle="1" w:styleId="Style36">
    <w:name w:val="_Style 36"/>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7">
    <w:name w:val="_Style 37"/>
    <w:basedOn w:val="TableNormal"/>
    <w:pPr>
      <w:spacing w:after="0" w:line="240" w:lineRule="auto"/>
    </w:pPr>
    <w:tblPr>
      <w:tblCellMar>
        <w:top w:w="100" w:type="dxa"/>
        <w:left w:w="100" w:type="dxa"/>
        <w:bottom w:w="100" w:type="dxa"/>
        <w:right w:w="100" w:type="dxa"/>
      </w:tblCellMar>
    </w:tblPr>
  </w:style>
  <w:style w:type="table" w:customStyle="1" w:styleId="Style38">
    <w:name w:val="_Style 38"/>
    <w:basedOn w:val="TableNormal"/>
    <w:pPr>
      <w:spacing w:after="0" w:line="240" w:lineRule="auto"/>
    </w:pPr>
    <w:tblPr>
      <w:tblCellMar>
        <w:top w:w="100" w:type="dxa"/>
        <w:left w:w="100" w:type="dxa"/>
        <w:bottom w:w="100" w:type="dxa"/>
        <w:right w:w="100" w:type="dxa"/>
      </w:tblCellMar>
    </w:tblPr>
  </w:style>
  <w:style w:type="table" w:customStyle="1" w:styleId="Style39">
    <w:name w:val="_Style 39"/>
    <w:basedOn w:val="TableNormal"/>
    <w:pPr>
      <w:spacing w:after="0" w:line="240" w:lineRule="auto"/>
    </w:pPr>
    <w:tblPr>
      <w:tblCellMar>
        <w:top w:w="100" w:type="dxa"/>
        <w:left w:w="100" w:type="dxa"/>
        <w:bottom w:w="100" w:type="dxa"/>
        <w:right w:w="100" w:type="dxa"/>
      </w:tblCellMar>
    </w:tblPr>
  </w:style>
  <w:style w:type="table" w:customStyle="1" w:styleId="Style40">
    <w:name w:val="_Style 40"/>
    <w:basedOn w:val="TableNormal"/>
    <w:pPr>
      <w:spacing w:after="0" w:line="240" w:lineRule="auto"/>
    </w:pPr>
    <w:tblPr>
      <w:tblCellMar>
        <w:top w:w="100" w:type="dxa"/>
        <w:left w:w="100" w:type="dxa"/>
        <w:bottom w:w="100" w:type="dxa"/>
        <w:right w:w="100" w:type="dxa"/>
      </w:tblCellMar>
    </w:tblPr>
  </w:style>
  <w:style w:type="table" w:customStyle="1" w:styleId="Style41">
    <w:name w:val="_Style 41"/>
    <w:basedOn w:val="TableNormal"/>
    <w:pPr>
      <w:spacing w:after="0" w:line="240" w:lineRule="auto"/>
    </w:pPr>
    <w:tblPr>
      <w:tblCellMar>
        <w:top w:w="100" w:type="dxa"/>
        <w:left w:w="100" w:type="dxa"/>
        <w:bottom w:w="100" w:type="dxa"/>
        <w:right w:w="100" w:type="dxa"/>
      </w:tblCellMar>
    </w:tblPr>
  </w:style>
  <w:style w:type="table" w:customStyle="1" w:styleId="Style42">
    <w:name w:val="_Style 42"/>
    <w:basedOn w:val="TableNormal"/>
    <w:pPr>
      <w:spacing w:after="0" w:line="240" w:lineRule="auto"/>
    </w:pPr>
    <w:tblPr>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NoSpacing">
    <w:name w:val="No Spacing"/>
    <w:uiPriority w:val="1"/>
    <w:qFormat/>
    <w:rsid w:val="0079673E"/>
    <w:pPr>
      <w:spacing w:after="0" w:line="240" w:lineRule="auto"/>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0f+lcNukoupUrdj5bMy9jBCsRA==">CgMxLjAyDmguZW84cGUwMzVpOHh4Mg5oLnZ6a25iM2UyYjA5NDgAciExR29URDJWOGZfRWViY2dRWGhyUHhraVVOdVQ5R2prVHU=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1761</Words>
  <Characters>10044</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Emmanuel Artus</dc:creator>
  <cp:lastModifiedBy>aloushen</cp:lastModifiedBy>
  <cp:revision>7</cp:revision>
  <dcterms:created xsi:type="dcterms:W3CDTF">2024-06-03T13:05:00Z</dcterms:created>
  <dcterms:modified xsi:type="dcterms:W3CDTF">2024-10-07T18:49:00Z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31986cf5-5c54-445d-83b4-d181b8a95cee</vt:lpwstr>
  </property>
  <property fmtid="{D5CDD505-2E9C-101B-9397-08002B2CF9AE}" pid="3" name="KSOProductBuildVer">
    <vt:lpwstr>1033-12.2.0.13213</vt:lpwstr>
  </property>
  <property fmtid="{D5CDD505-2E9C-101B-9397-08002B2CF9AE}" pid="4" name="ICV">
    <vt:lpwstr>6D70300D8ED54670957F3956920074F5_12</vt:lpwstr>
  </property>
</Properties>
</file>