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Расчёт виброустойчивости платы</w:t>
      </w:r>
    </w:p>
    <w:p>
      <w:r>
        <w:t>Отчёт PCBCalc содержит параметры и результаты расчёта, выполненного в приложении. Значения заполняются при экспорте. Единицы измерения соответствуют полям приложения.</w:t>
      </w:r>
    </w:p>
    <w:p>
      <w:pPr>
        <w:pStyle w:val="Heading1"/>
      </w:pPr>
      <w:r>
        <w:t>Параметры и результаты</w:t>
      </w:r>
    </w:p>
    <w:p>
      <w:pPr>
        <w:keepLines/>
      </w:pPr>
      <w:r>
        <w:rPr>
          <w:b/>
        </w:rPr>
        <w:t xml:space="preserve">Масса установленных элементов, кг: </w:t>
      </w:r>
      <w:bookmarkStart w:id="0" w:name="масса_всех_элементов"/>
      <w:r>
        <w:t>—</w:t>
      </w:r>
      <w:bookmarkEnd w:id="0"/>
    </w:p>
    <w:p>
      <w:pPr>
        <w:keepLines/>
      </w:pPr>
      <w:r>
        <w:rPr>
          <w:b/>
        </w:rPr>
        <w:t xml:space="preserve">Длина платы, м: </w:t>
      </w:r>
      <w:bookmarkStart w:id="1" w:name="Длина"/>
      <w:r>
        <w:t>—</w:t>
      </w:r>
      <w:bookmarkEnd w:id="1"/>
    </w:p>
    <w:p>
      <w:pPr>
        <w:keepLines/>
      </w:pPr>
      <w:r>
        <w:rPr>
          <w:b/>
        </w:rPr>
        <w:t xml:space="preserve">Ширина платы, м: </w:t>
      </w:r>
      <w:bookmarkStart w:id="2" w:name="Ширина"/>
      <w:r>
        <w:t>—</w:t>
      </w:r>
      <w:bookmarkEnd w:id="2"/>
    </w:p>
    <w:p>
      <w:pPr>
        <w:keepLines/>
      </w:pPr>
      <w:r>
        <w:rPr>
          <w:b/>
        </w:rPr>
        <w:t xml:space="preserve">Толщина платы, м: </w:t>
      </w:r>
      <w:bookmarkStart w:id="3" w:name="Толщина"/>
      <w:r>
        <w:t>—</w:t>
      </w:r>
      <w:bookmarkEnd w:id="3"/>
    </w:p>
    <w:p>
      <w:pPr>
        <w:keepLines/>
      </w:pPr>
      <w:r>
        <w:rPr>
          <w:b/>
        </w:rPr>
        <w:t xml:space="preserve">Способ закрепления: </w:t>
      </w:r>
      <w:bookmarkStart w:id="4" w:name="Способ_закрепления"/>
      <w:r>
        <w:t>—</w:t>
      </w:r>
      <w:bookmarkEnd w:id="4"/>
    </w:p>
    <w:p>
      <w:pPr>
        <w:keepLines/>
      </w:pPr>
      <w:r>
        <w:rPr>
          <w:b/>
        </w:rPr>
        <w:t xml:space="preserve">Возбуждающая частота, Гц: </w:t>
      </w:r>
      <w:bookmarkStart w:id="5" w:name="Возбуждающая_частота"/>
      <w:r>
        <w:t>—</w:t>
      </w:r>
      <w:bookmarkEnd w:id="5"/>
    </w:p>
    <w:p>
      <w:pPr>
        <w:keepLines/>
      </w:pPr>
      <w:r>
        <w:rPr>
          <w:b/>
        </w:rPr>
        <w:t xml:space="preserve">Материал платы: </w:t>
      </w:r>
      <w:bookmarkStart w:id="6" w:name="Материал_платы"/>
      <w:r>
        <w:t>—</w:t>
      </w:r>
      <w:bookmarkEnd w:id="6"/>
    </w:p>
    <w:p>
      <w:pPr>
        <w:keepLines/>
      </w:pPr>
      <w:r>
        <w:rPr>
          <w:b/>
        </w:rPr>
        <w:t xml:space="preserve">Плотность материала, кг/м³: </w:t>
      </w:r>
      <w:bookmarkStart w:id="7" w:name="Плотность"/>
      <w:r>
        <w:t>—</w:t>
      </w:r>
      <w:bookmarkEnd w:id="7"/>
    </w:p>
    <w:p>
      <w:pPr>
        <w:keepLines/>
      </w:pPr>
      <w:r>
        <w:rPr>
          <w:b/>
        </w:rPr>
        <w:t xml:space="preserve">Масса печатной платы: </w:t>
      </w:r>
      <w:bookmarkStart w:id="8" w:name="Масса_печатной_платы"/>
      <w:r>
        <w:t>—</w:t>
      </w:r>
      <w:bookmarkEnd w:id="8"/>
    </w:p>
    <w:p>
      <w:pPr>
        <w:keepLines/>
      </w:pPr>
      <w:r>
        <w:rPr>
          <w:b/>
        </w:rPr>
        <w:t xml:space="preserve">Коэффициент массы элементов: </w:t>
      </w:r>
      <w:bookmarkStart w:id="9" w:name="коэф_учитывающий_массу_элементов"/>
      <w:r>
        <w:t>—</w:t>
      </w:r>
      <w:bookmarkEnd w:id="9"/>
    </w:p>
    <w:p>
      <w:pPr>
        <w:keepLines/>
      </w:pPr>
      <w:r>
        <w:rPr>
          <w:b/>
        </w:rPr>
        <w:t xml:space="preserve">Коэффициент закрепления 1: </w:t>
      </w:r>
      <w:bookmarkStart w:id="10" w:name="вспом_коэф_учит_способ_закреп_1"/>
      <w:r>
        <w:t>—</w:t>
      </w:r>
      <w:bookmarkEnd w:id="10"/>
    </w:p>
    <w:p>
      <w:pPr>
        <w:keepLines/>
      </w:pPr>
      <w:r>
        <w:rPr>
          <w:b/>
        </w:rPr>
        <w:t xml:space="preserve">Коэффициент закрепления 2: </w:t>
      </w:r>
      <w:bookmarkStart w:id="11" w:name="вспом_коэф_учит_способ_закреп_2"/>
      <w:r>
        <w:t>—</w:t>
      </w:r>
      <w:bookmarkEnd w:id="11"/>
    </w:p>
    <w:p>
      <w:pPr>
        <w:keepLines/>
      </w:pPr>
      <w:r>
        <w:rPr>
          <w:b/>
        </w:rPr>
        <w:t xml:space="preserve">Коэффициент закрепления 3: </w:t>
      </w:r>
      <w:bookmarkStart w:id="12" w:name="вспом_коэф_учит_способ_закреп_3"/>
      <w:r>
        <w:t>—</w:t>
      </w:r>
      <w:bookmarkEnd w:id="12"/>
    </w:p>
    <w:p>
      <w:pPr>
        <w:keepLines/>
      </w:pPr>
      <w:r>
        <w:rPr>
          <w:b/>
        </w:rPr>
        <w:t xml:space="preserve">Коэффициент закрепления: </w:t>
      </w:r>
      <w:bookmarkStart w:id="13" w:name="коэф_учит_способ_закрепления"/>
      <w:r>
        <w:t>—</w:t>
      </w:r>
      <w:bookmarkEnd w:id="13"/>
    </w:p>
    <w:p>
      <w:pPr>
        <w:keepLines/>
      </w:pPr>
      <w:r>
        <w:rPr>
          <w:b/>
        </w:rPr>
        <w:t xml:space="preserve">Модуль Юнга, ×10¹⁰ Па: </w:t>
      </w:r>
      <w:bookmarkStart w:id="14" w:name="Модуль_Юнга"/>
      <w:r>
        <w:t>—</w:t>
      </w:r>
      <w:bookmarkEnd w:id="14"/>
    </w:p>
    <w:p>
      <w:pPr>
        <w:keepLines/>
      </w:pPr>
      <w:r>
        <w:rPr>
          <w:b/>
        </w:rPr>
        <w:t xml:space="preserve">Коэффициент Пуассона: </w:t>
      </w:r>
      <w:bookmarkStart w:id="15" w:name="Коэффициент_Пуассона"/>
      <w:r>
        <w:t>—</w:t>
      </w:r>
      <w:bookmarkEnd w:id="15"/>
    </w:p>
    <w:p>
      <w:pPr>
        <w:keepLines/>
      </w:pPr>
      <w:r>
        <w:rPr>
          <w:b/>
        </w:rPr>
        <w:t xml:space="preserve">Цилиндрическая жёсткость платы: </w:t>
      </w:r>
      <w:bookmarkStart w:id="16" w:name="цилиндрическая_жёсткость_платы"/>
      <w:r>
        <w:t>—</w:t>
      </w:r>
      <w:bookmarkEnd w:id="16"/>
    </w:p>
    <w:p>
      <w:pPr>
        <w:keepLines/>
      </w:pPr>
      <w:r>
        <w:rPr>
          <w:b/>
        </w:rPr>
        <w:t xml:space="preserve">Собственная частота, Гц: </w:t>
      </w:r>
      <w:bookmarkStart w:id="17" w:name="собственная_частота_колебаний"/>
      <w:r>
        <w:t>—</w:t>
      </w:r>
      <w:bookmarkEnd w:id="17"/>
    </w:p>
    <w:p>
      <w:pPr>
        <w:keepLines/>
      </w:pPr>
      <w:r>
        <w:rPr>
          <w:b/>
        </w:rPr>
        <w:t xml:space="preserve">Отношение собственной и возбуждающей частот: </w:t>
      </w:r>
      <w:bookmarkStart w:id="18" w:name="собств_поделенная_на_возб"/>
      <w:r>
        <w:t>—</w:t>
      </w:r>
      <w:bookmarkEnd w:id="18"/>
    </w:p>
    <w:p>
      <w:pPr>
        <w:keepLines/>
      </w:pPr>
      <w:r>
        <w:rPr>
          <w:b/>
        </w:rPr>
        <w:t xml:space="preserve">Результирующее условие: </w:t>
      </w:r>
      <w:bookmarkStart w:id="19" w:name="Результирующее_условие"/>
      <w:r>
        <w:t>—</w:t>
      </w:r>
      <w:bookmarkEnd w:id="19"/>
    </w:p>
    <w:p>
      <w:pPr>
        <w:keepLines/>
      </w:pPr>
      <w:r>
        <w:rPr>
          <w:b/>
        </w:rPr>
        <w:t xml:space="preserve">Результат: </w:t>
      </w:r>
      <w:bookmarkStart w:id="20" w:name="Результат"/>
      <w:r>
        <w:t>—</w:t>
      </w:r>
      <w:bookmarkEnd w:id="20"/>
    </w:p>
    <w:p>
      <w:r>
        <w:t>Результаты предназначены для учебного анализа. Применение к реальному устройству требует проверки исходных данных и расчётной модели.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Расчёт виброустойчивости платы</dc:title>
  <dc:subject/>
  <dc:creator>Alexander Baranov</dc:creator>
  <cp:keywords/>
  <dc:description>Original PCBCalc public report template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