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MetriX AI 产品介绍与商业服务方案</w:t>
      </w:r>
    </w:p>
    <w:p>
      <w:pPr>
        <w:pStyle w:val="Subtitle"/>
      </w:pPr>
      <w:r>
        <w:t>面向矿山生产 质量验证与二次资源利用的智能决策平台</w:t>
      </w:r>
    </w:p>
    <w:p>
      <w:pPr>
        <w:pStyle w:val="Heading1"/>
      </w:pPr>
      <w:r>
        <w:t>01 产品概述</w:t>
      </w:r>
    </w:p>
    <w:p>
      <w:r>
        <w:t>MetriX AI 面向有色金属与关键金属产业，将矿区地图、设备状态、矿石图像、取样记录、实验室检测结果与资源处理成本转化为可解释的决策建议。平台围绕设备与运输调度、矿石代表性取样和二次资源价值评估三个场景，帮助企业判断设备如何安排、样本如何获取，以及哪些剩余资源值得进一步验证和开发。</w:t>
      </w:r>
    </w:p>
    <w:p>
      <w:r>
        <w:t>我们希望让企业在投入设备、安排检测和选择回收项目之前，更清楚地理解不同方案的成本、依据与不确定性。用户可以从单个模块开始，使用历史数据或离线数据进行评估，再根据试点结果扩展到更多业务环节。</w:t>
      </w:r>
    </w:p>
    <w:tbl>
      <w:tblPr>
        <w:tblW w:type="auto" w:w="0"/>
        <w:jc w:val="center"/>
        <w:tblLayout w:type="fixed"/>
        <w:tblLook w:firstColumn="1" w:firstRow="1" w:lastColumn="0" w:lastRow="0" w:noHBand="0" w:noVBand="1" w:val="04A0"/>
      </w:tblPr>
      <w:tblGrid>
        <w:gridCol w:w="2088"/>
        <w:gridCol w:w="8078"/>
      </w:tblGrid>
      <w:tr>
        <w:trPr>
          <w:tblHeader/>
          <w:cantSplit/>
        </w:trPr>
        <w:tc>
          <w:tcPr>
            <w:tcW w:type="dxa" w:w="2088"/>
            <w:vAlign w:val="center"/>
            <w:shd w:fill="DBE8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sz w:val="21"/>
              </w:rPr>
              <w:t>产品要素</w:t>
            </w:r>
          </w:p>
        </w:tc>
        <w:tc>
          <w:tcPr>
            <w:tcW w:type="dxa" w:w="8078"/>
            <w:vAlign w:val="center"/>
            <w:shd w:fill="DBE8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sz w:val="21"/>
              </w:rPr>
              <w:t>定位</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品牌</w:t>
            </w:r>
          </w:p>
        </w:tc>
        <w:tc>
          <w:tcPr>
            <w:tcW w:type="dxa" w:w="807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MetriX AI</w:t>
            </w:r>
          </w:p>
        </w:tc>
      </w:tr>
      <w:tr>
        <w:trPr>
          <w:cantSplit/>
        </w:trPr>
        <w:tc>
          <w:tcPr>
            <w:tcW w:type="dxa" w:w="2088"/>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产品类别</w:t>
            </w:r>
          </w:p>
        </w:tc>
        <w:tc>
          <w:tcPr>
            <w:tcW w:type="dxa" w:w="8078"/>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企业级矿业 AI 决策支持平台</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核心模块</w:t>
            </w:r>
          </w:p>
        </w:tc>
        <w:tc>
          <w:tcPr>
            <w:tcW w:type="dxa" w:w="807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MineFit AI 采矿调度与运输优化；QualityGuard AI 异质性识别与取样辅助；CircularMine AI 二次资源价值评估</w:t>
            </w:r>
          </w:p>
        </w:tc>
      </w:tr>
      <w:tr>
        <w:trPr>
          <w:cantSplit/>
        </w:trPr>
        <w:tc>
          <w:tcPr>
            <w:tcW w:type="dxa" w:w="2088"/>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硬件扩展</w:t>
            </w:r>
          </w:p>
        </w:tc>
        <w:tc>
          <w:tcPr>
            <w:tcW w:type="dxa" w:w="8078"/>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MetriX Smart Sampling Rover 智能取样机器人概念方案</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优先客户</w:t>
            </w:r>
          </w:p>
        </w:tc>
        <w:tc>
          <w:tcPr>
            <w:tcW w:type="dxa" w:w="807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矿山运营企业、矿产品检测机构、尾矿与固废资源化企业</w:t>
            </w:r>
          </w:p>
        </w:tc>
      </w:tr>
      <w:tr>
        <w:trPr>
          <w:cantSplit/>
        </w:trPr>
        <w:tc>
          <w:tcPr>
            <w:tcW w:type="dxa" w:w="2088"/>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合作方式</w:t>
            </w:r>
          </w:p>
        </w:tc>
        <w:tc>
          <w:tcPr>
            <w:tcW w:type="dxa" w:w="8078"/>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单模块试点、模块订阅、企业私有部署、模型定制与系统集成</w:t>
            </w:r>
          </w:p>
        </w:tc>
      </w:tr>
    </w:tbl>
    <w:p>
      <w:pPr>
        <w:spacing w:after="0"/>
      </w:pPr>
    </w:p>
    <w:p>
      <w:pPr>
        <w:pStyle w:val="Heading2"/>
      </w:pPr>
      <w:r>
        <w:t>产品发展阶段</w:t>
      </w:r>
    </w:p>
    <w:p>
      <w:r>
        <w:t>项目资料将 MetriX AI 定位为功能原型与概念验证项目。商业服务、企业部署能力和机器人联动方案属于拟交付的产品化方向，实际可用范围以演示、试点验收和合同约定为准。机器人图片用于呈现产品外观与应用构想，不构成已制造、已部署或性能认证的证明。</w:t>
      </w:r>
    </w:p>
    <w:p>
      <w:r>
        <w:t>品牌表达沿用项目主张：Mine Smarter. Verify Better. Recover More. 我们用更合理的调度、更有依据的质量验证和更清晰的资源评估，支持矿业价值提升。</w:t>
      </w:r>
    </w:p>
    <w:p>
      <w:r>
        <w:br w:type="page"/>
      </w:r>
    </w:p>
    <w:p>
      <w:pPr>
        <w:pStyle w:val="Heading1"/>
      </w:pPr>
      <w:r>
        <w:t>02 项目宗旨与客户价值</w:t>
      </w:r>
    </w:p>
    <w:p>
      <w:pPr>
        <w:pStyle w:val="Heading2"/>
      </w:pPr>
      <w:r>
        <w:t>项目宗旨</w:t>
      </w:r>
    </w:p>
    <w:p>
      <w:r>
        <w:t>我们的宗旨是让矿业企业以数据为依据，提高生产资源的利用效率，提升矿石质量判断的可靠性，并发现尾矿与副产物中具有进一步利用潜力的资源。通过将现场数据、模型分析和专业人员判断连接起来，MetriX AI 支持企业减少可避免的浪费，形成可追溯、可比较的决策过程。</w:t>
      </w:r>
    </w:p>
    <w:p>
      <w:pPr>
        <w:pStyle w:val="Heading2"/>
      </w:pPr>
      <w:r>
        <w:t>使命与愿景</w:t>
      </w:r>
    </w:p>
    <w:p>
      <w:r>
        <w:t>使命是把分散的矿业数据转化为现场人员能够理解和使用的行动建议。愿景是成为有色金属与关键金属企业的日常决策辅助工具，让运营、质量和资源化团队围绕同一套有来源的数据进行协作。</w:t>
      </w:r>
    </w:p>
    <w:p>
      <w:pPr>
        <w:pStyle w:val="Heading2"/>
      </w:pPr>
      <w:r>
        <w:t>生产效率</w:t>
      </w:r>
    </w:p>
    <w:p>
      <w:r>
        <w:t>对于调度人员，平台综合考虑任务量、车辆载重、道路条件、拥堵与设备可用状态，帮助选择设备与路线。客户价值体现在减少不必要的等待、空载和绕路，并更清楚地掌握任务完成时间与设备利用情况。实际改善幅度通过同等任务条件下的试点对比确认。</w:t>
      </w:r>
    </w:p>
    <w:p>
      <w:pPr>
        <w:pStyle w:val="Heading2"/>
      </w:pPr>
      <w:r>
        <w:t>质量判断的可靠性</w:t>
      </w:r>
    </w:p>
    <w:p>
      <w:r>
        <w:t>对于检测与质量团队，平台把注意力前移到样本是否具有代表性。通过识别矿堆中不同特征区域、推荐取样位置并记录样本来源，帮助客户发现取样覆盖不足和批次差异，为实验室检测、复检与交易沟通提供更完整的依据。</w:t>
      </w:r>
    </w:p>
    <w:p>
      <w:pPr>
        <w:pStyle w:val="Heading2"/>
      </w:pPr>
      <w:r>
        <w:t>二次资源利用</w:t>
      </w:r>
    </w:p>
    <w:p>
      <w:r>
        <w:t>对于资源化企业与项目负责人，平台将含量、回收率、价格与成本放在同一个评估框架中，帮助比较不同利用路径。客户可以优先安排更值得开展实验、检测或可行性研究的项目，避免仅凭某种元素含量较高就判断项目一定盈利。</w:t>
      </w:r>
    </w:p>
    <w:p>
      <w:pPr>
        <w:pStyle w:val="Heading2"/>
      </w:pPr>
      <w:r>
        <w:t>产品原则</w:t>
      </w:r>
    </w:p>
    <w:p>
      <w:r>
        <w:t>每项建议应说明使用了什么数据、受到什么约束，以及参数变化可能如何影响结果。关键决策保留人工复核；模型没有足够依据时，应提示补充数据或暂停推荐。环境收益以可核查的能耗、运输和资源利用记录为依据，不预设固定节能或减排比例。</w:t>
      </w:r>
    </w:p>
    <w:p>
      <w:r>
        <w:br w:type="page"/>
      </w:r>
    </w:p>
    <w:p>
      <w:pPr>
        <w:pStyle w:val="Heading1"/>
      </w:pPr>
      <w:r>
        <w:t>03 项目描述与整体解决方案</w:t>
      </w:r>
    </w:p>
    <w:p>
      <w:pPr>
        <w:pStyle w:val="Heading2"/>
      </w:pPr>
      <w:r>
        <w:t>完整项目描述</w:t>
      </w:r>
    </w:p>
    <w:p>
      <w:r>
        <w:t>MetriX AI 是围绕矿产价值链关键决策开发的模块化智能平台。项目关注三类经常影响企业经营结果的决策：如何把合适的设备安排到合适的任务，如何获得能够反映一批矿石差异的样本，以及如何判断尾矿、冶炼渣等二次资源的潜在利用价值。平台利用图优化、计算机视觉特征分析、聚类、经济价值建模与决策评分，将现场数据组织成可解释的推荐方案。</w:t>
      </w:r>
    </w:p>
    <w:p>
      <w:r>
        <w:t>MineFit AI 将道路与作业点构建成运输网络，结合车辆和任务条件进行设备匹配与路线优化。QualityGuard AI 根据矿石图像与可用检测数据识别区域差异，提出取样位置和数量建议，并支持样本与批次的关联记录。CircularMine AI 对不同资源利用路径进行价值测算和敏感性分析，为进一步实验和项目筛选提供依据。</w:t>
      </w:r>
    </w:p>
    <w:p>
      <w:r>
        <w:t>三个模块可以独立使用，也可以通过矿区、批次、样本和资源来源等标识建立关联。在关联数据充足时，运营记录能够为批次质量调查提供背景，质量数据能够为资源评估补充输入，最终形成从现场信息到方案评估的业务协作流程。不同模块的数据必须经过对应场景验证，不能把原矿数据直接当作尾矿检测数据。</w:t>
      </w:r>
    </w:p>
    <w:p>
      <w:pPr>
        <w:pStyle w:val="Heading2"/>
      </w:pPr>
      <w:r>
        <w:t>用户操作流程</w:t>
      </w:r>
    </w:p>
    <w:p>
      <w:pPr>
        <w:ind w:left="288" w:hanging="288"/>
      </w:pPr>
      <w:r>
        <w:t>1. 建立项目与业务范围，定义矿区、设备、矿种、批次或二次资源对象。</w:t>
      </w:r>
    </w:p>
    <w:p>
      <w:pPr>
        <w:ind w:left="288" w:hanging="288"/>
      </w:pPr>
      <w:r>
        <w:t>2. 导入地图、设备状态、图像、取样记录、检测结果及成本参数，检查时间、单位和数据完整性。</w:t>
      </w:r>
    </w:p>
    <w:p>
      <w:pPr>
        <w:ind w:left="288" w:hanging="288"/>
      </w:pPr>
      <w:r>
        <w:t>3. 选择需要解决的任务，设置道路限制、样本预算、质量要求或经济评估假设。</w:t>
      </w:r>
    </w:p>
    <w:p>
      <w:pPr>
        <w:ind w:left="288" w:hanging="288"/>
      </w:pPr>
      <w:r>
        <w:t>4. 运行模块分析，查看推荐方案、替代方案、参数依据和数据不足提示。</w:t>
      </w:r>
    </w:p>
    <w:p>
      <w:pPr>
        <w:ind w:left="288" w:hanging="288"/>
      </w:pPr>
      <w:r>
        <w:t>5. 由调度员、检测人员或资源化专家复核，确认执行、调整参数或安排进一步检测。</w:t>
      </w:r>
    </w:p>
    <w:p>
      <w:pPr>
        <w:ind w:left="288" w:hanging="288"/>
      </w:pPr>
      <w:r>
        <w:t>6. 回填实际完成时间、检测结果或试验结果，比较推荐与实际表现并改进模型。</w:t>
      </w:r>
    </w:p>
    <w:p>
      <w:pPr>
        <w:pStyle w:val="Heading2"/>
      </w:pPr>
      <w:r>
        <w:t>平台呈现方式</w:t>
      </w:r>
    </w:p>
    <w:p>
      <w:r>
        <w:t>产品化界面拟包括矿山路线图、矿石异质性热力图、取样任务列表、资源价值比较面板与试点前后对比。客户看到的不仅是一个分数，还应看到方案所依赖的数据、关键假设和推荐原因，方便讨论、复核与存档。</w:t>
      </w:r>
    </w:p>
    <w:p>
      <w:r>
        <w:br w:type="page"/>
      </w:r>
    </w:p>
    <w:p>
      <w:pPr>
        <w:pStyle w:val="Heading1"/>
      </w:pPr>
      <w:r>
        <w:t>04 MineFit AI 设备调度与运输优化</w:t>
      </w:r>
    </w:p>
    <w:p>
      <w:r>
        <w:t>MineFit AI 为矿山调度团队提供设备匹配、任务分配与路线比较。模块综合评估运输需求与现场约束，协助调度员判断哪台设备适合执行任务、建议从哪里经过，以及方案变化对时间与成本的影响。</w:t>
      </w:r>
    </w:p>
    <w:p>
      <w:pPr>
        <w:pStyle w:val="Heading2"/>
      </w:pPr>
      <w:r>
        <w:t>输入数据与分析方式</w:t>
      </w:r>
    </w:p>
    <w:p>
      <w:r>
        <w:t>输入包括矿区拓扑、装载点与处理点、道路距离与坡度、车辆位置与载重、设备可用状态、能耗参数，以及任务数量和优先级。道路可以记录关闭、拥堵和通行限制，数据需附带更新时间，避免把过期设备状态当作实时状态。</w:t>
      </w:r>
    </w:p>
    <w:p>
      <w:r>
        <w:t>模块先排除超出载重、通行或可用状态限制的设备与路线，再比较可行组合。图优化使用项目中提出的 Dijkstra 或 A* 等方法；路线的综合成本包含距离、坡度、能耗和拥堵因素。各项成本应换算到一致的比较尺度，客户可调整权重并查看调整原因。</w:t>
      </w:r>
    </w:p>
    <w:p>
      <w:pPr>
        <w:pStyle w:val="Heading2"/>
      </w:pPr>
      <w:r>
        <w:t>核心能力</w:t>
      </w:r>
    </w:p>
    <w:p>
      <w:pPr>
        <w:ind w:left="288" w:hanging="288"/>
      </w:pPr>
      <w:r>
        <w:t>• 设备适配：根据任务量、当前位置、载重和可用状态筛选候选设备。</w:t>
      </w:r>
    </w:p>
    <w:p>
      <w:pPr>
        <w:ind w:left="288" w:hanging="288"/>
      </w:pPr>
      <w:r>
        <w:t>• 路线推荐：比较满足通行限制的路径，展示预计距离、时间与能耗。</w:t>
      </w:r>
    </w:p>
    <w:p>
      <w:pPr>
        <w:ind w:left="288" w:hanging="288"/>
      </w:pPr>
      <w:r>
        <w:t>• 动态重算：收到道路关闭、车辆不可用或任务变化数据后重新生成建议。</w:t>
      </w:r>
    </w:p>
    <w:p>
      <w:pPr>
        <w:ind w:left="288" w:hanging="288"/>
      </w:pPr>
      <w:r>
        <w:t>• 情景比较：对比现有调度规则与优化方案，说明改进来自哪个环节。</w:t>
      </w:r>
    </w:p>
    <w:p>
      <w:pPr>
        <w:ind w:left="288" w:hanging="288"/>
      </w:pPr>
      <w:r>
        <w:t>• 异常提示：发现无可行路径、数据过期或任务超过可用运力时提示人工处理。</w:t>
      </w:r>
    </w:p>
    <w:p>
      <w:pPr>
        <w:pStyle w:val="Heading2"/>
      </w:pPr>
      <w:r>
        <w:t>客户交付内容</w:t>
      </w:r>
    </w:p>
    <w:p>
      <w:r>
        <w:t>建议交付设备与任务匹配清单、地图路线、预计到达时间、方案成本明细以及对比报告。预计值应标明所依据的路况与设备参数，供调度人员审核后采用。</w:t>
      </w:r>
    </w:p>
    <w:p>
      <w:pPr>
        <w:pStyle w:val="Heading2"/>
      </w:pPr>
      <w:r>
        <w:t>应用场景与价值</w:t>
      </w:r>
    </w:p>
    <w:p>
      <w:r>
        <w:t>适用于矿区到处理厂的运输、多个装载点之间的运力安排，以及临时封路后的任务调整。例如某条道路关闭时，调度员可查看替代路线是否增加运输时间，是否需要更换设备，而不必仅凭距离做出判断。</w:t>
      </w:r>
    </w:p>
    <w:p>
      <w:r>
        <w:t>首阶段以离线推荐和模拟验证为主。与生产调度系统的实时连接属于后续集成范围；设备故障预测需要维修记录和故障标签，不能由路线优化功能直接推定。</w:t>
      </w:r>
    </w:p>
    <w:p>
      <w:r>
        <w:br w:type="page"/>
      </w:r>
    </w:p>
    <w:p>
      <w:pPr>
        <w:pStyle w:val="Heading1"/>
      </w:pPr>
      <w:r>
        <w:t>05 QualityGuard AI 异质性识别与取样辅助</w:t>
      </w:r>
    </w:p>
    <w:p>
      <w:r>
        <w:t>QualityGuard AI 服务于矿石检验之前的取样决策。模块通过分析不同区域的矿石特征，帮助检测人员判断取样覆盖是否充分、哪些区域需要增加取样，以及样本来源能否被追溯。目标是提高质量判断的数据基础，并为复检与批次沟通保留证据。</w:t>
      </w:r>
    </w:p>
    <w:p>
      <w:pPr>
        <w:pStyle w:val="Heading2"/>
      </w:pPr>
      <w:r>
        <w:t>输入数据与分析方式</w:t>
      </w:r>
    </w:p>
    <w:p>
      <w:r>
        <w:t>输入包括带有区域或位置标识的矿石图像、批次信息、现有取样点、实验室结果，以及原型中的模拟品位或元素信号。产品化时需区分模拟数据与真实检测数据，并控制光照、拍摄距离、粉尘和湿度造成的图像差异。</w:t>
      </w:r>
    </w:p>
    <w:p>
      <w:r>
        <w:t>模块提取颜色和纹理等图像特征，通过 K-Means 等聚类方法识别特征不同的区域。聚类结果描述视觉或输入特征的差异，并不自动等于高、中、低金属品位。只有经过匹配检测数据校准和独立验证，才适合在限定场景中讨论品位预测。</w:t>
      </w:r>
    </w:p>
    <w:p>
      <w:pPr>
        <w:pStyle w:val="Heading2"/>
      </w:pPr>
      <w:r>
        <w:t>核心能力</w:t>
      </w:r>
    </w:p>
    <w:p>
      <w:pPr>
        <w:ind w:left="288" w:hanging="288"/>
      </w:pPr>
      <w:r>
        <w:t>• 异质性分布：把不同特征区域显示在图像或空间热力图上。</w:t>
      </w:r>
    </w:p>
    <w:p>
      <w:pPr>
        <w:ind w:left="288" w:hanging="288"/>
      </w:pPr>
      <w:r>
        <w:t>• 自适应取样：结合区域覆盖、差异程度与可用取样预算，推荐位置及数量。</w:t>
      </w:r>
    </w:p>
    <w:p>
      <w:pPr>
        <w:ind w:left="288" w:hanging="288"/>
      </w:pPr>
      <w:r>
        <w:t>• 取样覆盖评估：发现未覆盖区域、重复取样集中区和可能需要补样的位置。</w:t>
      </w:r>
    </w:p>
    <w:p>
      <w:pPr>
        <w:ind w:left="288" w:hanging="288"/>
      </w:pPr>
      <w:r>
        <w:t>• 异常辅助分析：关联批次、样本位置与检测结果，帮助调查异常来源。</w:t>
      </w:r>
    </w:p>
    <w:p>
      <w:pPr>
        <w:ind w:left="288" w:hanging="288"/>
      </w:pPr>
      <w:r>
        <w:t>• 取样记录：拟记录取样时间、位置、人员或设备、样本编号和检测结果。</w:t>
      </w:r>
    </w:p>
    <w:p>
      <w:pPr>
        <w:pStyle w:val="Heading2"/>
      </w:pPr>
      <w:r>
        <w:t>客户交付内容</w:t>
      </w:r>
    </w:p>
    <w:p>
      <w:r>
        <w:t>建议交付矿石异质性热力图、取样点清单、建议取样数量、覆盖指标、补样建议与样本记录。代表性评分必须说明评分方法、参考数据与适用范围；它是分析指标，不能单独作为检验合格或批次交易结算的凭证。</w:t>
      </w:r>
    </w:p>
    <w:p>
      <w:pPr>
        <w:pStyle w:val="Heading2"/>
      </w:pPr>
      <w:r>
        <w:t>应用场景与价值</w:t>
      </w:r>
    </w:p>
    <w:p>
      <w:r>
        <w:t>适用于矿堆、堆场或可开展图像采集的批次取样辅助。例如一个矿堆包含多类视觉特征区域，系统可提示工作人员不要把样本集中在表面同一区域，并根据可接近性安排进一步取样。</w:t>
      </w:r>
    </w:p>
    <w:p>
      <w:r>
        <w:t>二维表面图像无法完整说明矿堆内部的分层与成分。正式取样方案仍需结合适用的取样规范、专家判断和必要的深层或系统取样；金属种类、真实含量与化学质量由合适的检测方法确认。</w:t>
      </w:r>
    </w:p>
    <w:p>
      <w:r>
        <w:br w:type="page"/>
      </w:r>
    </w:p>
    <w:p>
      <w:pPr>
        <w:pStyle w:val="Heading1"/>
      </w:pPr>
      <w:r>
        <w:t>06 CircularMine AI 二次资源价值评估</w:t>
      </w:r>
    </w:p>
    <w:p>
      <w:r>
        <w:t>CircularMine AI 帮助资源化团队对尾矿、冶炼渣及其他经确认适用的工业副产物进行初步价值比较。模块同时考虑资源数量、元素含量、回收率、市场价格与处理成本，输出不同路径的估计收益、成本、关键限制及推荐优先级。</w:t>
      </w:r>
    </w:p>
    <w:p>
      <w:pPr>
        <w:pStyle w:val="Heading2"/>
      </w:pPr>
      <w:r>
        <w:t>输入数据与评价边界</w:t>
      </w:r>
    </w:p>
    <w:p>
      <w:r>
        <w:t>输入包括可处理数量、含水率或干基数量、元素品位、工艺回收率、产品规格与可支付系数、价格日期、处理成本、能源成本、运输成本，以及环境处理与处置要求。回收率应优先采用适用试验或生产数据；使用假设值时，系统应清楚标记。</w:t>
      </w:r>
    </w:p>
    <w:p>
      <w:pPr>
        <w:pStyle w:val="Heading2"/>
      </w:pPr>
      <w:r>
        <w:t>价值计算逻辑</w:t>
      </w:r>
    </w:p>
    <w:p>
      <w:pPr>
        <w:ind w:left="288" w:hanging="288"/>
      </w:pPr>
      <w:r>
        <w:t>• 可回收元素量 = 干基可处理数量 × 元素质量分数 × 工艺回收率。</w:t>
      </w:r>
    </w:p>
    <w:p>
      <w:pPr>
        <w:ind w:left="288" w:hanging="288"/>
      </w:pPr>
      <w:r>
        <w:t>• 估计销售收入 = 可销售数量 × 对应产品价格 × 适用可支付系数。</w:t>
      </w:r>
    </w:p>
    <w:p>
      <w:pPr>
        <w:ind w:left="288" w:hanging="288"/>
      </w:pPr>
      <w:r>
        <w:t>• 估计净运营价值 = 估计销售收入 − 处理成本 − 能源成本 − 运输成本 − 环境处理及其他相关运营成本。</w:t>
      </w:r>
    </w:p>
    <w:p>
      <w:r>
        <w:t>数量与品位须采用一致单位，例如吨与质量分数；产品价格须与计价对象对应。净运营价值属于筛选层面的运营估计，尚需结合资本投入、建设周期、税费、融资及现金流分析才能评估项目投资价值。多金属方案还需避免把相互冲突的回收路径收入重复相加。</w:t>
      </w:r>
    </w:p>
    <w:p>
      <w:pPr>
        <w:pStyle w:val="Heading2"/>
      </w:pPr>
      <w:r>
        <w:t>核心能力</w:t>
      </w:r>
    </w:p>
    <w:p>
      <w:pPr>
        <w:ind w:left="288" w:hanging="288"/>
      </w:pPr>
      <w:r>
        <w:t>• 资源初筛：识别值得进一步检测或试验的候选资源批次。</w:t>
      </w:r>
    </w:p>
    <w:p>
      <w:pPr>
        <w:ind w:left="288" w:hanging="288"/>
      </w:pPr>
      <w:r>
        <w:t>• 路径比较：比较适用的单金属回收、联合回收或其他资源化方案。</w:t>
      </w:r>
    </w:p>
    <w:p>
      <w:pPr>
        <w:ind w:left="288" w:hanging="288"/>
      </w:pPr>
      <w:r>
        <w:t>• 敏感性分析：观察价格、回收率和成本变化对方案排序的影响。</w:t>
      </w:r>
    </w:p>
    <w:p>
      <w:pPr>
        <w:ind w:left="288" w:hanging="288"/>
      </w:pPr>
      <w:r>
        <w:t>• 可行性约束：把缺失试验依据、处理限制与环境要求纳入评估。</w:t>
      </w:r>
    </w:p>
    <w:p>
      <w:pPr>
        <w:ind w:left="288" w:hanging="288"/>
      </w:pPr>
      <w:r>
        <w:t>• 项目优先级：提供评分构成及排序原因，支持团队安排后续验证。</w:t>
      </w:r>
    </w:p>
    <w:p>
      <w:pPr>
        <w:pStyle w:val="Heading2"/>
      </w:pPr>
      <w:r>
        <w:t>客户交付内容与使用方式</w:t>
      </w:r>
    </w:p>
    <w:p>
      <w:r>
        <w:t>建议交付资源输入清单、路径收入与成本比较、参数敏感性结果、优先级及进一步验证建议。例如某方案在价格下降或回收率降低时变为负值，客户可先确认关键参数，而不是直接安排大规模处理。</w:t>
      </w:r>
    </w:p>
    <w:p>
      <w:r>
        <w:t>建材、回填等路径只有在材料性能、环境要求和使用条件获得相应验证后才进入适用方案集。平台输出用于项目筛选，不替代冶金试验、工程设计或正式可行性研究。</w:t>
      </w:r>
    </w:p>
    <w:p>
      <w:r>
        <w:br w:type="page"/>
      </w:r>
    </w:p>
    <w:p>
      <w:pPr>
        <w:pStyle w:val="Heading1"/>
      </w:pPr>
      <w:r>
        <w:t>07 MetriX 智能取样机器人扩展</w:t>
      </w:r>
    </w:p>
    <w:p>
      <w:r>
        <w:t>MetriX Smart Sampling Rover 是拟与 QualityGuard AI 联动的现场硬件扩展。机器人承担可到达区域的图像采集、取样辅助和样本记录任务，将软件推荐与实际样本获取连接起来。上传的外观图展示了多轮底盘、视觉传感器、顶部扫描部件、机械臂、样本存放单元及紧急停止按钮等设计构想。</w:t>
      </w:r>
    </w:p>
    <w:p>
      <w:pPr>
        <w:keepNext/>
        <w:spacing w:line="240" w:lineRule="auto" w:after="60"/>
        <w:jc w:val="center"/>
      </w:pPr>
      <w:r>
        <w:drawing>
          <wp:inline xmlns:a="http://schemas.openxmlformats.org/drawingml/2006/main" xmlns:pic="http://schemas.openxmlformats.org/drawingml/2006/picture">
            <wp:extent cx="5303520" cy="2984816"/>
            <wp:docPr id="1" name="Picture 1"/>
            <wp:cNvGraphicFramePr>
              <a:graphicFrameLocks noChangeAspect="1"/>
            </wp:cNvGraphicFramePr>
            <a:graphic>
              <a:graphicData uri="http://schemas.openxmlformats.org/drawingml/2006/picture">
                <pic:pic>
                  <pic:nvPicPr>
                    <pic:cNvPr id="0" name="image(4).png"/>
                    <pic:cNvPicPr/>
                  </pic:nvPicPr>
                  <pic:blipFill>
                    <a:blip r:embed="rId10"/>
                    <a:stretch>
                      <a:fillRect/>
                    </a:stretch>
                  </pic:blipFill>
                  <pic:spPr>
                    <a:xfrm>
                      <a:off x="0" y="0"/>
                      <a:ext cx="5303520" cy="2984816"/>
                    </a:xfrm>
                    <a:prstGeom prst="rect"/>
                  </pic:spPr>
                </pic:pic>
              </a:graphicData>
            </a:graphic>
          </wp:inline>
        </w:drawing>
      </w:r>
    </w:p>
    <w:p>
      <w:pPr>
        <w:jc w:val="center"/>
      </w:pPr>
      <w:r>
        <w:rPr>
          <w:sz w:val="18"/>
        </w:rPr>
        <w:t>MetriX 智能取样机器人外观概念图</w:t>
      </w:r>
    </w:p>
    <w:p>
      <w:pPr>
        <w:pStyle w:val="Heading2"/>
      </w:pPr>
      <w:r>
        <w:t>拟承担的任务</w:t>
      </w:r>
    </w:p>
    <w:p>
      <w:r>
        <w:t>工作人员创建取样任务后，机器人在经过确认的可通行区域采集图像；QualityGuard AI 分析区域差异并提出取样建议。工作人员审核后，机器人或人工执行取样，将样本与任务编号、位置、时间及批次关联，随后送往适用检测环节。检测结果回填平台，供后续分析与验证。</w:t>
      </w:r>
    </w:p>
    <w:p>
      <w:pPr>
        <w:pStyle w:val="Heading2"/>
      </w:pPr>
      <w:r>
        <w:t>软硬件协作方式</w:t>
      </w:r>
    </w:p>
    <w:p>
      <w:r>
        <w:t>QualityGuard AI 负责分析与取样建议，机器人负责现场执行能力。二维码或其他样本标识方式拟用于降低记录错配；每次更换批次需考虑取样工具清洁、交叉污染、样本重量和容器容量。机器人也可仅承担数据采集，由工作人员完成取样。</w:t>
      </w:r>
    </w:p>
    <w:p>
      <w:pPr>
        <w:pStyle w:val="Heading2"/>
      </w:pPr>
      <w:r>
        <w:t>产品化路径</w:t>
      </w:r>
    </w:p>
    <w:p>
      <w:r>
        <w:t>建议先验证人工或遥控条件下的图像采集、机械取样和样本编号，再验证限定区域的导航与软件联动。地下矿山、高粉尘、陡坡或危险环境应用需另行完成适配与安全验证。续航、载重、坡度、防护等级、定位精度和通信方式尚不作为既定产品规格。</w:t>
      </w:r>
    </w:p>
    <w:p>
      <w:r>
        <w:br w:type="page"/>
      </w:r>
    </w:p>
    <w:p>
      <w:pPr>
        <w:pStyle w:val="Heading1"/>
      </w:pPr>
      <w:r>
        <w:t>08 目标客户与商业服务</w:t>
      </w:r>
    </w:p>
    <w:p>
      <w:pPr>
        <w:pStyle w:val="Heading2"/>
      </w:pPr>
      <w:r>
        <w:t>目标客户</w:t>
      </w:r>
    </w:p>
    <w:tbl>
      <w:tblPr>
        <w:tblW w:type="auto" w:w="0"/>
        <w:jc w:val="center"/>
        <w:tblLayout w:type="fixed"/>
        <w:tblLook w:firstColumn="1" w:firstRow="1" w:lastColumn="0" w:lastRow="0" w:noHBand="0" w:noVBand="1" w:val="04A0"/>
      </w:tblPr>
      <w:tblGrid>
        <w:gridCol w:w="2088"/>
        <w:gridCol w:w="4032"/>
        <w:gridCol w:w="4046"/>
      </w:tblGrid>
      <w:tr>
        <w:trPr>
          <w:tblHeader/>
          <w:cantSplit/>
        </w:trPr>
        <w:tc>
          <w:tcPr>
            <w:tcW w:type="dxa" w:w="2088"/>
            <w:vAlign w:val="center"/>
            <w:shd w:fill="DBE8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sz w:val="21"/>
              </w:rPr>
              <w:t>客户类型</w:t>
            </w:r>
          </w:p>
        </w:tc>
        <w:tc>
          <w:tcPr>
            <w:tcW w:type="dxa" w:w="4032"/>
            <w:vAlign w:val="center"/>
            <w:shd w:fill="DBE8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sz w:val="21"/>
              </w:rPr>
              <w:t>主要使用者</w:t>
            </w:r>
          </w:p>
        </w:tc>
        <w:tc>
          <w:tcPr>
            <w:tcW w:type="dxa" w:w="4046"/>
            <w:vAlign w:val="center"/>
            <w:shd w:fill="DBE8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sz w:val="21"/>
              </w:rPr>
              <w:t>优先场景</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矿山运营企业</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生产经理与调度员</w:t>
            </w:r>
          </w:p>
        </w:tc>
        <w:tc>
          <w:tcPr>
            <w:tcW w:type="dxa" w:w="404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MineFit 设备与运输安排</w:t>
            </w:r>
          </w:p>
        </w:tc>
      </w:tr>
      <w:tr>
        <w:trPr>
          <w:cantSplit/>
        </w:trPr>
        <w:tc>
          <w:tcPr>
            <w:tcW w:type="dxa" w:w="2088"/>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矿产品检测与质量机构</w:t>
            </w:r>
          </w:p>
        </w:tc>
        <w:tc>
          <w:tcPr>
            <w:tcW w:type="dxa" w:w="4032"/>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取样员与质量负责人</w:t>
            </w:r>
          </w:p>
        </w:tc>
        <w:tc>
          <w:tcPr>
            <w:tcW w:type="dxa" w:w="4046"/>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QualityGuard 取样覆盖与记录</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尾矿与固废资源化企业</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工艺工程师与项目经理</w:t>
            </w:r>
          </w:p>
        </w:tc>
        <w:tc>
          <w:tcPr>
            <w:tcW w:type="dxa" w:w="404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CircularMine 资源与路径初筛</w:t>
            </w:r>
          </w:p>
        </w:tc>
      </w:tr>
      <w:tr>
        <w:trPr>
          <w:cantSplit/>
        </w:trPr>
        <w:tc>
          <w:tcPr>
            <w:tcW w:type="dxa" w:w="2088"/>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矿产品贸易企业</w:t>
            </w:r>
          </w:p>
        </w:tc>
        <w:tc>
          <w:tcPr>
            <w:tcW w:type="dxa" w:w="4032"/>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采购与质量管理团队</w:t>
            </w:r>
          </w:p>
        </w:tc>
        <w:tc>
          <w:tcPr>
            <w:tcW w:type="dxa" w:w="4046"/>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经许可的批次取样及检测证据协作</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大型矿业集团</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信息部门与业务负责人</w:t>
            </w:r>
          </w:p>
        </w:tc>
        <w:tc>
          <w:tcPr>
            <w:tcW w:type="dxa" w:w="404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多模块集成及私有部署</w:t>
            </w:r>
          </w:p>
        </w:tc>
      </w:tr>
    </w:tbl>
    <w:p>
      <w:pPr>
        <w:spacing w:after="0"/>
      </w:pPr>
    </w:p>
    <w:p>
      <w:pPr>
        <w:pStyle w:val="Heading2"/>
      </w:pPr>
      <w:r>
        <w:t>拟提供的商业服务</w:t>
      </w:r>
    </w:p>
    <w:p>
      <w:pPr>
        <w:ind w:left="288" w:hanging="288"/>
      </w:pPr>
      <w:r>
        <w:t>• 模块化软件服务：按业务场景提供 MineFit、QualityGuard 或 CircularMine 模块及相应分析界面。</w:t>
      </w:r>
    </w:p>
    <w:p>
      <w:pPr>
        <w:ind w:left="288" w:hanging="288"/>
      </w:pPr>
      <w:r>
        <w:t>• 离线评估与试点服务：用历史数据或约定测试场景建立基线、验证决策逻辑，并交付结果报告。</w:t>
      </w:r>
    </w:p>
    <w:p>
      <w:pPr>
        <w:ind w:left="288" w:hanging="288"/>
      </w:pPr>
      <w:r>
        <w:t>• 模型定制服务：按矿种、设备、矿区条件和工艺参数调整数据处理、模型与评分规则。</w:t>
      </w:r>
    </w:p>
    <w:p>
      <w:pPr>
        <w:ind w:left="288" w:hanging="288"/>
      </w:pPr>
      <w:r>
        <w:t>• 数据整理与治理服务：统一单位、批次编码、位置标识和数据来源，处理缺失、重复与异常记录。</w:t>
      </w:r>
    </w:p>
    <w:p>
      <w:pPr>
        <w:ind w:left="288" w:hanging="288"/>
      </w:pPr>
      <w:r>
        <w:t>• 企业部署与系统集成：按协议对接调度、检测或资源管理系统，并设计客户要求的部署方式。</w:t>
      </w:r>
    </w:p>
    <w:p>
      <w:pPr>
        <w:ind w:left="288" w:hanging="288"/>
      </w:pPr>
      <w:r>
        <w:t>• 培训与运维服务：培训业务人员阅读建议、处理异常、复核结果；按约定提供维护和模型复评。</w:t>
      </w:r>
    </w:p>
    <w:p>
      <w:pPr>
        <w:ind w:left="288" w:hanging="288"/>
      </w:pPr>
      <w:r>
        <w:t>• 机器人与现场取样服务扩展：在硬件验证后，按适用场景提供机器人集成、租用或辅助取样服务。</w:t>
      </w:r>
    </w:p>
    <w:p>
      <w:pPr>
        <w:pStyle w:val="Heading2"/>
      </w:pPr>
      <w:r>
        <w:t>客户获得的成果</w:t>
      </w:r>
    </w:p>
    <w:p>
      <w:r>
        <w:t>软件服务交付账户与已验收模块，试点服务交付数据说明、基线对比和验证报告，定制服务交付配置及适用范围，集成服务交付接口与使用文档。机器人相关服务须单独明确适用环境、人员职责和验收项目。</w:t>
      </w:r>
    </w:p>
    <w:p>
      <w:r>
        <w:t>商业服务以客户实际业务为边界。各模块可独立采购，客户不必一次性改造整个矿山，也不必在试点前购买机器人。正式检验认证由具备相应能力的机构承担，MetriX AI 提供辅助分析与记录。</w:t>
      </w:r>
    </w:p>
    <w:p>
      <w:r>
        <w:br w:type="page"/>
      </w:r>
    </w:p>
    <w:p>
      <w:pPr>
        <w:pStyle w:val="Heading1"/>
      </w:pPr>
      <w:r>
        <w:t>09 产品组合与收入模式</w:t>
      </w:r>
    </w:p>
    <w:p>
      <w:r>
        <w:t>MetriX AI 采用先验证业务价值、再扩大使用范围的商业路径。产品组合围绕客户场景设计，以下为建议的服务包装，不代表已经开放销售的固定套餐。</w:t>
      </w:r>
    </w:p>
    <w:tbl>
      <w:tblPr>
        <w:tblW w:type="auto" w:w="0"/>
        <w:jc w:val="center"/>
        <w:tblLayout w:type="fixed"/>
        <w:tblLook w:firstColumn="1" w:firstRow="1" w:lastColumn="0" w:lastRow="0" w:noHBand="0" w:noVBand="1" w:val="04A0"/>
      </w:tblPr>
      <w:tblGrid>
        <w:gridCol w:w="2088"/>
        <w:gridCol w:w="4032"/>
        <w:gridCol w:w="4046"/>
      </w:tblGrid>
      <w:tr>
        <w:trPr>
          <w:tblHeader/>
          <w:cantSplit/>
        </w:trPr>
        <w:tc>
          <w:tcPr>
            <w:tcW w:type="dxa" w:w="2088"/>
            <w:vAlign w:val="center"/>
            <w:shd w:fill="DBE8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sz w:val="21"/>
              </w:rPr>
              <w:t>服务组合</w:t>
            </w:r>
          </w:p>
        </w:tc>
        <w:tc>
          <w:tcPr>
            <w:tcW w:type="dxa" w:w="4032"/>
            <w:vAlign w:val="center"/>
            <w:shd w:fill="DBE8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sz w:val="21"/>
              </w:rPr>
              <w:t>范围与适合客户</w:t>
            </w:r>
          </w:p>
        </w:tc>
        <w:tc>
          <w:tcPr>
            <w:tcW w:type="dxa" w:w="4046"/>
            <w:vAlign w:val="center"/>
            <w:shd w:fill="DBE8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sz w:val="21"/>
              </w:rPr>
              <w:t>收费设计</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场景验证方案</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单模块离线评估；适合首次验证价值的企业</w:t>
            </w:r>
          </w:p>
        </w:tc>
        <w:tc>
          <w:tcPr>
            <w:tcW w:type="dxa" w:w="404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项目评估费，按数据与交付范围报价</w:t>
            </w:r>
          </w:p>
        </w:tc>
      </w:tr>
      <w:tr>
        <w:trPr>
          <w:cantSplit/>
        </w:trPr>
        <w:tc>
          <w:tcPr>
            <w:tcW w:type="dxa" w:w="2088"/>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模块订阅方案</w:t>
            </w:r>
          </w:p>
        </w:tc>
        <w:tc>
          <w:tcPr>
            <w:tcW w:type="dxa" w:w="4032"/>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已验收模块、分析界面与标准支持；适合持续使用的业务团队</w:t>
            </w:r>
          </w:p>
        </w:tc>
        <w:tc>
          <w:tcPr>
            <w:tcW w:type="dxa" w:w="4046"/>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按模块、站点及约定容量订阅</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企业集成方案</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私有部署、接口、权限与定制；适合大型矿企</w:t>
            </w:r>
          </w:p>
        </w:tc>
        <w:tc>
          <w:tcPr>
            <w:tcW w:type="dxa" w:w="404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部署及集成费，加年度维护费</w:t>
            </w:r>
          </w:p>
        </w:tc>
      </w:tr>
      <w:tr>
        <w:trPr>
          <w:cantSplit/>
        </w:trPr>
        <w:tc>
          <w:tcPr>
            <w:tcW w:type="dxa" w:w="2088"/>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模型定制方案</w:t>
            </w:r>
          </w:p>
        </w:tc>
        <w:tc>
          <w:tcPr>
            <w:tcW w:type="dxa" w:w="4032"/>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特定矿种、设备或工艺的模型适配</w:t>
            </w:r>
          </w:p>
        </w:tc>
        <w:tc>
          <w:tcPr>
            <w:tcW w:type="dxa" w:w="4046"/>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一次性开发费及约定复评费用</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现场机器人扩展</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已验证硬件与取样流程；适合需要现场执行的客户</w:t>
            </w:r>
          </w:p>
        </w:tc>
        <w:tc>
          <w:tcPr>
            <w:tcW w:type="dxa" w:w="404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硬件销售或租赁，加服务与维护费</w:t>
            </w:r>
          </w:p>
        </w:tc>
      </w:tr>
    </w:tbl>
    <w:p>
      <w:pPr>
        <w:spacing w:after="0"/>
      </w:pPr>
    </w:p>
    <w:p>
      <w:pPr>
        <w:pStyle w:val="Heading2"/>
      </w:pPr>
      <w:r>
        <w:t>报价依据</w:t>
      </w:r>
    </w:p>
    <w:p>
      <w:r>
        <w:t>报价应由客户范围决定，包括模块数量、矿区或站点数量、设备数量、图像或任务处理量、历史数据质量、部署要求、接口复杂度、培训与支持级别。涉及机器人时，还需考虑工作环境、现场距离、人员与耗材。当前不设未经成本验证的价格或回报承诺。</w:t>
      </w:r>
    </w:p>
    <w:p>
      <w:pPr>
        <w:pStyle w:val="Heading2"/>
      </w:pPr>
      <w:r>
        <w:t>客户采购流程</w:t>
      </w:r>
    </w:p>
    <w:p>
      <w:pPr>
        <w:ind w:left="288" w:hanging="288"/>
      </w:pPr>
      <w:r>
        <w:t>1. 业务沟通：选择一个可以衡量的决策问题，明确用户与业务负责人。</w:t>
      </w:r>
    </w:p>
    <w:p>
      <w:pPr>
        <w:ind w:left="288" w:hanging="288"/>
      </w:pPr>
      <w:r>
        <w:t>2. 范围确认：约定数据来源、交付结果、部署条件和验收方法。</w:t>
      </w:r>
    </w:p>
    <w:p>
      <w:pPr>
        <w:ind w:left="288" w:hanging="288"/>
      </w:pPr>
      <w:r>
        <w:t>3. 开展试点：使用约定数据，与现有流程或规则进行公平比较。</w:t>
      </w:r>
    </w:p>
    <w:p>
      <w:pPr>
        <w:ind w:left="288" w:hanging="288"/>
      </w:pPr>
      <w:r>
        <w:t>4. 验收复核：说明效果、限制与需要补充的条件，决定是否进入正式服务。</w:t>
      </w:r>
    </w:p>
    <w:p>
      <w:pPr>
        <w:ind w:left="288" w:hanging="288"/>
      </w:pPr>
      <w:r>
        <w:t>5. 签约交付：确定订阅、部署或定制范围，并安排培训与支持。</w:t>
      </w:r>
    </w:p>
    <w:p>
      <w:pPr>
        <w:pStyle w:val="Heading2"/>
      </w:pPr>
      <w:r>
        <w:t>服务约定</w:t>
      </w:r>
    </w:p>
    <w:p>
      <w:r>
        <w:t>合同需明确数据与结果使用权、交付范围、试点验收、服务支持、退出与数据导出方式。订阅不自动包含现场硬件、实验室检测或无限定制开发；这些内容作为独立服务项报价。服务响应时间和系统可用性在具备运营能力后约定。</w:t>
      </w:r>
    </w:p>
    <w:p>
      <w:r>
        <w:br w:type="page"/>
      </w:r>
    </w:p>
    <w:p>
      <w:pPr>
        <w:pStyle w:val="Heading1"/>
      </w:pPr>
      <w:r>
        <w:t>10 数据架构与企业使用要求</w:t>
      </w:r>
    </w:p>
    <w:p>
      <w:pPr>
        <w:pStyle w:val="Heading2"/>
      </w:pPr>
      <w:r>
        <w:t>产品架构</w:t>
      </w:r>
    </w:p>
    <w:p>
      <w:r>
        <w:t>平台按数据层、模型层和应用层组织。数据层接收矿区、设备、图像、检测和成本信息；模型层分别执行图优化、聚类与取样辅助、经济评价；应用层展示地图、热力图、方案比较和报告。机器人联动属于后续现场执行接口，首阶段不要求直接控制矿山生产设备。</w:t>
      </w:r>
    </w:p>
    <w:p>
      <w:pPr>
        <w:pStyle w:val="Heading2"/>
      </w:pPr>
      <w:r>
        <w:t>数据输入方式</w:t>
      </w:r>
    </w:p>
    <w:p>
      <w:r>
        <w:t>试点建议先支持约定格式的表格、地图与图像导入，降低系统接入难度。实时设备数据、实验室系统和业务系统的接口根据客户条件开发。数据更新频率、时间戳与来源在界面中显示，离线数据产生的建议不称为实时调度。</w:t>
      </w:r>
    </w:p>
    <w:p>
      <w:pPr>
        <w:pStyle w:val="Heading2"/>
      </w:pPr>
      <w:r>
        <w:t>数据质量与模型管理</w:t>
      </w:r>
    </w:p>
    <w:p>
      <w:r>
        <w:t>产品化设计需记录数据来源、样本编号、单位、模型版本与参数版本，并检查缺失数据、单位不一致和异常输入。图像模型须使用与现场一致的采集条件进行验证；经济模型须记录价格日期及回收率来源。模型超出已验证矿种、设备或环境范围时，提示用户复核。</w:t>
      </w:r>
    </w:p>
    <w:p>
      <w:pPr>
        <w:pStyle w:val="Heading2"/>
      </w:pPr>
      <w:r>
        <w:t>人员权限与审核</w:t>
      </w:r>
    </w:p>
    <w:p>
      <w:r>
        <w:t>拟按管理员、业务分析员、现场操作员和审核者设置权限。现场人员可回填任务与样本信息，分析人员可配置参数，审核人员确认重要建议，管理员管理账户与项目。重要修改、数据导出和决策确认应保留操作记录。</w:t>
      </w:r>
    </w:p>
    <w:p>
      <w:pPr>
        <w:pStyle w:val="Heading2"/>
      </w:pPr>
      <w:r>
        <w:t>部署与客户数据</w:t>
      </w:r>
    </w:p>
    <w:p>
      <w:r>
        <w:t>云端订阅和企业私有部署是 PPT 提出的商业方向，具体技术实现需在产品化阶段验证。正式交付应根据客户要求配置传输保护、存储保护、备份恢复、访问管理和数据保留周期。客户数据用于模型训练或跨客户研究，须获得明确授权并约定使用范围。</w:t>
      </w:r>
    </w:p>
    <w:p>
      <w:pPr>
        <w:pStyle w:val="Heading2"/>
      </w:pPr>
      <w:r>
        <w:t>跨模块关联</w:t>
      </w:r>
    </w:p>
    <w:p>
      <w:r>
        <w:t>统一矿区、批次、样本和资源来源标识有助于把相关记录串联起来。尾矿数据必须来自对应尾矿的检测或适用试验，不能以原矿品位直接替代；同样，图像特征分区不能直接当成金属资源储量。平台应显示数据之间的关联依据。</w:t>
      </w:r>
    </w:p>
    <w:p>
      <w:r>
        <w:br w:type="page"/>
      </w:r>
    </w:p>
    <w:p>
      <w:pPr>
        <w:pStyle w:val="Heading1"/>
      </w:pPr>
      <w:r>
        <w:t>11 试点实施与效果验证</w:t>
      </w:r>
    </w:p>
    <w:p>
      <w:pPr>
        <w:pStyle w:val="Heading2"/>
      </w:pPr>
      <w:r>
        <w:t>实施方法</w:t>
      </w:r>
    </w:p>
    <w:p>
      <w:pPr>
        <w:ind w:left="288" w:hanging="288"/>
      </w:pPr>
      <w:r>
        <w:t>1. 场景诊断：明确客户当前问题、现有流程、业务边界与基线。</w:t>
      </w:r>
    </w:p>
    <w:p>
      <w:pPr>
        <w:ind w:left="288" w:hanging="288"/>
      </w:pPr>
      <w:r>
        <w:t>2. 数据准备：审核地图、设备参数、图像、样本或经济参数，标记模拟与真实数据。</w:t>
      </w:r>
    </w:p>
    <w:p>
      <w:pPr>
        <w:ind w:left="288" w:hanging="288"/>
      </w:pPr>
      <w:r>
        <w:t>3. 离线验证：在固定条件下比较现有方案和平台方案，保留可重复记录。</w:t>
      </w:r>
    </w:p>
    <w:p>
      <w:pPr>
        <w:ind w:left="288" w:hanging="288"/>
      </w:pPr>
      <w:r>
        <w:t>4. 专家复核：由调度、取样或工艺人员检查结果是否符合现场要求。</w:t>
      </w:r>
    </w:p>
    <w:p>
      <w:pPr>
        <w:ind w:left="288" w:hanging="288"/>
      </w:pPr>
      <w:r>
        <w:t>5. 小范围试点：在经过确认的范围内使用建议，回填实际表现与异常。</w:t>
      </w:r>
    </w:p>
    <w:p>
      <w:pPr>
        <w:ind w:left="288" w:hanging="288"/>
      </w:pPr>
      <w:r>
        <w:t>6. 交付验收：依据事先约定的指标决定是否继续，并明确适用范围与培训内容。</w:t>
      </w:r>
    </w:p>
    <w:p>
      <w:pPr>
        <w:pStyle w:val="Heading2"/>
      </w:pPr>
      <w:r>
        <w:t>模块验收指标</w:t>
      </w:r>
    </w:p>
    <w:tbl>
      <w:tblPr>
        <w:tblW w:type="auto" w:w="0"/>
        <w:jc w:val="center"/>
        <w:tblLayout w:type="fixed"/>
        <w:tblLook w:firstColumn="1" w:firstRow="1" w:lastColumn="0" w:lastRow="0" w:noHBand="0" w:noVBand="1" w:val="04A0"/>
      </w:tblPr>
      <w:tblGrid>
        <w:gridCol w:w="2088"/>
        <w:gridCol w:w="4032"/>
        <w:gridCol w:w="4046"/>
      </w:tblGrid>
      <w:tr>
        <w:trPr>
          <w:tblHeader/>
          <w:cantSplit/>
        </w:trPr>
        <w:tc>
          <w:tcPr>
            <w:tcW w:type="dxa" w:w="2088"/>
            <w:vAlign w:val="center"/>
            <w:shd w:fill="DBE8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sz w:val="21"/>
              </w:rPr>
              <w:t>模块</w:t>
            </w:r>
          </w:p>
        </w:tc>
        <w:tc>
          <w:tcPr>
            <w:tcW w:type="dxa" w:w="4032"/>
            <w:vAlign w:val="center"/>
            <w:shd w:fill="DBE8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sz w:val="21"/>
              </w:rPr>
              <w:t>主要指标</w:t>
            </w:r>
          </w:p>
        </w:tc>
        <w:tc>
          <w:tcPr>
            <w:tcW w:type="dxa" w:w="4046"/>
            <w:vAlign w:val="center"/>
            <w:shd w:fill="DBE8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sz w:val="21"/>
              </w:rPr>
              <w:t>验证方法</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MineFit AI</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总距离、任务时间、等待时间、利用率、能耗及约束违规</w:t>
            </w:r>
          </w:p>
        </w:tc>
        <w:tc>
          <w:tcPr>
            <w:tcW w:type="dxa" w:w="404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同一任务和运力条件下对比现有规则；现场测量与估计值分开</w:t>
            </w:r>
          </w:p>
        </w:tc>
      </w:tr>
      <w:tr>
        <w:trPr>
          <w:cantSplit/>
        </w:trPr>
        <w:tc>
          <w:tcPr>
            <w:tcW w:type="dxa" w:w="2088"/>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QualityGuard AI</w:t>
            </w:r>
          </w:p>
        </w:tc>
        <w:tc>
          <w:tcPr>
            <w:tcW w:type="dxa" w:w="4032"/>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取样误差、区域覆盖、样本量、复测差异及取样成本</w:t>
            </w:r>
          </w:p>
        </w:tc>
        <w:tc>
          <w:tcPr>
            <w:tcW w:type="dxa" w:w="4046"/>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与适用参考取样和检测结果对比；模拟真值与真实检测分开</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CircularMine AI</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计算一致性、试验回收率偏差、成本偏差与排序稳定性</w:t>
            </w:r>
          </w:p>
        </w:tc>
        <w:tc>
          <w:tcPr>
            <w:tcW w:type="dxa" w:w="404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与人工核算及适用试验数据比对，并测试参数变化</w:t>
            </w:r>
          </w:p>
        </w:tc>
      </w:tr>
      <w:tr>
        <w:trPr>
          <w:cantSplit/>
        </w:trPr>
        <w:tc>
          <w:tcPr>
            <w:tcW w:type="dxa" w:w="2088"/>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机器人扩展</w:t>
            </w:r>
          </w:p>
        </w:tc>
        <w:tc>
          <w:tcPr>
            <w:tcW w:type="dxa" w:w="4032"/>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定位与取样成功率、样本编号准确率、污染控制及异常停止</w:t>
            </w:r>
          </w:p>
        </w:tc>
        <w:tc>
          <w:tcPr>
            <w:tcW w:type="dxa" w:w="4046"/>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先在受控场地测试，再验证约定现场条件</w:t>
            </w:r>
          </w:p>
        </w:tc>
      </w:tr>
    </w:tbl>
    <w:p>
      <w:pPr>
        <w:spacing w:after="0"/>
      </w:pPr>
    </w:p>
    <w:p>
      <w:pPr>
        <w:pStyle w:val="Heading2"/>
      </w:pPr>
      <w:r>
        <w:t>项目已有的验证设计</w:t>
      </w:r>
    </w:p>
    <w:p>
      <w:r>
        <w:t>PPT 提出 MineFit 使用三个矿区、五台运输设备和八条道路模拟任务与路况变化；QualityGuard 使用带有不同矿石特征和模拟品位的矿堆验证取样；CircularMine 使用模拟尾矿案例验证价值计算。这些是测试设计，资料未提供已测得的改善比例、客户验收或真实矿山部署结果。</w:t>
      </w:r>
    </w:p>
    <w:p>
      <w:pPr>
        <w:pStyle w:val="Heading2"/>
      </w:pPr>
      <w:r>
        <w:t>验收后的成果</w:t>
      </w:r>
    </w:p>
    <w:p>
      <w:r>
        <w:t>建议交付数据字典、配置与模型版本、基线和对比结果、错误与异常案例、适用范围、使用说明及后续改进项。降低成本、提高代表性或提升资源价值等效果，以验收数据为依据对外表达。</w:t>
      </w:r>
    </w:p>
    <w:p>
      <w:r>
        <w:br w:type="page"/>
      </w:r>
    </w:p>
    <w:p>
      <w:pPr>
        <w:pStyle w:val="Heading1"/>
      </w:pPr>
      <w:r>
        <w:t>12 商业落地与产品发展路线</w:t>
      </w:r>
    </w:p>
    <w:p>
      <w:pPr>
        <w:pStyle w:val="Heading2"/>
      </w:pPr>
      <w:r>
        <w:t>优先进入的业务场景</w:t>
      </w:r>
    </w:p>
    <w:p>
      <w:r>
        <w:t>项目以广西的有色金属与关键金属产业为优先合作方向，寻找可以提供真实数据、专业反馈和明确验收问题的企业或机构。首个付费试点应选择数据条件较好、业务负责人明确的单一场景，避免三个模块同时承担未经验证的全流程交付。</w:t>
      </w:r>
    </w:p>
    <w:p>
      <w:r>
        <w:t>矿种拓展按数据与模型验证逐步推进。PPT 提及锡、锌、铜、铝和锰等场景，这些属于潜在适配方向，并不表示同一模型已经覆盖全部矿种。其他地区的推广也需要重新评估道路、设备、检测和资源处理条件。</w:t>
      </w:r>
    </w:p>
    <w:p>
      <w:pPr>
        <w:pStyle w:val="Heading2"/>
      </w:pPr>
      <w:r>
        <w:t>三年路线</w:t>
      </w:r>
    </w:p>
    <w:tbl>
      <w:tblPr>
        <w:tblW w:type="auto" w:w="0"/>
        <w:jc w:val="center"/>
        <w:tblLayout w:type="fixed"/>
        <w:tblLook w:firstColumn="1" w:firstRow="1" w:lastColumn="0" w:lastRow="0" w:noHBand="0" w:noVBand="1" w:val="04A0"/>
      </w:tblPr>
      <w:tblGrid>
        <w:gridCol w:w="2088"/>
        <w:gridCol w:w="4032"/>
        <w:gridCol w:w="4046"/>
      </w:tblGrid>
      <w:tr>
        <w:trPr>
          <w:tblHeader/>
          <w:cantSplit/>
        </w:trPr>
        <w:tc>
          <w:tcPr>
            <w:tcW w:type="dxa" w:w="2088"/>
            <w:vAlign w:val="center"/>
            <w:shd w:fill="DBE8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sz w:val="21"/>
              </w:rPr>
              <w:t>阶段</w:t>
            </w:r>
          </w:p>
        </w:tc>
        <w:tc>
          <w:tcPr>
            <w:tcW w:type="dxa" w:w="4032"/>
            <w:vAlign w:val="center"/>
            <w:shd w:fill="DBE8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sz w:val="21"/>
              </w:rPr>
              <w:t>主要工作</w:t>
            </w:r>
          </w:p>
        </w:tc>
        <w:tc>
          <w:tcPr>
            <w:tcW w:type="dxa" w:w="4046"/>
            <w:vAlign w:val="center"/>
            <w:shd w:fill="DBE8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sz w:val="21"/>
              </w:rPr>
              <w:t>进入下一阶段的依据</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2027 原型验证</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完成三个模块的可重复模拟；开展专家与学术合作</w:t>
            </w:r>
          </w:p>
        </w:tc>
        <w:tc>
          <w:tcPr>
            <w:tcW w:type="dxa" w:w="404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演示可复现，数据与算法边界明确</w:t>
            </w:r>
          </w:p>
        </w:tc>
      </w:tr>
      <w:tr>
        <w:trPr>
          <w:cantSplit/>
        </w:trPr>
        <w:tc>
          <w:tcPr>
            <w:tcW w:type="dxa" w:w="2088"/>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2028 行业概念验证</w:t>
            </w:r>
          </w:p>
        </w:tc>
        <w:tc>
          <w:tcPr>
            <w:tcW w:type="dxa" w:w="4032"/>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选择一个矿山、检测或资源化场景开展真实数据试点</w:t>
            </w:r>
          </w:p>
        </w:tc>
        <w:tc>
          <w:tcPr>
            <w:tcW w:type="dxa" w:w="4046"/>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获得业务复核与约定指标验证</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2029 模块商业扩展</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优先交付需求最强的模块，再拓展其他模块与企业部署</w:t>
            </w:r>
          </w:p>
        </w:tc>
        <w:tc>
          <w:tcPr>
            <w:tcW w:type="dxa" w:w="404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可重复交付、运维能力及客户持续使用证据</w:t>
            </w:r>
          </w:p>
        </w:tc>
      </w:tr>
    </w:tbl>
    <w:p>
      <w:pPr>
        <w:spacing w:after="0"/>
      </w:pPr>
    </w:p>
    <w:p>
      <w:pPr>
        <w:pStyle w:val="Heading2"/>
      </w:pPr>
      <w:r>
        <w:t>机器人发展路线</w:t>
      </w:r>
    </w:p>
    <w:p>
      <w:r>
        <w:t>机器人与软件路线分开验收。先验证机械取样、样本存放与记录，再验证受控环境移动与遥控操作，最后验证限定区域的导航和平台联动。只有硬件可靠性、现场适用性与取样质量满足约定条件后，才进入相应商业服务。</w:t>
      </w:r>
    </w:p>
    <w:p>
      <w:pPr>
        <w:pStyle w:val="Heading2"/>
      </w:pPr>
      <w:r>
        <w:t>差异化价值</w:t>
      </w:r>
    </w:p>
    <w:p>
      <w:r>
        <w:t>MetriX AI 的产品组合把运输决策、取样代表性和二次资源经济性放在同一个平台框架中。其差异化方向在于帮助不同岗位比较方案并追溯依据，同时允许客户按模块逐步采用。是否优于现有系统，需要通过客户场景和实际对比确认，不以未经证实的行业排名或竞品能力作为卖点。</w:t>
      </w:r>
    </w:p>
    <w:p>
      <w:pPr>
        <w:pStyle w:val="Heading2"/>
      </w:pPr>
      <w:r>
        <w:t>合作邀请</w:t>
      </w:r>
    </w:p>
    <w:p>
      <w:r>
        <w:t>我们欢迎具备业务场景与数据的矿山、检测机构和资源化企业，共同选择一个可衡量的问题，开展离线验证与小范围试点。合作从明确业务价值和数据条件开始，再依据验证结果决定产品交付与扩展范围。</w:t>
      </w:r>
    </w:p>
    <w:p>
      <w:r>
        <w:br w:type="page"/>
      </w:r>
    </w:p>
    <w:p>
      <w:pPr>
        <w:pStyle w:val="Heading1"/>
      </w:pPr>
      <w:r>
        <w:t>13 可直接使用的产品介绍文案</w:t>
      </w:r>
    </w:p>
    <w:p>
      <w:pPr>
        <w:pStyle w:val="Heading2"/>
      </w:pPr>
      <w:r>
        <w:t>中文正式产品介绍</w:t>
      </w:r>
    </w:p>
    <w:p>
      <w:r>
        <w:t>MetriX AI 是面向有色金属与关键金属产业的智能决策平台，围绕矿山生产、矿石质量验证与二次资源利用，帮助企业把分散的数据转化为有依据的行动建议。通过 MineFit AI、QualityGuard AI 与 CircularMine AI 三个模块，平台支持设备与路线优化、矿石异质性识别和自适应取样辅助，以及尾矿和副产物的利用价值比较。</w:t>
      </w:r>
    </w:p>
    <w:p>
      <w:r>
        <w:t>我们的宗旨是提高生产资源利用效率，提升质量判断的可靠性，并发现剩余资源的进一步利用潜力。MetriX AI 强调方案的可解释性、数据来源与人工复核，让客户了解推荐依据，并能比较不同条件下的结果。</w:t>
      </w:r>
    </w:p>
    <w:p>
      <w:r>
        <w:t>项目正处于原型与概念验证阶段，拟通过场景试点、模块订阅、企业部署、模型定制和系统集成逐步形成商业服务。智能取样机器人作为现场扩展方向，可在完成硬件与场景验证后连接图像采集、取样任务和样本记录。我们希望与行业伙伴从一个明确场景开始，用数据验证价值，再逐步扩大应用。</w:t>
      </w:r>
    </w:p>
    <w:p>
      <w:pPr>
        <w:pStyle w:val="Heading2"/>
      </w:pPr>
      <w:r>
        <w:t>一句话介绍</w:t>
      </w:r>
    </w:p>
    <w:p>
      <w:r>
        <w:t>MetriX AI 将矿山调度、取样辅助与二次资源价值评估连接起来，帮助企业用数据作出更有依据的矿业决策。</w:t>
      </w:r>
    </w:p>
    <w:p>
      <w:pPr>
        <w:pStyle w:val="Heading2"/>
      </w:pPr>
      <w:r>
        <w:t>官网简短介绍</w:t>
      </w:r>
    </w:p>
    <w:p>
      <w:r>
        <w:t>为矿业关键决策提供数据依据。MetriX AI 围绕设备调度、代表性取样与二次资源评估，帮助企业比较方案、理解风险并安排下一步行动。选择一个业务场景，先验证价值，再扩展应用。</w:t>
      </w:r>
    </w:p>
    <w:p>
      <w:pPr>
        <w:pStyle w:val="Heading2"/>
      </w:pPr>
      <w:r>
        <w:t>面向合作伙伴的介绍</w:t>
      </w:r>
    </w:p>
    <w:p>
      <w:r>
        <w:t>我们希望与矿山运营团队、检测机构和资源化企业共同开展场景验证。合作方提供约定范围的业务数据与专业反馈，MetriX AI 团队提供模块分析、对比测试与结果说明。双方以事先确定的指标评估试点效果，再决定是否进入持续服务或定制交付。</w:t>
      </w:r>
    </w:p>
    <w:p>
      <w:r>
        <w:br w:type="page"/>
      </w:r>
    </w:p>
    <w:p>
      <w:pPr>
        <w:pStyle w:val="Heading1"/>
      </w:pPr>
      <w:r>
        <w:t>14 English Product Introduction</w:t>
      </w:r>
    </w:p>
    <w:p>
      <w:pPr>
        <w:pStyle w:val="Heading2"/>
      </w:pPr>
      <w:r>
        <w:t>English Project Description</w:t>
      </w:r>
    </w:p>
    <w:p>
      <w:r>
        <w:t>MetriX AI is a modular decision-support platform for the non-ferrous and critical metals industries. It brings together operational, visual, laboratory and economic data to support three decisions: how to allocate mining equipment and plan transport, where to collect samples that better reflect ore variability, and which secondary resources merit further recovery assessment.</w:t>
      </w:r>
    </w:p>
    <w:p>
      <w:r>
        <w:t>MineFit AI supports equipment matching and route optimisation using task requirements, vehicle capacity, road conditions and operating constraints. QualityGuard AI analyses ore heterogeneity and recommends sampling coverage, while linking samples to their source batches and test results. CircularMine AI compares resource utilisation options using material quantities, measured grades, recovery assumptions, prices and processing costs.</w:t>
      </w:r>
    </w:p>
    <w:p>
      <w:r>
        <w:t>Our mission is to help mining businesses use resources more efficiently, strengthen the evidence behind quality decisions and identify opportunities for secondary resource utilisation. The project is at the prototype and proof-of-concept stage. Proposed commercial offerings include scoped pilots, module subscriptions, private deployment, model customisation and systems integration. A smart sampling rover is a planned hardware extension, subject to engineering and field validation. Recommendations remain subject to professional review and do not replace certified testing or metallurgical feasibility studies.</w:t>
      </w:r>
    </w:p>
    <w:p>
      <w:pPr>
        <w:pStyle w:val="Heading2"/>
      </w:pPr>
      <w:r>
        <w:t>英文宗旨</w:t>
      </w:r>
    </w:p>
    <w:p>
      <w:r>
        <w:t>To help mining businesses improve resource efficiency, strengthen the reliability of quality decisions and assess secondary resource opportunities through explainable, data-informed decision support.</w:t>
      </w:r>
    </w:p>
    <w:p>
      <w:pPr>
        <w:pStyle w:val="Heading2"/>
      </w:pPr>
      <w:r>
        <w:t>Proposed Services</w:t>
      </w:r>
    </w:p>
    <w:p>
      <w:r>
        <w:t>MetriX AI plans to offer scoped pilot evaluations, subscriptions to validated modules, client-specific model configuration, data preparation, enterprise deployment, systems integration, training and ongoing support. Rover-related field services will be offered only after the relevant hardware and operating conditions have been validated.</w:t>
      </w:r>
    </w:p>
    <w:p>
      <w:pPr>
        <w:pStyle w:val="Heading2"/>
      </w:pPr>
      <w:r>
        <w:t>Working with Industry Partners</w:t>
      </w:r>
    </w:p>
    <w:p>
      <w:r>
        <w:t>We invite mining operators, testing organisations and resource recovery businesses to start with a clearly defined use case. A pilot will establish the data requirements, compare recommendations with an agreed baseline and document the results and limitations before any wider deployment.</w:t>
      </w:r>
    </w:p>
    <w:p>
      <w:r>
        <w:br w:type="page"/>
      </w:r>
    </w:p>
    <w:p>
      <w:pPr>
        <w:pStyle w:val="Heading1"/>
      </w:pPr>
      <w:r>
        <w:t>15 产品范围与资料依据</w:t>
      </w:r>
    </w:p>
    <w:p>
      <w:pPr>
        <w:pStyle w:val="Heading2"/>
      </w:pPr>
      <w:r>
        <w:t>功能范围对照</w:t>
      </w:r>
    </w:p>
    <w:tbl>
      <w:tblPr>
        <w:tblW w:type="auto" w:w="0"/>
        <w:jc w:val="center"/>
        <w:tblLayout w:type="fixed"/>
        <w:tblLook w:firstColumn="1" w:firstRow="1" w:lastColumn="0" w:lastRow="0" w:noHBand="0" w:noVBand="1" w:val="04A0"/>
      </w:tblPr>
      <w:tblGrid>
        <w:gridCol w:w="2088"/>
        <w:gridCol w:w="4032"/>
        <w:gridCol w:w="4046"/>
      </w:tblGrid>
      <w:tr>
        <w:trPr>
          <w:tblHeader/>
          <w:cantSplit/>
        </w:trPr>
        <w:tc>
          <w:tcPr>
            <w:tcW w:type="dxa" w:w="2088"/>
            <w:vAlign w:val="center"/>
            <w:shd w:fill="DBE8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sz w:val="21"/>
              </w:rPr>
              <w:t>范围</w:t>
            </w:r>
          </w:p>
        </w:tc>
        <w:tc>
          <w:tcPr>
            <w:tcW w:type="dxa" w:w="4032"/>
            <w:vAlign w:val="center"/>
            <w:shd w:fill="DBE8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sz w:val="21"/>
              </w:rPr>
              <w:t>资料状态</w:t>
            </w:r>
          </w:p>
        </w:tc>
        <w:tc>
          <w:tcPr>
            <w:tcW w:type="dxa" w:w="4046"/>
            <w:vAlign w:val="center"/>
            <w:shd w:fill="DBE8F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sz w:val="21"/>
              </w:rPr>
              <w:t>商业表达</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三模块及核心决策逻辑</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PPT 已提出原型方案</w:t>
            </w:r>
          </w:p>
        </w:tc>
        <w:tc>
          <w:tcPr>
            <w:tcW w:type="dxa" w:w="404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产品核心方向；验证结果按实际测试提供</w:t>
            </w:r>
          </w:p>
        </w:tc>
      </w:tr>
      <w:tr>
        <w:trPr>
          <w:cantSplit/>
        </w:trPr>
        <w:tc>
          <w:tcPr>
            <w:tcW w:type="dxa" w:w="2088"/>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路线图、热力图、价值面板</w:t>
            </w:r>
          </w:p>
        </w:tc>
        <w:tc>
          <w:tcPr>
            <w:tcW w:type="dxa" w:w="4032"/>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PPT 提出的原型展示内容</w:t>
            </w:r>
          </w:p>
        </w:tc>
        <w:tc>
          <w:tcPr>
            <w:tcW w:type="dxa" w:w="4046"/>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交付范围需通过演示与验收确认</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代表性评分与价值评分</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PPT 提出指标但未给出完整验证</w:t>
            </w:r>
          </w:p>
        </w:tc>
        <w:tc>
          <w:tcPr>
            <w:tcW w:type="dxa" w:w="404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须定义算法、假设和参考数据</w:t>
            </w:r>
          </w:p>
        </w:tc>
      </w:tr>
      <w:tr>
        <w:trPr>
          <w:cantSplit/>
        </w:trPr>
        <w:tc>
          <w:tcPr>
            <w:tcW w:type="dxa" w:w="2088"/>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订阅、私有部署、定制、集成</w:t>
            </w:r>
          </w:p>
        </w:tc>
        <w:tc>
          <w:tcPr>
            <w:tcW w:type="dxa" w:w="4032"/>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PPT 提出的商业模式</w:t>
            </w:r>
          </w:p>
        </w:tc>
        <w:tc>
          <w:tcPr>
            <w:tcW w:type="dxa" w:w="4046"/>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拟提供服务；按能力建设与合同交付</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智能取样机器人</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上传图片为外观概念</w:t>
            </w:r>
          </w:p>
        </w:tc>
        <w:tc>
          <w:tcPr>
            <w:tcW w:type="dxa" w:w="404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规划中的硬件扩展</w:t>
            </w:r>
          </w:p>
        </w:tc>
      </w:tr>
      <w:tr>
        <w:trPr>
          <w:cantSplit/>
        </w:trPr>
        <w:tc>
          <w:tcPr>
            <w:tcW w:type="dxa" w:w="2088"/>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权限、审计、版本、数据导出与运维</w:t>
            </w:r>
          </w:p>
        </w:tc>
        <w:tc>
          <w:tcPr>
            <w:tcW w:type="dxa" w:w="4032"/>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商业产品化建议</w:t>
            </w:r>
          </w:p>
        </w:tc>
        <w:tc>
          <w:tcPr>
            <w:tcW w:type="dxa" w:w="4046"/>
            <w:vAlign w:val="center"/>
            <w:shd w:fill="F5F7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纳入需求与验收后交付</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预测性维护</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PPT 的需求背景与机会</w:t>
            </w:r>
          </w:p>
        </w:tc>
        <w:tc>
          <w:tcPr>
            <w:tcW w:type="dxa" w:w="404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300" w:lineRule="exact"/>
            </w:pPr>
            <w:r>
              <w:rPr>
                <w:b w:val="0"/>
                <w:sz w:val="21"/>
              </w:rPr>
              <w:t>后续研究方向，非首阶段核心交付</w:t>
            </w:r>
          </w:p>
        </w:tc>
      </w:tr>
    </w:tbl>
    <w:p>
      <w:pPr>
        <w:spacing w:after="0"/>
      </w:pPr>
    </w:p>
    <w:p>
      <w:pPr>
        <w:pStyle w:val="Heading2"/>
      </w:pPr>
      <w:r>
        <w:t>资料依据</w:t>
      </w:r>
    </w:p>
    <w:p>
      <w:r>
        <w:t>主要依据为项目演示资料 MetriX(1).pdf，共十八页，其中包含三项模块设计、原型验证方案、商业模式与 2027 至 2029 年发展路线。机器人外观参考为上传图片 image(4).png。资料中出现的 MineValue 名称在本产品介绍中统一为 MetriX AI。</w:t>
      </w:r>
    </w:p>
    <w:p>
      <w:r>
        <w:t>随附的铜浮选分类与回归研究，以及退役电池联邦学习分选研究，未直接作为 MetriX 当前功能或成果的证据。浮选工艺预测和联邦学习不列入本方案的首阶段核心模块。</w:t>
      </w:r>
    </w:p>
    <w:p>
      <w:pPr>
        <w:pStyle w:val="Heading2"/>
      </w:pPr>
      <w:r>
        <w:t>市场资料的使用</w:t>
      </w:r>
    </w:p>
    <w:p>
      <w:r>
        <w:t>项目 PPT 列有广西产业与政策背景来源。本介绍保留广西作为优先合作区域的定位，不将其中的市场规模数字、政策发布日期或潜在企业场景当作现有客户与合作成果。正式市场发布若引用这些数据，应核验原始出处及最新状态。</w:t>
      </w:r>
    </w:p>
    <w:p>
      <w:pPr>
        <w:pStyle w:val="Heading2"/>
      </w:pPr>
      <w:r>
        <w:t>对外发布与实际交付</w:t>
      </w:r>
    </w:p>
    <w:p>
      <w:r>
        <w:t>对外产品资料应根据实际进度更新原型、试点和商用状态，并采用已确认的功能、服务及验证结果。任何真实部署、性能指标、硬件规格、合作客户和认证信息，都以相应记录为依据。</w:t>
      </w:r>
    </w:p>
    <w:sectPr w:rsidR="00FC693F" w:rsidRPr="0006063C" w:rsidSect="00034616">
      <w:footerReference w:type="default" r:id="rId9"/>
      <w:pgSz w:w="12240" w:h="15840"/>
      <w:pgMar w:top="979" w:right="1037" w:bottom="936" w:left="1037" w:header="720" w:footer="432"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MetriX 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0" w:lineRule="exact" w:after="120"/>
      <w:snapToGrid w:val="0"/>
    </w:pPr>
    <w:rPr>
      <w:rFonts w:ascii="Noto Sans CJK SC" w:hAnsi="Noto Sans CJK SC" w:eastAsia="Noto Sans CJK SC" w:cs="Noto Sans CJK SC"/>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snapToGrid w:val="0"/>
    </w:pPr>
    <w:rPr>
      <w:rFonts w:asciiTheme="majorHAnsi" w:eastAsiaTheme="majorEastAsia" w:hAnsiTheme="majorHAnsi" w:cstheme="majorBidi" w:ascii="Noto Sans CJK SC" w:hAnsi="Noto Sans CJK SC" w:eastAsia="Noto Sans CJK SC" w:cs="Noto Sans CJK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snapToGrid w:val="0"/>
    </w:pPr>
    <w:rPr>
      <w:rFonts w:asciiTheme="majorHAnsi" w:eastAsiaTheme="majorEastAsia" w:hAnsiTheme="majorHAnsi" w:cstheme="majorBidi" w:ascii="Noto Sans CJK SC" w:hAnsi="Noto Sans CJK SC" w:eastAsia="Noto Sans CJK SC" w:cs="Noto Sans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snapToGrid w:val="0"/>
    </w:pPr>
    <w:rPr>
      <w:rFonts w:asciiTheme="majorHAnsi" w:eastAsiaTheme="majorEastAsia" w:hAnsiTheme="majorHAnsi" w:cstheme="majorBidi" w:ascii="Noto Sans CJK SC" w:hAnsi="Noto Sans CJK SC" w:eastAsia="Noto Sans CJK SC" w:cs="Noto Sans CJK SC"/>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snapToGrid w:val="0"/>
    </w:pPr>
    <w:rPr>
      <w:rFonts w:asciiTheme="majorHAnsi" w:eastAsiaTheme="majorEastAsia" w:hAnsiTheme="majorHAnsi" w:cstheme="majorBidi" w:ascii="Noto Sans CJK SC" w:hAnsi="Noto Sans CJK SC" w:eastAsia="Noto Sans CJK SC" w:cs="Noto Sans CJK SC"/>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spacing w:line="340" w:lineRule="exact" w:after="120"/>
      <w:contextualSpacing/>
      <w:snapToGrid w:val="0"/>
    </w:pPr>
    <w:rPr>
      <w:rFonts w:ascii="Noto Sans CJK SC" w:hAnsi="Noto Sans CJK SC" w:eastAsia="Noto Sans CJK SC" w:cs="Noto Sans CJK SC"/>
      <w:b w:val="0"/>
      <w:color w:val="000000"/>
      <w:sz w:val="22"/>
    </w:r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spacing w:line="340" w:lineRule="exact" w:after="120"/>
      <w:contextualSpacing/>
      <w:snapToGrid w:val="0"/>
    </w:pPr>
    <w:rPr>
      <w:rFonts w:ascii="Noto Sans CJK SC" w:hAnsi="Noto Sans CJK SC" w:eastAsia="Noto Sans CJK SC" w:cs="Noto Sans CJK SC"/>
      <w:b w:val="0"/>
      <w:color w:val="000000"/>
      <w:sz w:val="22"/>
    </w:r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snapToGrid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snapToGrid w:val="0"/>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snapToGrid w:val="0"/>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snapToGrid w:val="0"/>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snapToGrid w:val="0"/>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snapToGrid w:val="0"/>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snapToGrid w:val="0"/>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snapToGrid w:val="0"/>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snapToGrid w:val="0"/>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snapToGrid w:val="0"/>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snapToGrid w:val="0"/>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snapToGrid w:val="0"/>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snapToGrid w:val="0"/>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snapToGrid w:val="0"/>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snapToGrid w:val="0"/>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snapToGrid w:val="0"/>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snapToGrid w:val="0"/>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snapToGrid w:val="0"/>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snapToGrid w:val="0"/>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snapToGrid w:val="0"/>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snapToGrid w:val="0"/>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snapToGrid w:val="0"/>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snapToGrid w:val="0"/>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snapToGrid w:val="0"/>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snapToGrid w:val="0"/>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snapToGrid w:val="0"/>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snapToGrid w:val="0"/>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snapToGrid w:val="0"/>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snapToGrid w:val="0"/>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snapToGrid w:val="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snapToGrid w:val="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snapToGrid w:val="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snapToGrid w:val="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snapToGrid w:val="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snapToGrid w:val="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snapToGrid w:val="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snapToGrid w:val="0"/>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snapToGrid w:val="0"/>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snapToGrid w:val="0"/>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snapToGrid w:val="0"/>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snapToGrid w:val="0"/>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snapToGrid w:val="0"/>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snapToGrid w:val="0"/>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snapToGrid w:val="0"/>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snapToGrid w:val="0"/>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snapToGrid w:val="0"/>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snapToGrid w:val="0"/>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snapToGrid w:val="0"/>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snapToGrid w:val="0"/>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snapToGrid w:val="0"/>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snapToGrid w:val="0"/>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snapToGrid w:val="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snapToGrid w:val="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snapToGrid w:val="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snapToGrid w:val="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snapToGrid w:val="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snapToGrid w:val="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snapToGrid w:val="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snapToGrid w:val="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snapToGrid w:val="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snapToGrid w:val="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snapToGrid w:val="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snapToGrid w:val="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snapToGrid w:val="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snapToGrid w:val="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snapToGrid w:val="0"/>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snapToGrid w:val="0"/>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snapToGrid w:val="0"/>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snapToGrid w:val="0"/>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snapToGrid w:val="0"/>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snapToGrid w:val="0"/>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snapToGrid w:val="0"/>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snapToGrid w:val="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snapToGrid w:val="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snapToGrid w:val="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snapToGrid w:val="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snapToGrid w:val="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snapToGrid w:val="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snapToGrid w:val="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snapToGrid w:val="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snapToGrid w:val="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snapToGrid w:val="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snapToGrid w:val="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snapToGrid w:val="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snapToGrid w:val="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snapToGrid w:val="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MetriX AI 产品介绍与商业服务方案</dc:title>
  <dc:subject>MetriX AI 项目描述 宗旨 产品模块与商业服务</dc:subject>
  <dc:creator>MetriX AI</dc:creator>
  <cp:keywords/>
  <dc:description>generated by python-docx</dc:description>
  <cp:lastModifiedBy/>
  <cp:revision>1</cp:revision>
  <dcterms:created xsi:type="dcterms:W3CDTF">2013-12-23T23:15:00Z</dcterms:created>
  <dcterms:modified xsi:type="dcterms:W3CDTF">2013-12-23T23:15:00Z</dcterms:modified>
  <cp:category/>
</cp:coreProperties>
</file>