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AI-Based Traffic Sign Detection, Localization and Map Dashboard System</w:t>
      </w:r>
    </w:p>
    <w:p>
      <w:pPr>
        <w:pStyle w:val="Heading3"/>
      </w:pPr>
      <w:r>
        <w:t>Project Report (Final)</w:t>
      </w:r>
    </w:p>
    <w:p>
      <w:pPr>
        <w:pStyle w:val="IntenseQuote"/>
      </w:pPr>
      <w:r>
        <w:t xml:space="preserve">Submission-ready report. Citation labels </w:t>
      </w:r>
      <w:r>
        <w:rPr>
          <w:rFonts w:ascii="Courier New" w:hAnsi="Courier New"/>
          <w:sz w:val="19"/>
        </w:rPr>
        <w:t>[n]</w:t>
      </w:r>
      <w:r>
        <w:t xml:space="preserve"> refer to </w:t>
      </w:r>
      <w:r>
        <w:rPr>
          <w:rFonts w:ascii="Courier New" w:hAnsi="Courier New"/>
          <w:sz w:val="19"/>
        </w:rPr>
        <w:t>REFERENCES_FINAL.md</w:t>
      </w:r>
      <w:r>
        <w:t>.</w:t>
      </w:r>
    </w:p>
    <w:p>
      <w:pPr>
        <w:pStyle w:val="IntenseQuote"/>
      </w:pPr>
      <w:r>
        <w:t xml:space="preserve">All technical claims reflect the actual repository (migrations </w:t>
      </w:r>
      <w:r>
        <w:rPr>
          <w:rFonts w:ascii="Courier New" w:hAnsi="Courier New"/>
          <w:sz w:val="19"/>
        </w:rPr>
        <w:t>0001</w:t>
      </w:r>
      <w:r>
        <w:t>–</w:t>
      </w:r>
      <w:r>
        <w:rPr>
          <w:rFonts w:ascii="Courier New" w:hAnsi="Courier New"/>
          <w:sz w:val="19"/>
        </w:rPr>
        <w:t>0006</w:t>
      </w:r>
      <w:r>
        <w:t>, the</w:t>
      </w:r>
    </w:p>
    <w:p>
      <w:pPr>
        <w:pStyle w:val="IntenseQuote"/>
      </w:pPr>
      <w:r>
        <w:rPr>
          <w:rFonts w:ascii="Courier New" w:hAnsi="Courier New"/>
          <w:sz w:val="19"/>
        </w:rPr>
        <w:t>src/</w:t>
      </w:r>
      <w:r>
        <w:t xml:space="preserve"> codebase, and the Playwright E2E suite). The detection model is external and is</w:t>
      </w:r>
    </w:p>
    <w:p>
      <w:pPr>
        <w:pStyle w:val="IntenseQuote"/>
      </w:pPr>
      <w:r>
        <w:t>not trained or benchmarked in this project; no detection-accuracy or benchmark numbers</w:t>
      </w:r>
    </w:p>
    <w:p>
      <w:pPr>
        <w:pStyle w:val="IntenseQuote"/>
      </w:pPr>
      <w:r>
        <w:t>are claimed. Demo counts cited in §17 are representative seeded-dataset counts, not</w:t>
      </w:r>
    </w:p>
    <w:p>
      <w:pPr>
        <w:pStyle w:val="IntenseQuote"/>
      </w:pPr>
      <w:r>
        <w:t>performance measurements.</w:t>
      </w:r>
    </w:p>
    <w:p>
      <w:pPr>
        <w:pStyle w:val="Heading2"/>
      </w:pPr>
      <w:r>
        <w:t>Abstract</w:t>
      </w:r>
    </w:p>
    <w:p>
      <w:r>
        <w:t>This project presents a web platform that converts raw, per-frame traffic-sign</w:t>
      </w:r>
    </w:p>
    <w:p>
      <w:r>
        <w:t>detections produced by an external computer-vision model into a structured,</w:t>
      </w:r>
    </w:p>
    <w:p>
      <w:r>
        <w:t>location-aware, deduplicated, and reviewable traffic-sign inventory visualised on an</w:t>
      </w:r>
    </w:p>
    <w:p>
      <w:r>
        <w:t>interactive map. Field devices capture camera frames together with GPS metadata; an</w:t>
      </w:r>
    </w:p>
    <w:p>
      <w:r>
        <w:t>external (or, for development and demonstration, a deterministic mock) detector returns</w:t>
      </w:r>
    </w:p>
    <w:p>
      <w:r>
        <w:t>sign detections; and the backend persists every detection, consolidates repeated</w:t>
      </w:r>
    </w:p>
    <w:p>
      <w:r>
        <w:t>observations of the same physical sign through a distance- and confidence-weighted</w:t>
      </w:r>
    </w:p>
    <w:p>
      <w:r>
        <w:t>localisation method, and exposes maps, analytics, review workflows, and operational</w:t>
      </w:r>
    </w:p>
    <w:p>
      <w:r>
        <w:t>tooling to administrators. The detection model is deliberately treated as an external</w:t>
      </w:r>
    </w:p>
    <w:p>
      <w:r>
        <w:t>inference service; the contribution of this work is the surrounding platform —</w:t>
      </w:r>
    </w:p>
    <w:p>
      <w:r>
        <w:t>integration, geolocation fusion, duplicate filtering, secure media delivery,</w:t>
      </w:r>
    </w:p>
    <w:p>
      <w:r>
        <w:t>observability, and data-lifecycle management. The system is implemented with Next.js 14</w:t>
      </w:r>
    </w:p>
    <w:p>
      <w:r>
        <w:t>(App Router) [10], TypeScript, Tailwind CSS, and Supabase (Authentication, PostgreSQL,</w:t>
      </w:r>
    </w:p>
    <w:p>
      <w:r>
        <w:t>and Storage) [11]. It was validated against a real Supabase backend with migrations</w:t>
      </w:r>
    </w:p>
    <w:p>
      <w:r>
        <w:rPr>
          <w:rFonts w:ascii="Courier New" w:hAnsi="Courier New"/>
          <w:sz w:val="19"/>
        </w:rPr>
        <w:t>0001</w:t>
      </w:r>
      <w:r>
        <w:t>–</w:t>
      </w:r>
      <w:r>
        <w:rPr>
          <w:rFonts w:ascii="Courier New" w:hAnsi="Courier New"/>
          <w:sz w:val="19"/>
        </w:rPr>
        <w:t>0006</w:t>
      </w:r>
      <w:r>
        <w:t xml:space="preserve"> applied, a private storage bucket, an administrator account, successful</w:t>
      </w:r>
    </w:p>
    <w:p>
      <w:r>
        <w:t>demo-data seeding, an end-to-end (E2E) test suite passing 24 of 24 cases, and a clean</w:t>
      </w:r>
    </w:p>
    <w:p>
      <w:r>
        <w:t>lint, type-check, and production build.</w:t>
      </w:r>
    </w:p>
    <w:p>
      <w:pPr>
        <w:pStyle w:val="Heading2"/>
      </w:pPr>
      <w:r>
        <w:t>1. Introduction</w:t>
      </w:r>
    </w:p>
    <w:p>
      <w:r>
        <w:t>Road safety remains a major global public-health concern [14], and accurate road-asset</w:t>
      </w:r>
    </w:p>
    <w:p>
      <w:r>
        <w:t>information — including an up-to-date inventory of traffic signs — supports infrastructure</w:t>
      </w:r>
    </w:p>
    <w:p>
      <w:r>
        <w:t>maintenance and planning. Building such an inventory manually is slow and error-prone.</w:t>
      </w:r>
    </w:p>
    <w:p>
      <w:r>
        <w:t>Automatic traffic-sign detection and recognition from imagery have therefore been studied</w:t>
      </w:r>
    </w:p>
    <w:p>
      <w:r>
        <w:t>extensively [1], [2], and modern object detectors — for example YOLO [3], Faster R-CNN</w:t>
      </w:r>
    </w:p>
    <w:p>
      <w:r>
        <w:t>[4], and SSD [5] — can localise and classify signs in images. However, a raw stream of</w:t>
      </w:r>
    </w:p>
    <w:p>
      <w:r>
        <w:t>per-frame detections is not itself an inventory: the same physical sign is detected</w:t>
      </w:r>
    </w:p>
    <w:p>
      <w:r>
        <w:t>repeatedly, GPS readings vary, and confidence fluctuates. This project addresses the gap</w:t>
      </w:r>
    </w:p>
    <w:p>
      <w:r>
        <w:t xml:space="preserve">between </w:t>
      </w:r>
      <w:r>
        <w:rPr>
          <w:i/>
        </w:rPr>
        <w:t>detection</w:t>
      </w:r>
      <w:r>
        <w:t xml:space="preserve"> and a </w:t>
      </w:r>
      <w:r>
        <w:rPr>
          <w:i/>
        </w:rPr>
        <w:t>usable inventory</w:t>
      </w:r>
      <w:r>
        <w:t xml:space="preserve"> by building an end-to-end web system that</w:t>
      </w:r>
    </w:p>
    <w:p>
      <w:r>
        <w:t>ingests detections, fuses them with geolocation, removes duplicates, and presents a</w:t>
      </w:r>
    </w:p>
    <w:p>
      <w:r>
        <w:t>verified, queryable map.</w:t>
      </w:r>
    </w:p>
    <w:p>
      <w:pPr>
        <w:pStyle w:val="Heading2"/>
      </w:pPr>
      <w:r>
        <w:t>2. Problem Definition</w:t>
      </w:r>
    </w:p>
    <w:p>
      <w:r>
        <w:t>Given a stream of camera frames with GPS metadata and an external detector that returns,</w:t>
      </w:r>
    </w:p>
    <w:p>
      <w:r>
        <w:t>per detection, a class, a confidence value, and a bounding box, the system must produce</w:t>
      </w:r>
    </w:p>
    <w:p>
      <w:r>
        <w:t>and maintain a single, deduplicated, location-refined, and reviewable record for each</w:t>
      </w:r>
    </w:p>
    <w:p>
      <w:r>
        <w:t>physical sign, while preserving the complete raw detection history for audit. Secondary</w:t>
      </w:r>
    </w:p>
    <w:p>
      <w:r>
        <w:t>requirements include authentication and authorisation, private media delivery,</w:t>
      </w:r>
    </w:p>
    <w:p>
      <w:r>
        <w:t>operational observability, and reproducible demonstration.</w:t>
      </w:r>
    </w:p>
    <w:p>
      <w:pPr>
        <w:pStyle w:val="Heading2"/>
      </w:pPr>
      <w:r>
        <w:t>3. Project Motivation</w:t>
      </w:r>
    </w:p>
    <w:p>
      <w:r>
        <w:t>The project aims to (i) transform a noisy detection stream into decision-ready data;</w:t>
      </w:r>
    </w:p>
    <w:p>
      <w:r>
        <w:t>(ii) demonstrate a realistic, production-shaped architecture — external model service,</w:t>
      </w:r>
    </w:p>
    <w:p>
      <w:r>
        <w:t>row-level security, signed media, observability, and scheduled maintenance — rather than</w:t>
      </w:r>
    </w:p>
    <w:p>
      <w:r>
        <w:t>a minimal prototype; and (iii) provide a defensible, full-stack academic artefact</w:t>
      </w:r>
    </w:p>
    <w:p>
      <w:r>
        <w:t>spanning web engineering, data modelling, geospatial processing, and operational</w:t>
      </w:r>
    </w:p>
    <w:p>
      <w:r>
        <w:t>governance.</w:t>
      </w:r>
    </w:p>
    <w:p>
      <w:pPr>
        <w:pStyle w:val="Heading2"/>
      </w:pPr>
      <w:r>
        <w:t>4. System Requirements</w:t>
      </w:r>
    </w:p>
    <w:p>
      <w:r>
        <w:rPr>
          <w:b/>
        </w:rPr>
        <w:t>Functional requirements:</w:t>
      </w:r>
      <w:r>
        <w:t xml:space="preserve"> authentication and roles; device registration;</w:t>
      </w:r>
    </w:p>
    <w:p>
      <w:r>
        <w:t>camera/GPS detection sessions; AI integration through a defined contract; persistence of</w:t>
      </w:r>
    </w:p>
    <w:p>
      <w:r>
        <w:t>raw detection events; duplicate grouping and location refinement; sign and device maps;</w:t>
      </w:r>
    </w:p>
    <w:p>
      <w:r>
        <w:t>administrative review, logs, user and device management; AI health, self-test, and</w:t>
      </w:r>
    </w:p>
    <w:p>
      <w:r>
        <w:t>observability; analytics with durable daily snapshots; storage governance; demo seeding;</w:t>
      </w:r>
    </w:p>
    <w:p>
      <w:r>
        <w:t>and a presentation mode.</w:t>
      </w:r>
    </w:p>
    <w:p>
      <w:r>
        <w:rPr>
          <w:b/>
        </w:rPr>
        <w:t>Non-functional requirements:</w:t>
      </w:r>
      <w:r>
        <w:t xml:space="preserve"> security (authentication, row-level security, private</w:t>
      </w:r>
    </w:p>
    <w:p>
      <w:r>
        <w:t>storage with signed URLs [11], [12], and server-only secrets); reliability (request</w:t>
      </w:r>
    </w:p>
    <w:p>
      <w:r>
        <w:t>timeout, bounded retry, and response validation in the AI layer); observability (an</w:t>
      </w:r>
    </w:p>
    <w:p>
      <w:r>
        <w:t>audit log and administrative dashboards); maintainability (typed code, ordered</w:t>
      </w:r>
    </w:p>
    <w:p>
      <w:r>
        <w:t>migrations, and automated smoke tests); and demonstrability.</w:t>
      </w:r>
    </w:p>
    <w:p>
      <w:r>
        <w:rPr>
          <w:b/>
        </w:rPr>
        <w:t>Actors:</w:t>
      </w:r>
      <w:r>
        <w:t xml:space="preserve"> the field user, the administrator, the external AI model service, and the</w:t>
      </w:r>
    </w:p>
    <w:p>
      <w:r>
        <w:t>scheduler/cron caller.</w:t>
      </w:r>
    </w:p>
    <w:p>
      <w:pPr>
        <w:pStyle w:val="Heading2"/>
      </w:pPr>
      <w:r>
        <w:t>5. Related Work</w:t>
      </w:r>
    </w:p>
    <w:p>
      <w:r>
        <w:t>Automatic traffic-sign recognition and detection are established research areas, with</w:t>
      </w:r>
    </w:p>
    <w:p>
      <w:r>
        <w:t>public benchmarks such as the German Traffic Sign Recognition Benchmark [1] and the</w:t>
      </w:r>
    </w:p>
    <w:p>
      <w:r>
        <w:t>German Traffic Sign Detection Benchmark [2], and with general-purpose detectors such as</w:t>
      </w:r>
    </w:p>
    <w:p>
      <w:r>
        <w:t>YOLO [3], Faster R-CNN [4], and SSD [5] frequently applied to the task. The duplicate-</w:t>
      </w:r>
    </w:p>
    <w:p>
      <w:r>
        <w:t>consolidation problem addressed here is conceptually related to density-based spatial</w:t>
      </w:r>
    </w:p>
    <w:p>
      <w:r>
        <w:t>clustering [7], which groups nearby points and isolates noise. Human-in-the-loop review</w:t>
      </w:r>
    </w:p>
    <w:p>
      <w:r>
        <w:t>of machine-learning outputs — reflected in this project's administrative verification</w:t>
      </w:r>
    </w:p>
    <w:p>
      <w:r>
        <w:t>workflow — is a recognised approach for improving the operational quality of model</w:t>
      </w:r>
    </w:p>
    <w:p>
      <w:r>
        <w:t>outputs [16]. A detailed comparative survey is left as future work.</w:t>
      </w:r>
    </w:p>
    <w:p>
      <w:pPr>
        <w:pStyle w:val="Heading2"/>
      </w:pPr>
      <w:r>
        <w:t>6. System Architecture</w:t>
      </w:r>
    </w:p>
    <w:p>
      <w:r>
        <w:t xml:space="preserve">The application uses the Next.js App Router [10] with a </w:t>
      </w:r>
      <w:r>
        <w:rPr>
          <w:rFonts w:ascii="Courier New" w:hAnsi="Courier New"/>
          <w:sz w:val="19"/>
        </w:rPr>
        <w:t>(protected)</w:t>
      </w:r>
      <w:r>
        <w:t xml:space="preserve"> route group whose</w:t>
      </w:r>
    </w:p>
    <w:p>
      <w:r>
        <w:t>server layout re-checks the session (a defence-in-depth measure behind middleware) and</w:t>
      </w:r>
    </w:p>
    <w:p>
      <w:r>
        <w:t>renders a role-aware navigation sidebar. Server Components and Route Handlers execute on</w:t>
      </w:r>
    </w:p>
    <w:p>
      <w:r>
        <w:t>the server, while client components handle interactivity (camera, maps, tables, forms)</w:t>
      </w:r>
    </w:p>
    <w:p>
      <w:r>
        <w:t>and communicate with Route Handlers over HTTP. The server operates in two trust tiers:</w:t>
      </w:r>
    </w:p>
    <w:p>
      <w:pPr>
        <w:pStyle w:val="ListBullet"/>
      </w:pPr>
      <w:r>
        <w:t xml:space="preserve">a </w:t>
      </w:r>
      <w:r>
        <w:rPr>
          <w:b/>
        </w:rPr>
        <w:t>row-level-security (RLS) client</w:t>
      </w:r>
      <w:r>
        <w:t xml:space="preserve"> bound to the user's session for user-scoped</w:t>
      </w:r>
    </w:p>
    <w:p>
      <w:r>
        <w:t>reads [12]; and</w:t>
      </w:r>
    </w:p>
    <w:p>
      <w:pPr>
        <w:pStyle w:val="ListBullet"/>
      </w:pPr>
      <w:r>
        <w:t xml:space="preserve">a </w:t>
      </w:r>
      <w:r>
        <w:rPr>
          <w:b/>
        </w:rPr>
        <w:t>service-role client</w:t>
      </w:r>
      <w:r>
        <w:t>, used only on the server for trusted writes and</w:t>
      </w:r>
    </w:p>
    <w:p>
      <w:r>
        <w:t>administrative/analytics database functions, and always after an explicit</w:t>
      </w:r>
    </w:p>
    <w:p>
      <w:r>
        <w:t>authentication and role check.</w:t>
      </w:r>
    </w:p>
    <w:p>
      <w:r>
        <w:rPr>
          <w:rFonts w:ascii="Courier New" w:hAnsi="Courier New"/>
          <w:sz w:val="18"/>
        </w:rPr>
        <w:t>Field user (browser)            Next.js server (Route Handlers)        Supabase</w:t>
        <w:br/>
        <w:t xml:space="preserve">  camera + GPS ──frame+meta──▶  /api/detection/frame</w:t>
        <w:br/>
        <w:t xml:space="preserve">                                 1 upload frame ───────────────────▶  Storage (private)</w:t>
        <w:br/>
        <w:t xml:space="preserve">                                 2 sign short-lived URL</w:t>
        <w:br/>
        <w:t xml:space="preserve">                                 3 call AI (mock|external|auto) ◀──▶  External AI API</w:t>
        <w:br/>
        <w:t xml:space="preserve">                                 4 validate + normalise</w:t>
        <w:br/>
        <w:t xml:space="preserve">                                 5 insert detection_events ─────────▶  PostgreSQL</w:t>
        <w:br/>
        <w:t xml:space="preserve">                                 6 group → traffic_signs ───────────▶  PostgreSQL</w:t>
        <w:br/>
        <w:t xml:space="preserve">                                 7 system_logs (safe metadata) ─────▶  PostgreSQL</w:t>
        <w:br/>
        <w:t xml:space="preserve">  dashboard / maps / admin ◀──── server components + APIs + RPCs ◀──  PostgreSQL (RLS)</w:t>
      </w:r>
    </w:p>
    <w:p>
      <w:pPr>
        <w:pStyle w:val="Heading2"/>
      </w:pPr>
      <w:r>
        <w:t>7. Technology Stack</w:t>
      </w:r>
    </w:p>
    <w:p>
      <w:r>
        <w:t>The platform is built with Next.js 14 (App Router) [10], TypeScript, and Tailwind CSS on</w:t>
      </w:r>
    </w:p>
    <w:p>
      <w:r>
        <w:t>the frontend; Supabase (Authentication, PostgreSQL, Storage, and row-level security)</w:t>
      </w:r>
    </w:p>
    <w:p>
      <w:r>
        <w:t>[11], [12] on the backend; Leaflet with OpenStreetMap tiles for mapping [8], [9]; and</w:t>
      </w:r>
    </w:p>
    <w:p>
      <w:r>
        <w:t>Playwright for end-to-end testing. Charts are rendered with lightweight Tailwind/SVG</w:t>
      </w:r>
    </w:p>
    <w:p>
      <w:r>
        <w:t>components rather than an external charting library, to minimise dependencies.</w:t>
      </w:r>
    </w:p>
    <w:p>
      <w:pPr>
        <w:pStyle w:val="Heading2"/>
      </w:pPr>
      <w:r>
        <w:t>8. Data Model and Database Design</w:t>
      </w:r>
    </w:p>
    <w:p>
      <w:r>
        <w:t>The schema is defined across six ordered SQL migrations: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Migration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9"/>
              </w:rPr>
              <w:t>0001_init.sql</w:t>
            </w:r>
          </w:p>
        </w:tc>
        <w:tc>
          <w:tcPr>
            <w:tcW w:type="dxa" w:w="4320"/>
          </w:tcPr>
          <w:p>
            <w:r/>
            <w:r>
              <w:t>Core tables, RLS policies, a profile-creation trigger, and an admin helper.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9"/>
              </w:rPr>
              <w:t>0002_secure_image_paths.sql</w:t>
            </w:r>
          </w:p>
        </w:tc>
        <w:tc>
          <w:tcPr>
            <w:tcW w:type="dxa" w:w="4320"/>
          </w:tcPr>
          <w:p>
            <w:r/>
            <w:r>
              <w:t>Storage object-path columns (</w:t>
            </w:r>
            <w:r>
              <w:rPr>
                <w:rFonts w:ascii="Courier New" w:hAnsi="Courier New"/>
                <w:sz w:val="19"/>
              </w:rPr>
              <w:t>image_path</w:t>
            </w:r>
            <w:r>
              <w:t xml:space="preserve">, </w:t>
            </w:r>
            <w:r>
              <w:rPr>
                <w:rFonts w:ascii="Courier New" w:hAnsi="Courier New"/>
                <w:sz w:val="19"/>
              </w:rPr>
              <w:t>representative_image_path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9"/>
              </w:rPr>
              <w:t>0003_backfill_image_paths.sql</w:t>
            </w:r>
          </w:p>
        </w:tc>
        <w:tc>
          <w:tcPr>
            <w:tcW w:type="dxa" w:w="4320"/>
          </w:tcPr>
          <w:p>
            <w:r/>
            <w:r>
              <w:t>Idempotent backfill of legacy public-URL columns into path columns.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9"/>
              </w:rPr>
              <w:t>0004_analytics_rpc.sql</w:t>
            </w:r>
          </w:p>
        </w:tc>
        <w:tc>
          <w:tcPr>
            <w:tcW w:type="dxa" w:w="4320"/>
          </w:tcPr>
          <w:p>
            <w:r/>
            <w:r>
              <w:t>Service-role analytics functions (AI summary, breakdown, time-series, dashboard summary).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9"/>
              </w:rPr>
              <w:t>0005_storage_quarantine.sql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19"/>
              </w:rPr>
              <w:t>storage_quarantine_candidates</w:t>
            </w:r>
            <w:r>
              <w:t xml:space="preserve"> and </w:t>
            </w:r>
            <w:r>
              <w:rPr>
                <w:rFonts w:ascii="Courier New" w:hAnsi="Courier New"/>
                <w:sz w:val="19"/>
              </w:rPr>
              <w:t>storage_reconciliation_runs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9"/>
              </w:rPr>
              <w:t>0006_daily_metrics_snapshots.sql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19"/>
              </w:rPr>
              <w:t>daily_metrics_snapshots</w:t>
            </w:r>
            <w:r>
              <w:t xml:space="preserve"> and a snapshot upsert function.</w:t>
            </w:r>
          </w:p>
        </w:tc>
      </w:tr>
    </w:tbl>
    <w:p>
      <w:r>
        <w:t xml:space="preserve">Core tables include </w:t>
      </w:r>
      <w:r>
        <w:rPr>
          <w:rFonts w:ascii="Courier New" w:hAnsi="Courier New"/>
          <w:sz w:val="19"/>
        </w:rPr>
        <w:t>profiles</w:t>
      </w:r>
      <w:r>
        <w:t xml:space="preserve">, </w:t>
      </w:r>
      <w:r>
        <w:rPr>
          <w:rFonts w:ascii="Courier New" w:hAnsi="Courier New"/>
          <w:sz w:val="19"/>
        </w:rPr>
        <w:t>devices</w:t>
      </w:r>
      <w:r>
        <w:t xml:space="preserve">, </w:t>
      </w:r>
      <w:r>
        <w:rPr>
          <w:rFonts w:ascii="Courier New" w:hAnsi="Courier New"/>
          <w:sz w:val="19"/>
        </w:rPr>
        <w:t>detection_sessions</w:t>
      </w:r>
      <w:r>
        <w:t xml:space="preserve">, </w:t>
      </w:r>
      <w:r>
        <w:rPr>
          <w:rFonts w:ascii="Courier New" w:hAnsi="Courier New"/>
          <w:sz w:val="19"/>
        </w:rPr>
        <w:t>detection_events</w:t>
      </w:r>
      <w:r>
        <w:t>,</w:t>
      </w:r>
    </w:p>
    <w:p>
      <w:r>
        <w:rPr>
          <w:rFonts w:ascii="Courier New" w:hAnsi="Courier New"/>
          <w:sz w:val="19"/>
        </w:rPr>
        <w:t>traffic_signs</w:t>
      </w:r>
      <w:r>
        <w:t xml:space="preserve">, </w:t>
      </w:r>
      <w:r>
        <w:rPr>
          <w:rFonts w:ascii="Courier New" w:hAnsi="Courier New"/>
          <w:sz w:val="19"/>
        </w:rPr>
        <w:t>traffic_sign_observations</w:t>
      </w:r>
      <w:r>
        <w:t xml:space="preserve">, </w:t>
      </w:r>
      <w:r>
        <w:rPr>
          <w:rFonts w:ascii="Courier New" w:hAnsi="Courier New"/>
          <w:sz w:val="19"/>
        </w:rPr>
        <w:t>device_location_logs</w:t>
      </w:r>
      <w:r>
        <w:t xml:space="preserve">, and </w:t>
      </w:r>
      <w:r>
        <w:rPr>
          <w:rFonts w:ascii="Courier New" w:hAnsi="Courier New"/>
          <w:sz w:val="19"/>
        </w:rPr>
        <w:t>system_logs</w:t>
      </w:r>
      <w:r>
        <w:t>,</w:t>
      </w:r>
    </w:p>
    <w:p>
      <w:r>
        <w:t>alongside the governance and analytics tables introduced above. The design uses UUID</w:t>
      </w:r>
    </w:p>
    <w:p>
      <w:r>
        <w:t xml:space="preserve">primary keys, </w:t>
      </w:r>
      <w:r>
        <w:rPr>
          <w:rFonts w:ascii="Courier New" w:hAnsi="Courier New"/>
          <w:sz w:val="19"/>
        </w:rPr>
        <w:t>timestamptz</w:t>
      </w:r>
      <w:r>
        <w:t xml:space="preserve"> timestamps, and </w:t>
      </w:r>
      <w:r>
        <w:rPr>
          <w:rFonts w:ascii="Courier New" w:hAnsi="Courier New"/>
          <w:sz w:val="19"/>
        </w:rPr>
        <w:t>jsonb</w:t>
      </w:r>
      <w:r>
        <w:t xml:space="preserve"> columns for raw AI responses and</w:t>
      </w:r>
    </w:p>
    <w:p>
      <w:r>
        <w:t>metadata. Row-level security is enabled on all tables; the maintenance and analytics</w:t>
      </w:r>
    </w:p>
    <w:p>
      <w:r>
        <w:t>tables expose no client policies and are reached only through the service-role client</w:t>
      </w:r>
    </w:p>
    <w:p>
      <w:r>
        <w:t>[12].</w:t>
      </w:r>
    </w:p>
    <w:p>
      <w:pPr>
        <w:pStyle w:val="Heading2"/>
      </w:pPr>
      <w:r>
        <w:t>9. AI Model API Integration</w:t>
      </w:r>
    </w:p>
    <w:p>
      <w:r>
        <w:t>The AI layer defines a canonical request/response contract and supports three modes,</w:t>
      </w:r>
    </w:p>
    <w:p>
      <w:r>
        <w:t xml:space="preserve">selected by the </w:t>
      </w:r>
      <w:r>
        <w:rPr>
          <w:rFonts w:ascii="Courier New" w:hAnsi="Courier New"/>
          <w:sz w:val="19"/>
        </w:rPr>
        <w:t>AI_MODEL_MODE</w:t>
      </w:r>
      <w:r>
        <w:t xml:space="preserve"> environment variable:</w:t>
      </w:r>
    </w:p>
    <w:p>
      <w:pPr>
        <w:pStyle w:val="ListBullet"/>
      </w:pPr>
      <w:r>
        <w:rPr>
          <w:b/>
        </w:rPr>
        <w:t>`mock`</w:t>
      </w:r>
      <w:r>
        <w:t xml:space="preserve"> — a built-in deterministic detector that performs no network call (used for</w:t>
      </w:r>
    </w:p>
    <w:p>
      <w:r>
        <w:t>development, demonstrations, and tests);</w:t>
      </w:r>
    </w:p>
    <w:p>
      <w:pPr>
        <w:pStyle w:val="ListBullet"/>
      </w:pPr>
      <w:r>
        <w:rPr>
          <w:b/>
        </w:rPr>
        <w:t>`external`</w:t>
      </w:r>
      <w:r>
        <w:t xml:space="preserve"> — always calls the configured model endpoint, returning a clear error</w:t>
      </w:r>
    </w:p>
    <w:p>
      <w:r>
        <w:t>if no endpoint is configured; and</w:t>
      </w:r>
    </w:p>
    <w:p>
      <w:pPr>
        <w:pStyle w:val="ListBullet"/>
      </w:pPr>
      <w:r>
        <w:rPr>
          <w:b/>
        </w:rPr>
        <w:t>`auto`</w:t>
      </w:r>
      <w:r>
        <w:t xml:space="preserve"> — calls the endpoint when configured and otherwise falls back to the mock</w:t>
      </w:r>
    </w:p>
    <w:p>
      <w:r>
        <w:t xml:space="preserve">detector, without silently falling back after a </w:t>
      </w:r>
      <w:r>
        <w:rPr>
          <w:i/>
        </w:rPr>
        <w:t>failed</w:t>
      </w:r>
      <w:r>
        <w:t xml:space="preserve"> external call.</w:t>
      </w:r>
    </w:p>
    <w:p>
      <w:r>
        <w:t>A request carries a short-lived signed image URL together with session, device,</w:t>
      </w:r>
    </w:p>
    <w:p>
      <w:r>
        <w:t>timestamp, and location metadata, and contains no secrets. Responses are validated and</w:t>
      </w:r>
    </w:p>
    <w:p>
      <w:r>
        <w:t>normalised — the detections field must be an array, each confidence value must lie in</w:t>
      </w:r>
    </w:p>
    <w:p>
      <w:r>
        <w:rPr>
          <w:rFonts w:ascii="Courier New" w:hAnsi="Courier New"/>
          <w:sz w:val="19"/>
        </w:rPr>
        <w:t>[0, 1]</w:t>
      </w:r>
      <w:r>
        <w:t>, each class name must be non-empty, and bounding boxes must be well-formed —</w:t>
      </w:r>
    </w:p>
    <w:p>
      <w:r>
        <w:t>before any database write, so that an invalid response cannot corrupt or crash the</w:t>
      </w:r>
    </w:p>
    <w:p>
      <w:r>
        <w:t>pipeline. External calls are bounded by a request timeout and retried only on transient</w:t>
      </w:r>
    </w:p>
    <w:p>
      <w:r>
        <w:t>failures (timeout, network error, or HTTP 429/502/503/504) with linear backoff. General-</w:t>
      </w:r>
    </w:p>
    <w:p>
      <w:r>
        <w:t>purpose detectors such as YOLO [3], Faster R-CNN [4], and SSD [5] are representative of</w:t>
      </w:r>
    </w:p>
    <w:p>
      <w:r>
        <w:t>the kind of model that such an external endpoint might host; the platform itself is</w:t>
      </w:r>
    </w:p>
    <w:p>
      <w:r>
        <w:t>model-agnostic.</w:t>
      </w:r>
    </w:p>
    <w:p>
      <w:pPr>
        <w:pStyle w:val="Heading2"/>
      </w:pPr>
      <w:r>
        <w:t>10. Detection Session Workflow</w:t>
      </w:r>
    </w:p>
    <w:p>
      <w:r>
        <w:t>A detection session proceeds as follows: (1) the user selects a registered, active</w:t>
      </w:r>
    </w:p>
    <w:p>
      <w:r>
        <w:t>device and starts a session; (2) the browser captures a downscaled JPEG frame and the</w:t>
      </w:r>
    </w:p>
    <w:p>
      <w:r>
        <w:t>current GPS reading and posts them to the frame endpoint; (3) the server uploads the</w:t>
      </w:r>
    </w:p>
    <w:p>
      <w:r>
        <w:t>frame to the private bucket and stores its object path; (4) a short-lived signed URL is</w:t>
      </w:r>
    </w:p>
    <w:p>
      <w:r>
        <w:t>sent to the AI layer for inference; (5) the normalised response is persisted as one</w:t>
      </w:r>
    </w:p>
    <w:p>
      <w:r>
        <w:t>detection-event row per detection, with the raw JSON retained, a device location-log</w:t>
      </w:r>
    </w:p>
    <w:p>
      <w:r>
        <w:t>entry written, and session counters updated; (6) grouping and localisation consolidate</w:t>
      </w:r>
    </w:p>
    <w:p>
      <w:r>
        <w:t>the detection into the sign inventory; and (7) safe audit entries are written to the</w:t>
      </w:r>
    </w:p>
    <w:p>
      <w:r>
        <w:t>system log.</w:t>
      </w:r>
    </w:p>
    <w:p>
      <w:pPr>
        <w:pStyle w:val="Heading2"/>
      </w:pPr>
      <w:r>
        <w:t>11. Geolocation and Localisation Method</w:t>
      </w:r>
    </w:p>
    <w:p>
      <w:r>
        <w:t>Each detection carries latitude, longitude, GPS accuracy, heading, and speed. The</w:t>
      </w:r>
    </w:p>
    <w:p>
      <w:r>
        <w:t>representative location of a sign is refined from all of its observations using a</w:t>
      </w:r>
    </w:p>
    <w:p>
      <w:r>
        <w:t>confidence- and accuracy-weighted average:</w:t>
      </w:r>
    </w:p>
    <w:p>
      <w:r>
        <w:rPr>
          <w:rFonts w:ascii="Courier New" w:hAnsi="Courier New"/>
          <w:sz w:val="18"/>
        </w:rPr>
        <w:t>weight = confidence / max(gps_accuracy, 1)</w:t>
        <w:br/>
        <w:t>refined_location = Σ(weight · position) / Σ(weight)</w:t>
      </w:r>
    </w:p>
    <w:p>
      <w:r>
        <w:t>This formulation reduces the influence of low-confidence detections and of imprecise GPS</w:t>
      </w:r>
    </w:p>
    <w:p>
      <w:r>
        <w:t>fixes when computing a sign's coordinates. Satellite positioning has a bounded but</w:t>
      </w:r>
    </w:p>
    <w:p>
      <w:r>
        <w:t>non-zero error budget — the GPS Standard Positioning Service commits to a global average</w:t>
      </w:r>
    </w:p>
    <w:p>
      <w:r>
        <w:t>user range error within a specified limit rather than to exact positions [15] — so a</w:t>
      </w:r>
    </w:p>
    <w:p>
      <w:r>
        <w:t>single GPS fix should not be treated as the exact location of a sign; weighting by</w:t>
      </w:r>
    </w:p>
    <w:p>
      <w:r>
        <w:t>reported accuracy and averaging across observations mitigates this uncertainty.</w:t>
      </w:r>
    </w:p>
    <w:p>
      <w:pPr>
        <w:pStyle w:val="Heading2"/>
      </w:pPr>
      <w:r>
        <w:t>12. Duplicate Detection and Traffic Sign Grouping</w:t>
      </w:r>
    </w:p>
    <w:p>
      <w:r>
        <w:t>For each saved detection whose confidence exceeds a configured minimum, the system:</w:t>
      </w:r>
    </w:p>
    <w:p>
      <w:pPr>
        <w:pStyle w:val="ListNumber"/>
      </w:pPr>
      <w:r>
        <w:t xml:space="preserve">retrieves existing signs of the </w:t>
      </w:r>
      <w:r>
        <w:rPr>
          <w:b/>
        </w:rPr>
        <w:t>same sign type</w:t>
      </w:r>
      <w:r>
        <w:t>;</w:t>
      </w:r>
    </w:p>
    <w:p>
      <w:pPr>
        <w:pStyle w:val="ListNumber"/>
      </w:pPr>
      <w:r>
        <w:t xml:space="preserve">computes the </w:t>
      </w:r>
      <w:r>
        <w:rPr>
          <w:b/>
        </w:rPr>
        <w:t>Haversine</w:t>
      </w:r>
      <w:r>
        <w:t xml:space="preserve"> (great-circle) distance to each candidate [6] and, if the</w:t>
      </w:r>
    </w:p>
    <w:p>
      <w:r>
        <w:t xml:space="preserve">nearest candidate lies within </w:t>
      </w:r>
      <w:r>
        <w:rPr>
          <w:rFonts w:ascii="Courier New" w:hAnsi="Courier New"/>
          <w:sz w:val="19"/>
        </w:rPr>
        <w:t>SIGN_MATCH_RADIUS_METERS</w:t>
      </w:r>
      <w:r>
        <w:t xml:space="preserve"> (default 25 m), records the</w:t>
      </w:r>
    </w:p>
    <w:p>
      <w:r>
        <w:t>detection as an additional observation of that sign; otherwise it creates a new sign;</w:t>
      </w:r>
    </w:p>
    <w:p>
      <w:pPr>
        <w:pStyle w:val="ListNumber"/>
      </w:pPr>
      <w:r>
        <w:t>recomputes the sign's location using the weighted average of §11; and</w:t>
      </w:r>
    </w:p>
    <w:p>
      <w:pPr>
        <w:pStyle w:val="ListNumber"/>
      </w:pPr>
      <w:r>
        <w:rPr>
          <w:b/>
        </w:rPr>
        <w:t>auto-verifies</w:t>
      </w:r>
      <w:r>
        <w:t xml:space="preserve"> a sign once it has at least three observations and an average</w:t>
      </w:r>
    </w:p>
    <w:p>
      <w:r>
        <w:t>confidence above 0.75, without overriding any manual decision.</w:t>
      </w:r>
    </w:p>
    <w:p>
      <w:r>
        <w:t>This same-type, proximity-bounded consolidation is conceptually aligned with density-</w:t>
      </w:r>
    </w:p>
    <w:p>
      <w:r>
        <w:t>based spatial clustering [7], specialised here to the traffic-sign domain. Verification</w:t>
      </w:r>
    </w:p>
    <w:p>
      <w:r>
        <w:t xml:space="preserve">states include </w:t>
      </w:r>
      <w:r>
        <w:rPr>
          <w:rFonts w:ascii="Courier New" w:hAnsi="Courier New"/>
          <w:sz w:val="19"/>
        </w:rPr>
        <w:t>pending</w:t>
      </w:r>
      <w:r>
        <w:t xml:space="preserve">, </w:t>
      </w:r>
      <w:r>
        <w:rPr>
          <w:rFonts w:ascii="Courier New" w:hAnsi="Courier New"/>
          <w:sz w:val="19"/>
        </w:rPr>
        <w:t>auto_verified</w:t>
      </w:r>
      <w:r>
        <w:t xml:space="preserve">, </w:t>
      </w:r>
      <w:r>
        <w:rPr>
          <w:rFonts w:ascii="Courier New" w:hAnsi="Courier New"/>
          <w:sz w:val="19"/>
        </w:rPr>
        <w:t>manually_verified</w:t>
      </w:r>
      <w:r>
        <w:t xml:space="preserve">, </w:t>
      </w:r>
      <w:r>
        <w:rPr>
          <w:rFonts w:ascii="Courier New" w:hAnsi="Courier New"/>
          <w:sz w:val="19"/>
        </w:rPr>
        <w:t>rejected</w:t>
      </w:r>
      <w:r>
        <w:t xml:space="preserve">, </w:t>
      </w:r>
      <w:r>
        <w:rPr>
          <w:rFonts w:ascii="Courier New" w:hAnsi="Courier New"/>
          <w:sz w:val="19"/>
        </w:rPr>
        <w:t>duplicate</w:t>
      </w:r>
      <w:r>
        <w:t>,</w:t>
      </w:r>
    </w:p>
    <w:p>
      <w:r>
        <w:t xml:space="preserve">and </w:t>
      </w:r>
      <w:r>
        <w:rPr>
          <w:rFonts w:ascii="Courier New" w:hAnsi="Courier New"/>
          <w:sz w:val="19"/>
        </w:rPr>
        <w:t>low_confidence</w:t>
      </w:r>
      <w:r>
        <w:t>.</w:t>
      </w:r>
    </w:p>
    <w:p>
      <w:pPr>
        <w:pStyle w:val="Heading2"/>
      </w:pPr>
      <w:r>
        <w:t>13. Map Visualisation and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ign-map-cluster-or-dens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Static traffic-sign inventory map (clustered markers).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ign-detail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Sign detail panel for a selected marker.</w:t>
      </w:r>
    </w:p>
    <w:p>
      <w:r>
        <w:t>The static sign map renders the optimised inventory with markers, zoom-aware clustering,</w:t>
      </w:r>
    </w:p>
    <w:p>
      <w:r>
        <w:t>and a density view, together with filters (type, status, confidence, and date) and a</w:t>
      </w:r>
    </w:p>
    <w:p>
      <w:r>
        <w:t>detail panel; clustering and density are computed within the application and require no</w:t>
      </w:r>
    </w:p>
    <w:p>
      <w:r>
        <w:t>additional mapping dependency. A separate live device map shows last-known device</w:t>
      </w:r>
    </w:p>
    <w:p>
      <w:r>
        <w:t>positions. The dashboard presents key performance indicators sourced from a database-side</w:t>
      </w:r>
    </w:p>
    <w:p>
      <w:r>
        <w:t>function (with a JavaScript fallback), a verification breakdown, and the most frequent</w:t>
      </w:r>
    </w:p>
    <w:p>
      <w:r>
        <w:t>sign types. Maps use Leaflet [8] with OpenStreetMap tiles [9] and are imported</w:t>
      </w:r>
    </w:p>
    <w:p>
      <w:r>
        <w:t>dynamically on the client to avoid server-rendering issues.</w:t>
      </w:r>
    </w:p>
    <w:p>
      <w:pPr>
        <w:pStyle w:val="Heading2"/>
      </w:pPr>
      <w:r>
        <w:t>14. Admin Management and Observability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1467" cy="6857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detections-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1467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Admin per-detection review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97049" cy="685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i-observ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7049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AI integration health and observability.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dmin-analy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Daily metric snapshots and trends.</w:t>
      </w:r>
    </w:p>
    <w:p>
      <w:r>
        <w:t>Administrators manage users — including Supabase Authentication user creation and</w:t>
      </w:r>
    </w:p>
    <w:p>
      <w:r>
        <w:t>password reset — devices, and the review of detections and signs. The AI console</w:t>
      </w:r>
    </w:p>
    <w:p>
      <w:r>
        <w:t>provides a connectivity health check, a model-contract self-test that creates no</w:t>
      </w:r>
    </w:p>
    <w:p>
      <w:r>
        <w:t>production data, and observability views (an activity summary, a failure breakdown, a</w:t>
      </w:r>
    </w:p>
    <w:p>
      <w:r>
        <w:t>time-series, and a failure-rate threshold alert) backed by database functions with a</w:t>
      </w:r>
    </w:p>
    <w:p>
      <w:r>
        <w:t>JavaScript fallback. The analytics view presents durable daily metric snapshots, trend</w:t>
      </w:r>
    </w:p>
    <w:p>
      <w:r>
        <w:t>bars, and snapshot-coverage gap detection. This administrative verification capability</w:t>
      </w:r>
    </w:p>
    <w:p>
      <w:r>
        <w:t>implements human-in-the-loop review intended to improve the operational quality of the</w:t>
      </w:r>
    </w:p>
    <w:p>
      <w:r>
        <w:t>model's outputs [16]; it supports manual correction and curation but does not, by itself,</w:t>
      </w:r>
    </w:p>
    <w:p>
      <w:r>
        <w:t>guarantee correctness. All administrative APIs return HTTP 401 for unauthenticated</w:t>
      </w:r>
    </w:p>
    <w:p>
      <w:r>
        <w:t>callers and HTTP 403 for authenticated non-administrators.</w:t>
      </w:r>
    </w:p>
    <w:p>
      <w:pPr>
        <w:pStyle w:val="Heading2"/>
      </w:pPr>
      <w:r>
        <w:t>15. Storage Security and Signed-URL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67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orage-mainten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Storage governance — quarantine-first reconciliation.</w:t>
      </w:r>
    </w:p>
    <w:p>
      <w:r>
        <w:t>The storage bucket is private. The database stores the storage object path rather than a</w:t>
      </w:r>
    </w:p>
    <w:p>
      <w:r>
        <w:t>public URL, and every API that returns an image mints a short-lived signed URL on the</w:t>
      </w:r>
    </w:p>
    <w:p>
      <w:r>
        <w:t>server, only after authorisation (owner-or-administrator for detection events;</w:t>
      </w:r>
    </w:p>
    <w:p>
      <w:r>
        <w:t>RLS-readable for shared signs) [11]. A dedicated endpoint re-signs images by entity</w:t>
      </w:r>
    </w:p>
    <w:p>
      <w:r>
        <w:t>identifier — never from a client-supplied path — so that expired images can be refreshed</w:t>
      </w:r>
    </w:p>
    <w:p>
      <w:r>
        <w:t>in place. CSV exports emit an availability flag and the object path, never a signed URL.</w:t>
      </w:r>
    </w:p>
    <w:p>
      <w:r>
        <w:t>Governance tooling adds legacy-path backfill, quarantine-first reconciliation</w:t>
      </w:r>
    </w:p>
    <w:p>
      <w:r>
        <w:t>(unreferenced objects become pending candidates; deletion is grace-period gated,</w:t>
      </w:r>
    </w:p>
    <w:p>
      <w:r>
        <w:t>re-checked immediately before removal, and administrator-initiated — never automatic),</w:t>
      </w:r>
    </w:p>
    <w:p>
      <w:r>
        <w:t>and a record of reconciliation runs. Secret-protected scheduled endpoints</w:t>
      </w:r>
    </w:p>
    <w:p>
      <w:r>
        <w:t>(authenticated by a bearer secret) enable daily snapshots and reconciliation scans</w:t>
      </w:r>
    </w:p>
    <w:p>
      <w:r>
        <w:t>without deleting objects.</w:t>
      </w:r>
    </w:p>
    <w:p>
      <w:pPr>
        <w:pStyle w:val="Heading2"/>
      </w:pPr>
      <w:r>
        <w:t>16. Demo Data and Testing Strategy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esentation-m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Guided presentation mode.</w:t>
      </w:r>
    </w:p>
    <w:p>
      <w:r>
        <w:t>A deterministic, demo-marked seeder creates devices, sessions, detections, signs,</w:t>
      </w:r>
    </w:p>
    <w:p>
      <w:r>
        <w:t>observations, location logs, AI logs, and snapshots; the clear operation removes only</w:t>
      </w:r>
    </w:p>
    <w:p>
      <w:r>
        <w:t>demo-marked data. A presentation mode and a guided presentation page support</w:t>
      </w:r>
    </w:p>
    <w:p>
      <w:r>
        <w:t>demonstrations without bypassing authentication. Automated testing uses Playwright,</w:t>
      </w:r>
    </w:p>
    <w:p>
      <w:r>
        <w:t>organised into an unauthenticated suite (route and API gating, and cron-secret</w:t>
      </w:r>
    </w:p>
    <w:p>
      <w:r>
        <w:t>handling), an authenticated suite (the dashboard, all administrative pages, both maps,</w:t>
      </w:r>
    </w:p>
    <w:p>
      <w:r>
        <w:t>the presentation page, and the detection page with camera and GPS mocked), and an</w:t>
      </w:r>
    </w:p>
    <w:p>
      <w:r>
        <w:t>opt-in demo-seed suite. The tests are environment-aware and skip cleanly when</w:t>
      </w:r>
    </w:p>
    <w:p>
      <w:r>
        <w:t>credentials are absent.</w:t>
      </w:r>
    </w:p>
    <w:p>
      <w:pPr>
        <w:pStyle w:val="Heading2"/>
      </w:pPr>
      <w:r>
        <w:t>17. Evaluation and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04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kp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Dashboard KPIs sourced from a DB-side RPC.</w:t>
      </w:r>
    </w:p>
    <w:p>
      <w:r>
        <w:t>The system was validated against a real Supabase backend, with the following verified</w:t>
      </w:r>
    </w:p>
    <w:p>
      <w:r>
        <w:t>outcomes:</w:t>
      </w:r>
    </w:p>
    <w:p>
      <w:pPr>
        <w:pStyle w:val="ListBullet"/>
      </w:pPr>
      <w:r>
        <w:t xml:space="preserve">migrations </w:t>
      </w:r>
      <w:r>
        <w:rPr>
          <w:rFonts w:ascii="Courier New" w:hAnsi="Courier New"/>
          <w:sz w:val="19"/>
        </w:rPr>
        <w:t>0001</w:t>
      </w:r>
      <w:r>
        <w:t>–</w:t>
      </w:r>
      <w:r>
        <w:rPr>
          <w:rFonts w:ascii="Courier New" w:hAnsi="Courier New"/>
          <w:sz w:val="19"/>
        </w:rPr>
        <w:t>0006</w:t>
      </w:r>
      <w:r>
        <w:t xml:space="preserve"> applied, and all expected tables, columns, and the analytics</w:t>
      </w:r>
    </w:p>
    <w:p>
      <w:r>
        <w:t>function confirmed present;</w:t>
      </w:r>
    </w:p>
    <w:p>
      <w:pPr>
        <w:pStyle w:val="ListBullet"/>
      </w:pPr>
      <w:r>
        <w:t>a private storage bucket configured (public access disabled);</w:t>
      </w:r>
    </w:p>
    <w:p>
      <w:pPr>
        <w:pStyle w:val="ListBullet"/>
      </w:pPr>
      <w:r>
        <w:t>an administrator account present with the administrator role;</w:t>
      </w:r>
    </w:p>
    <w:p>
      <w:pPr>
        <w:pStyle w:val="ListBullet"/>
      </w:pPr>
      <w:r>
        <w:t>demo data seeded successfully (in a representative run: 4 devices, 6 sessions, 120</w:t>
      </w:r>
    </w:p>
    <w:p>
      <w:r>
        <w:t>detection events, 35 signs, and 7 daily snapshots — these are representative seeded</w:t>
      </w:r>
    </w:p>
    <w:p>
      <w:r>
        <w:t>dataset counts, not performance measurements);</w:t>
      </w:r>
    </w:p>
    <w:p>
      <w:pPr>
        <w:pStyle w:val="ListBullet"/>
      </w:pPr>
      <w:r>
        <w:t>a Playwright end-to-end suite passing 24 of 24 cases against the Supabase-backed</w:t>
      </w:r>
    </w:p>
    <w:p>
      <w:r>
        <w:t>environment; and</w:t>
      </w:r>
    </w:p>
    <w:p>
      <w:pPr>
        <w:pStyle w:val="ListBullet"/>
      </w:pPr>
      <w:r>
        <w:t>a clean lint, type-check, and production build (54 application routes built).</w:t>
      </w:r>
    </w:p>
    <w:p>
      <w:r>
        <w:t>The accuracy of the detection model is not evaluated in this work because the model is an</w:t>
      </w:r>
    </w:p>
    <w:p>
      <w:r>
        <w:t>external service and no labelled evaluation dataset was measured here; benchmark datasets</w:t>
      </w:r>
    </w:p>
    <w:p>
      <w:r>
        <w:t>such as [1] and [2] would support such an evaluation in future work.</w:t>
      </w:r>
    </w:p>
    <w:p>
      <w:pPr>
        <w:pStyle w:val="Heading2"/>
      </w:pPr>
      <w:r>
        <w:t>18. Limitations</w:t>
      </w:r>
    </w:p>
    <w:p>
      <w:pPr>
        <w:pStyle w:val="ListBullet"/>
      </w:pPr>
      <w:r>
        <w:t>Sign matching performs a same-type scan without a spatial index; very large</w:t>
      </w:r>
    </w:p>
    <w:p>
      <w:r>
        <w:t>inventories would benefit from spatial indexing (for example, PostGIS [13]).</w:t>
      </w:r>
    </w:p>
    <w:p>
      <w:pPr>
        <w:pStyle w:val="ListBullet"/>
      </w:pPr>
      <w:r>
        <w:t>Maps load a bounded number of signs on the client; larger datasets would require</w:t>
      </w:r>
    </w:p>
    <w:p>
      <w:r>
        <w:t>server-side tiling or aggregation.</w:t>
      </w:r>
    </w:p>
    <w:p>
      <w:pPr>
        <w:pStyle w:val="ListBullet"/>
      </w:pPr>
      <w:r>
        <w:t>Some analytics use a bounded in-application fallback when the database functions are</w:t>
      </w:r>
    </w:p>
    <w:p>
      <w:r>
        <w:t>unavailable.</w:t>
      </w:r>
    </w:p>
    <w:p>
      <w:pPr>
        <w:pStyle w:val="ListBullet"/>
      </w:pPr>
      <w:r>
        <w:t>Demo detections use null image paths (no fabricated signed URLs), so their detail</w:t>
      </w:r>
    </w:p>
    <w:p>
      <w:r>
        <w:t>views display a graceful "no image" state.</w:t>
      </w:r>
    </w:p>
    <w:p>
      <w:pPr>
        <w:pStyle w:val="ListBullet"/>
      </w:pPr>
      <w:r>
        <w:t>No detection-model accuracy evaluation is performed, as the model is external.</w:t>
      </w:r>
    </w:p>
    <w:p>
      <w:pPr>
        <w:pStyle w:val="ListBullet"/>
      </w:pPr>
      <w:r>
        <w:t>Reconciliation scans are prefix- and count-bounded and are therefore not exhaustive</w:t>
      </w:r>
    </w:p>
    <w:p>
      <w:r>
        <w:t>for very large buckets.</w:t>
      </w:r>
    </w:p>
    <w:p>
      <w:pPr>
        <w:pStyle w:val="Heading2"/>
      </w:pPr>
      <w:r>
        <w:t>19. Future Work</w:t>
      </w:r>
    </w:p>
    <w:p>
      <w:pPr>
        <w:pStyle w:val="ListBullet"/>
      </w:pPr>
      <w:r>
        <w:t>Introduce spatial indexing (for example, PostGIS [13]) and server-side map tiling for</w:t>
      </w:r>
    </w:p>
    <w:p>
      <w:r>
        <w:t>scalability.</w:t>
      </w:r>
    </w:p>
    <w:p>
      <w:pPr>
        <w:pStyle w:val="ListBullet"/>
      </w:pPr>
      <w:r>
        <w:t>Conduct a labelled evaluation of grouping and localisation quality using public</w:t>
      </w:r>
    </w:p>
    <w:p>
      <w:r>
        <w:t>benchmarks such as [2].</w:t>
      </w:r>
    </w:p>
    <w:p>
      <w:pPr>
        <w:pStyle w:val="ListBullet"/>
      </w:pPr>
      <w:r>
        <w:t>Add a background reconciliation reaper and alerting, and rotate the cron secret.</w:t>
      </w:r>
    </w:p>
    <w:p>
      <w:pPr>
        <w:pStyle w:val="ListBullet"/>
      </w:pPr>
      <w:r>
        <w:t>Expand automated test coverage and run it in continuous integration against a</w:t>
      </w:r>
    </w:p>
    <w:p>
      <w:r>
        <w:t>dedicated test project.</w:t>
      </w:r>
    </w:p>
    <w:p>
      <w:pPr>
        <w:pStyle w:val="ListBullet"/>
      </w:pPr>
      <w:r>
        <w:t>Support model versioning and multiple model backends.</w:t>
      </w:r>
    </w:p>
    <w:p>
      <w:pPr>
        <w:pStyle w:val="Heading2"/>
      </w:pPr>
      <w:r>
        <w:t>20. Conclusion</w:t>
      </w:r>
    </w:p>
    <w:p>
      <w:r>
        <w:t>The project delivers a complete, validated pipeline that transforms noisy per-frame</w:t>
      </w:r>
    </w:p>
    <w:p>
      <w:r>
        <w:t>detections into a deduplicated, location-refined, reviewable, and securely served</w:t>
      </w:r>
    </w:p>
    <w:p>
      <w:r>
        <w:t>traffic-sign inventory, complemented by administrative observability and reproducible</w:t>
      </w:r>
    </w:p>
    <w:p>
      <w:r>
        <w:t>demonstration. By treating the detector as an external service, the work concentrates on</w:t>
      </w:r>
    </w:p>
    <w:p>
      <w:r>
        <w:t>the integration, geospatial, security, and operational problems that make detections</w:t>
      </w:r>
    </w:p>
    <w:p>
      <w:r>
        <w:t>operationally useful.</w:t>
      </w:r>
    </w:p>
    <w:p>
      <w:pPr>
        <w:pStyle w:val="Heading2"/>
      </w:pPr>
      <w:r>
        <w:t>21. References</w:t>
      </w:r>
    </w:p>
    <w:p>
      <w:r>
        <w:t xml:space="preserve">The full bibliography ([1]–[16]) is provided in </w:t>
      </w:r>
      <w:r>
        <w:rPr>
          <w:rFonts w:ascii="Courier New" w:hAnsi="Courier New"/>
          <w:sz w:val="19"/>
        </w:rPr>
        <w:t>REFERENCES_FINAL.md</w:t>
      </w:r>
      <w:r>
        <w:t>. Confirm all</w:t>
      </w:r>
    </w:p>
    <w:p>
      <w:r>
        <w:t>entries against the citation style required by your institution before final submission.</w:t>
      </w:r>
    </w:p>
    <w:p>
      <w:r>
        <w:br w:type="page"/>
      </w:r>
    </w:p>
    <w:p>
      <w:pPr>
        <w:pStyle w:val="Heading1"/>
      </w:pPr>
      <w:r>
        <w:t>References (Final)</w:t>
      </w:r>
    </w:p>
    <w:p>
      <w:r>
        <w:t xml:space="preserve">Final bibliography for </w:t>
      </w:r>
      <w:r>
        <w:rPr>
          <w:rFonts w:ascii="Courier New" w:hAnsi="Courier New"/>
          <w:sz w:val="19"/>
        </w:rPr>
        <w:t>PROJECT_REPORT_FINAL.md</w:t>
      </w:r>
      <w:r>
        <w:t>. Academic entries ([1]–[7], [16]) and</w:t>
      </w:r>
    </w:p>
    <w:p>
      <w:r>
        <w:t>official sources ([14], [15]) were checked against indexing services / publisher /</w:t>
      </w:r>
    </w:p>
    <w:p>
      <w:r>
        <w:t>official pages during preparation; software entries ([8]–[13]) are official project</w:t>
      </w:r>
    </w:p>
    <w:p>
      <w:r>
        <w:t>documentation. No DOIs, URLs, authors, titles, venues, or years were fabricated; where a</w:t>
      </w:r>
    </w:p>
    <w:p>
      <w:r>
        <w:t>DOI was not confirmed it is omitted. Web references use an "accessed 2026" retrieval</w:t>
      </w:r>
    </w:p>
    <w:p>
      <w:r>
        <w:t>note; reformat to the exact required citation style (IEEE/APA/Harvard) before submission.</w:t>
      </w:r>
    </w:p>
    <w:p>
      <w:pPr>
        <w:pStyle w:val="Heading2"/>
      </w:pPr>
      <w:r>
        <w:t>Traffic Sign Detection and Computer Vision</w:t>
      </w:r>
    </w:p>
    <w:p>
      <w:r>
        <w:t>[1] J. Stallkamp, M. Schlipsing, J. Salmen, and C. Igel, "Man vs. computer:</w:t>
      </w:r>
    </w:p>
    <w:p>
      <w:r>
        <w:t>Benchmarking machine learning algorithms for traffic sign recognition," *Neural</w:t>
      </w:r>
    </w:p>
    <w:p>
      <w:r>
        <w:t>Networks</w:t>
      </w:r>
      <w:r>
        <w:rPr>
          <w:i/>
        </w:rPr>
        <w:t xml:space="preserve">, vol. 32, pp. 323–332, 2012. DOI: 10.1016/j.neunet.2012.02.016 </w:t>
      </w:r>
      <w:r>
        <w:t>[Peer-reviewed]*</w:t>
      </w:r>
    </w:p>
    <w:p>
      <w:r>
        <w:t>[2] S. Houben, J. Stallkamp, J. Salmen, M. Schlipsing, and C. Igel, "Detection of</w:t>
      </w:r>
    </w:p>
    <w:p>
      <w:r>
        <w:t>traffic signs in real-world images: The German Traffic Sign Detection Benchmark," in</w:t>
      </w:r>
    </w:p>
    <w:p>
      <w:r>
        <w:rPr>
          <w:i/>
        </w:rPr>
        <w:t>Proc. IEEE International Joint Conference on Neural Networks (IJCNN)</w:t>
      </w:r>
      <w:r>
        <w:t>, 2013.</w:t>
      </w:r>
    </w:p>
    <w:p>
      <w:r>
        <w:rPr>
          <w:i/>
        </w:rPr>
        <w:t>[Peer-reviewed]</w:t>
      </w:r>
    </w:p>
    <w:p>
      <w:r>
        <w:t>[3] J. Redmon, S. Divvala, R. Girshick, and A. Farhadi, "You Only Look Once: Unified,</w:t>
      </w:r>
    </w:p>
    <w:p>
      <w:r>
        <w:t>Real-Time Object Detection," in *Proc. IEEE Conference on Computer Vision and Pattern</w:t>
      </w:r>
    </w:p>
    <w:p>
      <w:r>
        <w:t>Recognition (CVPR)</w:t>
      </w:r>
      <w:r>
        <w:rPr>
          <w:i/>
        </w:rPr>
        <w:t xml:space="preserve">, 2016, pp. 779–788. DOI: 10.1109/CVPR.2016.91 </w:t>
      </w:r>
      <w:r>
        <w:t>[Peer-reviewed]*</w:t>
      </w:r>
    </w:p>
    <w:p>
      <w:r>
        <w:t>[4] S. Ren, K. He, R. Girshick, and J. Sun, "Faster R-CNN: Towards Real-Time Object</w:t>
      </w:r>
    </w:p>
    <w:p>
      <w:r>
        <w:t>Detection with Region Proposal Networks," in *Advances in Neural Information Processing</w:t>
      </w:r>
    </w:p>
    <w:p>
      <w:r>
        <w:t>Systems (NIPS)</w:t>
      </w:r>
      <w:r>
        <w:rPr>
          <w:i/>
        </w:rPr>
        <w:t xml:space="preserve">, vol. 28, 2015, pp. 91–99. </w:t>
      </w:r>
      <w:r>
        <w:t>[Peer-reviewed]*</w:t>
      </w:r>
    </w:p>
    <w:p>
      <w:r>
        <w:t>[5] W. Liu, D. Anguelov, D. Erhan, C. Szegedy, S. Reed, C.-Y. Fu, and A. C. Berg,</w:t>
      </w:r>
    </w:p>
    <w:p>
      <w:r>
        <w:t>"SSD: Single Shot MultiBox Detector," in *Proc. European Conference on Computer Vision</w:t>
      </w:r>
    </w:p>
    <w:p>
      <w:r>
        <w:t>(ECCV)</w:t>
      </w:r>
      <w:r>
        <w:rPr>
          <w:i/>
        </w:rPr>
        <w:t xml:space="preserve">, 2016, pp. 21–37. DOI: 10.1007/978-3-319-46448-0_2 </w:t>
      </w:r>
      <w:r>
        <w:t>[Peer-reviewed]*</w:t>
      </w:r>
    </w:p>
    <w:p>
      <w:pPr>
        <w:pStyle w:val="Heading2"/>
      </w:pPr>
      <w:r>
        <w:t>Geospatial Localization and Clustering</w:t>
      </w:r>
    </w:p>
    <w:p>
      <w:r>
        <w:t xml:space="preserve">[6] R. W. Sinnott, "Virtues of the Haversine," </w:t>
      </w:r>
      <w:r>
        <w:rPr>
          <w:i/>
        </w:rPr>
        <w:t>Sky &amp; Telescope</w:t>
      </w:r>
      <w:r>
        <w:t>, vol. 68, no. 2,</w:t>
      </w:r>
    </w:p>
    <w:p>
      <w:r>
        <w:t xml:space="preserve">pp. 158–159, 1984. </w:t>
      </w:r>
      <w:r>
        <w:rPr>
          <w:i/>
        </w:rPr>
        <w:t>[Technical/historical reference]</w:t>
      </w:r>
    </w:p>
    <w:p>
      <w:r>
        <w:t>[7] M. Ester, H.-P. Kriegel, J. Sander, and X. Xu, "A Density-Based Algorithm for</w:t>
      </w:r>
    </w:p>
    <w:p>
      <w:r>
        <w:t>Discovering Clusters in Large Spatial Databases with Noise," in *Proc. 2nd International</w:t>
      </w:r>
    </w:p>
    <w:p>
      <w:r>
        <w:t>Conference on Knowledge Discovery and Data Mining (KDD)*, 1996, pp. 226–231.</w:t>
      </w:r>
    </w:p>
    <w:p>
      <w:r>
        <w:rPr>
          <w:i/>
        </w:rPr>
        <w:t>[Peer-reviewed]</w:t>
      </w:r>
    </w:p>
    <w:p>
      <w:r>
        <w:t>[15] U.S. Government, "Global Positioning System Standard Positioning Service (SPS)</w:t>
      </w:r>
    </w:p>
    <w:p>
      <w:r>
        <w:t>Performance Standard," 5th ed., April 2020. https://www.gps.gov (accessed 2026).</w:t>
      </w:r>
    </w:p>
    <w:p>
      <w:r>
        <w:rPr>
          <w:i/>
        </w:rPr>
        <w:t>[Technical standard / official]</w:t>
      </w:r>
    </w:p>
    <w:p>
      <w:pPr>
        <w:pStyle w:val="Heading2"/>
      </w:pPr>
      <w:r>
        <w:t>Web Mapping and Dashboard Systems</w:t>
      </w:r>
    </w:p>
    <w:p>
      <w:r>
        <w:t>[8] Leaflet, "Leaflet — an open-source JavaScript library for interactive maps," official</w:t>
      </w:r>
    </w:p>
    <w:p>
      <w:r>
        <w:t xml:space="preserve">documentation, https://leafletjs.com (accessed 2026). </w:t>
      </w:r>
      <w:r>
        <w:rPr>
          <w:i/>
        </w:rPr>
        <w:t>[Official documentation]</w:t>
      </w:r>
    </w:p>
    <w:p>
      <w:r>
        <w:t>[9] OpenStreetMap Foundation, "OpenStreetMap," https://www.openstreetmap.org</w:t>
      </w:r>
    </w:p>
    <w:p>
      <w:r>
        <w:t xml:space="preserve">(accessed 2026). </w:t>
      </w:r>
      <w:r>
        <w:rPr>
          <w:i/>
        </w:rPr>
        <w:t>[Official documentation]</w:t>
      </w:r>
    </w:p>
    <w:p>
      <w:pPr>
        <w:pStyle w:val="Heading2"/>
      </w:pPr>
      <w:r>
        <w:t>Platform and Security Documentation</w:t>
      </w:r>
    </w:p>
    <w:p>
      <w:r>
        <w:t>[10] Vercel, "Next.js Documentation," https://nextjs.org/docs (accessed 2026).</w:t>
      </w:r>
    </w:p>
    <w:p>
      <w:r>
        <w:rPr>
          <w:i/>
        </w:rPr>
        <w:t>[Official documentation]</w:t>
      </w:r>
    </w:p>
    <w:p>
      <w:r>
        <w:t>[11] Supabase, "Supabase Documentation," https://supabase.com/docs (accessed 2026).</w:t>
      </w:r>
    </w:p>
    <w:p>
      <w:r>
        <w:rPr>
          <w:i/>
        </w:rPr>
        <w:t>[Official documentation]</w:t>
      </w:r>
    </w:p>
    <w:p>
      <w:r>
        <w:t>[12] PostgreSQL Global Development Group, "Row Security Policies," PostgreSQL</w:t>
      </w:r>
    </w:p>
    <w:p>
      <w:r>
        <w:t>Documentation, https://www.postgresql.org/docs/current/ddl-rowsecurity.html</w:t>
      </w:r>
    </w:p>
    <w:p>
      <w:r>
        <w:t xml:space="preserve">(accessed 2026). </w:t>
      </w:r>
      <w:r>
        <w:rPr>
          <w:i/>
        </w:rPr>
        <w:t>[Official documentation]</w:t>
      </w:r>
    </w:p>
    <w:p>
      <w:r>
        <w:t>[13] PostGIS Project, "PostGIS Documentation," https://postgis.net/documentation/</w:t>
      </w:r>
    </w:p>
    <w:p>
      <w:r>
        <w:t xml:space="preserve">(accessed 2026). </w:t>
      </w:r>
      <w:r>
        <w:rPr>
          <w:i/>
        </w:rPr>
        <w:t>[Official documentation]</w:t>
      </w:r>
    </w:p>
    <w:p>
      <w:pPr>
        <w:pStyle w:val="Heading2"/>
      </w:pPr>
      <w:r>
        <w:t>Road Safety / Motivation</w:t>
      </w:r>
    </w:p>
    <w:p>
      <w:r>
        <w:t>[14] World Health Organization, "Global status report on road safety 2023," WHO, Geneva,</w:t>
      </w:r>
    </w:p>
    <w:p>
      <w:pPr>
        <w:pStyle w:val="ListNumber"/>
      </w:pPr>
      <w:r>
        <w:t>ISBN 978-92-4-008651-7. https://www.who.int/publications/i/item/9789240086456</w:t>
      </w:r>
    </w:p>
    <w:p>
      <w:r>
        <w:t xml:space="preserve">(accessed 2026). </w:t>
      </w:r>
      <w:r>
        <w:rPr>
          <w:i/>
        </w:rPr>
        <w:t>[Official report]</w:t>
      </w:r>
    </w:p>
    <w:p>
      <w:pPr>
        <w:pStyle w:val="Heading2"/>
      </w:pPr>
      <w:r>
        <w:t>Human-in-the-Loop / ML Data Quality</w:t>
      </w:r>
    </w:p>
    <w:p>
      <w:r>
        <w:t>[16] X. Wu, L. Xiao, Y. Sun, J. Zhang, T. Ma, and L. He, "A survey of human-in-the-loop</w:t>
      </w:r>
    </w:p>
    <w:p>
      <w:r>
        <w:t xml:space="preserve">for machine learning," </w:t>
      </w:r>
      <w:r>
        <w:rPr>
          <w:i/>
        </w:rPr>
        <w:t>Future Generation Computer Systems</w:t>
      </w:r>
      <w:r>
        <w:t>, vol. 135, pp. 364–381, 2022.</w:t>
      </w:r>
    </w:p>
    <w:p>
      <w:r>
        <w:t xml:space="preserve">DOI: 10.1016/j.future.2022.05.014 </w:t>
      </w:r>
      <w:r>
        <w:rPr>
          <w:i/>
        </w:rPr>
        <w:t>[Peer-reviewed]</w:t>
      </w:r>
    </w:p>
    <w:p>
      <w:pPr>
        <w:pStyle w:val="Heading3"/>
      </w:pPr>
      <w:r>
        <w:t>Verification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Ref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Metadata verified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DOI/ISBN</w:t>
            </w:r>
          </w:p>
        </w:tc>
      </w:tr>
      <w:tr>
        <w:tc>
          <w:tcPr>
            <w:tcW w:type="dxa" w:w="2160"/>
          </w:tcPr>
          <w:p>
            <w:r/>
            <w:r>
              <w:t>[1]</w:t>
            </w:r>
          </w:p>
        </w:tc>
        <w:tc>
          <w:tcPr>
            <w:tcW w:type="dxa" w:w="2160"/>
          </w:tcPr>
          <w:p>
            <w:r/>
            <w:r>
              <w:t>Journal (Neural Networks)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DOI 10.1016/j.neunet.2012.02.016</w:t>
            </w:r>
          </w:p>
        </w:tc>
      </w:tr>
      <w:tr>
        <w:tc>
          <w:tcPr>
            <w:tcW w:type="dxa" w:w="2160"/>
          </w:tcPr>
          <w:p>
            <w:r/>
            <w:r>
              <w:t>[2]</w:t>
            </w:r>
          </w:p>
        </w:tc>
        <w:tc>
          <w:tcPr>
            <w:tcW w:type="dxa" w:w="2160"/>
          </w:tcPr>
          <w:p>
            <w:r/>
            <w:r>
              <w:t>Conference (IJCNN)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[3]</w:t>
            </w:r>
          </w:p>
        </w:tc>
        <w:tc>
          <w:tcPr>
            <w:tcW w:type="dxa" w:w="2160"/>
          </w:tcPr>
          <w:p>
            <w:r/>
            <w:r>
              <w:t>Conference (CVPR)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DOI 10.1109/CVPR.2016.91</w:t>
            </w:r>
          </w:p>
        </w:tc>
      </w:tr>
      <w:tr>
        <w:tc>
          <w:tcPr>
            <w:tcW w:type="dxa" w:w="2160"/>
          </w:tcPr>
          <w:p>
            <w:r/>
            <w:r>
              <w:t>[4]</w:t>
            </w:r>
          </w:p>
        </w:tc>
        <w:tc>
          <w:tcPr>
            <w:tcW w:type="dxa" w:w="2160"/>
          </w:tcPr>
          <w:p>
            <w:r/>
            <w:r>
              <w:t>Conference (NeurIPS/NIPS)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[5]</w:t>
            </w:r>
          </w:p>
        </w:tc>
        <w:tc>
          <w:tcPr>
            <w:tcW w:type="dxa" w:w="2160"/>
          </w:tcPr>
          <w:p>
            <w:r/>
            <w:r>
              <w:t>Conference (ECCV/LNCS)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DOI 10.1007/978-3-319-46448-0_2</w:t>
            </w:r>
          </w:p>
        </w:tc>
      </w:tr>
      <w:tr>
        <w:tc>
          <w:tcPr>
            <w:tcW w:type="dxa" w:w="2160"/>
          </w:tcPr>
          <w:p>
            <w:r/>
            <w:r>
              <w:t>[6]</w:t>
            </w:r>
          </w:p>
        </w:tc>
        <w:tc>
          <w:tcPr>
            <w:tcW w:type="dxa" w:w="2160"/>
          </w:tcPr>
          <w:p>
            <w:r/>
            <w:r>
              <w:t>Magazine (Sky &amp; Telescope)</w:t>
            </w:r>
          </w:p>
        </w:tc>
        <w:tc>
          <w:tcPr>
            <w:tcW w:type="dxa" w:w="2160"/>
          </w:tcPr>
          <w:p>
            <w:r/>
            <w:r>
              <w:t>yes (page 158–159)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[7]</w:t>
            </w:r>
          </w:p>
        </w:tc>
        <w:tc>
          <w:tcPr>
            <w:tcW w:type="dxa" w:w="2160"/>
          </w:tcPr>
          <w:p>
            <w:r/>
            <w:r>
              <w:t>Conference (KDD)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[8]–[13]</w:t>
            </w:r>
          </w:p>
        </w:tc>
        <w:tc>
          <w:tcPr>
            <w:tcW w:type="dxa" w:w="2160"/>
          </w:tcPr>
          <w:p>
            <w:r/>
            <w:r>
              <w:t>Official documentation</w:t>
            </w:r>
          </w:p>
        </w:tc>
        <w:tc>
          <w:tcPr>
            <w:tcW w:type="dxa" w:w="2160"/>
          </w:tcPr>
          <w:p>
            <w:r/>
            <w:r>
              <w:t>canonical sites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[14]</w:t>
            </w:r>
          </w:p>
        </w:tc>
        <w:tc>
          <w:tcPr>
            <w:tcW w:type="dxa" w:w="2160"/>
          </w:tcPr>
          <w:p>
            <w:r/>
            <w:r>
              <w:t>Official report (WHO)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ISBN 978-92-4-008651-7</w:t>
            </w:r>
          </w:p>
        </w:tc>
      </w:tr>
      <w:tr>
        <w:tc>
          <w:tcPr>
            <w:tcW w:type="dxa" w:w="2160"/>
          </w:tcPr>
          <w:p>
            <w:r/>
            <w:r>
              <w:t>[15]</w:t>
            </w:r>
          </w:p>
        </w:tc>
        <w:tc>
          <w:tcPr>
            <w:tcW w:type="dxa" w:w="2160"/>
          </w:tcPr>
          <w:p>
            <w:r/>
            <w:r>
              <w:t>Technical standard (gps.gov)</w:t>
            </w:r>
          </w:p>
        </w:tc>
        <w:tc>
          <w:tcPr>
            <w:tcW w:type="dxa" w:w="2160"/>
          </w:tcPr>
          <w:p>
            <w:r/>
            <w:r>
              <w:t>yes (5th ed., Apr 2020)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[16]</w:t>
            </w:r>
          </w:p>
        </w:tc>
        <w:tc>
          <w:tcPr>
            <w:tcW w:type="dxa" w:w="2160"/>
          </w:tcPr>
          <w:p>
            <w:r/>
            <w:r>
              <w:t>Journal (FGCS)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DOI 10.1016/j.future.2022.05.014</w:t>
            </w:r>
          </w:p>
        </w:tc>
      </w:tr>
    </w:tbl>
    <w:p>
      <w:r>
        <w:t>Notes: [2], [4], [7] are cited without a DOI (none confirmed during preparation). [6]'s</w:t>
      </w:r>
    </w:p>
    <w:p>
      <w:r>
        <w:t>exact page (158 vs. 159) should be finalised against the print/ADS record. [15] is the</w:t>
      </w:r>
    </w:p>
    <w:p>
      <w:r>
        <w:t>5th edition (April 2020), the edition in effect at preparation time; cite the specific</w:t>
      </w:r>
    </w:p>
    <w:p>
      <w:r>
        <w:t>PDF URL if the style requires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