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 w:eastAsia="Microsoft YaHei"/>
          <w:b/>
          <w:color w:val="2E74B5"/>
          <w:sz w:val="20"/>
        </w:rPr>
        <w:t>TECHNICAL PROTOCOL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48"/>
        </w:rPr>
        <w:t>Masterpiece OS 文档分析流程协议</w:t>
      </w:r>
    </w:p>
    <w:p>
      <w:pPr>
        <w:spacing w:after="320"/>
      </w:pPr>
      <w:r>
        <w:rPr>
          <w:rFonts w:ascii="Calibri" w:hAnsi="Calibri" w:eastAsia="Microsoft YaHei"/>
          <w:color w:val="667085"/>
          <w:sz w:val="26"/>
        </w:rPr>
        <w:t>Brand DNA V3 Deep Compact · 核心质量修复基线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21"/>
        </w:rPr>
        <w:t>协议版本：</w:t>
      </w:r>
      <w:r>
        <w:rPr>
          <w:rFonts w:ascii="Calibri" w:hAnsi="Calibri" w:eastAsia="Microsoft YaHei"/>
          <w:color w:val="1F2937"/>
          <w:sz w:val="21"/>
        </w:rPr>
        <w:t>1.0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21"/>
        </w:rPr>
        <w:t>实现协议：</w:t>
      </w:r>
      <w:r>
        <w:rPr>
          <w:rFonts w:ascii="Calibri" w:hAnsi="Calibri" w:eastAsia="Microsoft YaHei"/>
          <w:color w:val="1F2937"/>
          <w:sz w:val="21"/>
        </w:rPr>
        <w:t>brand-dna-v3-deep-compact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21"/>
        </w:rPr>
        <w:t>代码基线：</w:t>
      </w:r>
      <w:r>
        <w:rPr>
          <w:rFonts w:ascii="Calibri" w:hAnsi="Calibri" w:eastAsia="Microsoft YaHei"/>
          <w:color w:val="1F2937"/>
          <w:sz w:val="21"/>
        </w:rPr>
        <w:t>feature/brand-dna-v3-core-quality-fix @ c48cb5e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21"/>
        </w:rPr>
        <w:t>生效日期：</w:t>
      </w:r>
      <w:r>
        <w:rPr>
          <w:rFonts w:ascii="Calibri" w:hAnsi="Calibri" w:eastAsia="Microsoft YaHei"/>
          <w:color w:val="1F2937"/>
          <w:sz w:val="21"/>
        </w:rPr>
        <w:t>2026-07-18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21"/>
        </w:rPr>
        <w:t>状态：</w:t>
      </w:r>
      <w:r>
        <w:rPr>
          <w:rFonts w:ascii="Calibri" w:hAnsi="Calibri" w:eastAsia="Microsoft YaHei"/>
          <w:color w:val="1F2937"/>
          <w:sz w:val="21"/>
        </w:rPr>
        <w:t>灰度可用；Desktop 默认仍为 v2-reliable</w:t>
      </w:r>
    </w:p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E2F0"/>
          <w:left w:val="single" w:sz="6" w:space="0" w:color="D6E2F0"/>
          <w:bottom w:val="single" w:sz="6" w:space="0" w:color="D6E2F0"/>
          <w:right w:val="single" w:sz="6" w:space="0" w:color="D6E2F0"/>
          <w:insideH w:val="single" w:sz="6" w:space="0" w:color="D6E2F0"/>
          <w:insideV w:val="single" w:sz="6" w:space="0" w:color="D6E2F0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协议结论：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本协议定义从文档导入、结构化证据抽取、品牌决策、质量闸门、视觉任务规划、图片 Prompt 编译、独立审计到本地报告交付的完整可恢复流程。正常短文档路径调用模型 5 次；仅核心交付调用 2 次；受限修复异常路径最多 7 次。</w:t>
            </w:r>
          </w:p>
        </w:tc>
      </w:tr>
    </w:tbl>
    <w:p>
      <w:pPr>
        <w:spacing w:after="20"/>
      </w:pPr>
    </w:p>
    <w:p>
      <w:pPr>
        <w:pStyle w:val="Heading1"/>
      </w:pPr>
      <w:r>
        <w:t>1. 目的与适用范围</w:t>
      </w:r>
    </w:p>
    <w:p>
      <w:pPr>
        <w:keepNext w:val="0"/>
        <w:spacing w:after="120"/>
      </w:pPr>
      <w:r>
        <w:rPr>
          <w:rFonts w:ascii="Calibri" w:hAnsi="Calibri" w:eastAsia="Microsoft YaHei"/>
          <w:i w:val="0"/>
          <w:color w:val="1F2937"/>
          <w:sz w:val="22"/>
        </w:rPr>
        <w:t>本协议用于约束 Masterpiece OS Desktop 的品牌策划文档分析行为，确保输入可解析、事实可追溯、判断与建议分离、阶段可恢复、修复范围可证明、报告可稳定交付。</w:t>
      </w:r>
    </w:p>
    <w:p>
      <w:pPr>
        <w:keepNext w:val="0"/>
        <w:spacing w:after="120"/>
      </w:pPr>
      <w:r>
        <w:rPr>
          <w:rFonts w:ascii="Calibri" w:hAnsi="Calibri" w:eastAsia="Microsoft YaHei"/>
          <w:b/>
          <w:color w:val="1F2937"/>
          <w:sz w:val="22"/>
        </w:rPr>
        <w:t>适用对象：</w:t>
      </w:r>
      <w:r>
        <w:rPr>
          <w:rFonts w:ascii="Calibri" w:hAnsi="Calibri" w:eastAsia="Microsoft YaHei"/>
          <w:i w:val="0"/>
          <w:color w:val="1F2937"/>
          <w:sz w:val="22"/>
        </w:rPr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PDF、DOCX、Markdown、TXT 品牌策划或品牌资料的导入与结构化分析；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Brand DNA V3 核心报告与完整创意转译报告；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阶段 Checkpoint、恢复执行、质量审计和受限字段修复；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Desktop 灰度路由 v3-deep-compact。</w:t>
      </w:r>
    </w:p>
    <w:p>
      <w:pPr>
        <w:keepNext w:val="0"/>
        <w:spacing w:after="120"/>
      </w:pPr>
      <w:r>
        <w:rPr>
          <w:rFonts w:ascii="Calibri" w:hAnsi="Calibri" w:eastAsia="Microsoft YaHei"/>
          <w:b/>
          <w:color w:val="1F2937"/>
          <w:sz w:val="22"/>
        </w:rPr>
        <w:t>不在范围：</w:t>
      </w:r>
      <w:r>
        <w:rPr>
          <w:rFonts w:ascii="Calibri" w:hAnsi="Calibri" w:eastAsia="Microsoft YaHei"/>
          <w:i w:val="0"/>
          <w:color w:val="1F2937"/>
          <w:sz w:val="22"/>
        </w:rPr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扫描型 PDF 的 OCR 或原生视觉理解；当前 PDF 路径只提取文本层；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真实 Qwen A/B 的 Token、费用、延迟和连续成功率结论；未经授权不得虚构；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图片生成本身；本协议止于可执行图片任务与英文 Prompt 的生成、校验和审计。</w:t>
      </w:r>
    </w:p>
    <w:p>
      <w:pPr>
        <w:pStyle w:val="Heading1"/>
      </w:pPr>
      <w:r>
        <w:t>2. 规范性术语与总原则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术语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必须（MUST）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强制要求；违反即视为协议不合规。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应（SHOULD）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默认要求；偏离时必须记录理由与风险。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可（MAY）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允许能力；不影响最低合规性。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本地阶段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不调用外部模型，由确定性代码完成。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模型阶段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通过 OpenAI-compatible text reasoner 调用；消息内容必须是纯文本。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受限 Patch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仅对审计或质量门白名单中的既有叶子字段执行 replace，不允许整对象重生成。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证据优先：所有确认事实必须映射到 Evidence ID、Source ID、Chunk ID 和最短必要引文。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边界分明：confirmed、reasonable-inference、suggested、missing、conflicting 不得混写。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核心先交付：核心质量门通过后必须先保存核心报告；视觉扩展失败不得抹除核心成果。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失败关闭：Schema、质量门或独立审计未通过时，不得伪装为完整成功。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本地编译：最终 Markdown 报告必须由已校验对象本地编译，不得直接采用模型自由文本。</w:t>
      </w:r>
    </w:p>
    <w:p>
      <w:pPr>
        <w:pStyle w:val="Heading1"/>
      </w:pPr>
      <w:r>
        <w:t>3. 端到端流程总览</w:t>
      </w:r>
    </w:p>
    <w:p>
      <w:pPr>
        <w:keepNext w:val="0"/>
        <w:spacing w:after="120"/>
      </w:pPr>
      <w:r>
        <w:rPr>
          <w:rFonts w:ascii="Calibri" w:hAnsi="Calibri" w:eastAsia="Microsoft YaHei"/>
          <w:b/>
          <w:color w:val="1F2937"/>
          <w:sz w:val="22"/>
        </w:rPr>
        <w:t>正常路径：</w:t>
      </w:r>
      <w:r>
        <w:rPr>
          <w:rFonts w:ascii="Calibri" w:hAnsi="Calibri" w:eastAsia="Microsoft YaHei"/>
          <w:i w:val="0"/>
          <w:color w:val="1F2937"/>
          <w:sz w:val="22"/>
        </w:rPr>
      </w:r>
    </w:p>
    <w:p>
      <w:pPr>
        <w:pStyle w:val="ProtocolCode"/>
      </w:pPr>
      <w:r>
        <w:t>导入/解析 → 00 文档准备 → 01 Evidence Map → 02 Brand Creative Decision</w:t>
        <w:br/>
        <w:t>→ 03 核心质量门 → 04 核心报告 → 05 视觉系统与任务计划</w:t>
        <w:br/>
        <w:t>→ 06 图片 Prompt 编译 → 07 独立审计 → 08 完整报告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E2F0"/>
          <w:left w:val="single" w:sz="6" w:space="0" w:color="D6E2F0"/>
          <w:bottom w:val="single" w:sz="6" w:space="0" w:color="D6E2F0"/>
          <w:right w:val="single" w:sz="6" w:space="0" w:color="D6E2F0"/>
          <w:insideH w:val="single" w:sz="6" w:space="0" w:color="D6E2F0"/>
          <w:insideV w:val="single" w:sz="6" w:space="0" w:color="D6E2F0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模型调用预算：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正常短文档路径为 5 次模型调用（01、02、05、06、07）；核心路径为 2 次。证据批处理会按文档规模增加 01 阶段调用；受限修复时最多增加 Decision Patch 1 次，或 Audit Patch + Recheck 2 次。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620"/>
        <w:gridCol w:w="1900"/>
        <w:gridCol w:w="780"/>
        <w:gridCol w:w="1500"/>
        <w:gridCol w:w="1500"/>
        <w:gridCol w:w="306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序号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阶段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输入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输出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document-preparation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本地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Corpus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Prepared Document Set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解析、去重、切块、Hash、项目名候选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evidence-map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Prepared Set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Evidence Map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只抽取事实、冲突与缺失，不做策略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02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brand-creative-decision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Evidence + Locked Facts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Decision v3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一次完成战略、七类 DNA、命题与视觉机制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03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core-quality-gate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本地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Decision + Evidence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Gate Result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硬规则检查；必要时允许一次受限修复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04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core-report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本地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已通过核心对象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Core Report MD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先构建只读 View Model，再编译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05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visual-system-task-plan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Approved Decision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Visual Plan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视觉系统、边界与 2–8 张任务骨架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06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image-prompt-compiler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Decision + Visual Plan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Compiled Tasks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一次编译整套英文 Prompt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07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final-audit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独立模型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统一审计对象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Audit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评分、问题 Path、允许修复 Path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08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final-report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本地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全量已通过对象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Full Report MD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输出完整报告与运行附录</w:t>
            </w:r>
          </w:p>
        </w:tc>
      </w:tr>
    </w:tbl>
    <w:p>
      <w:pPr>
        <w:spacing w:after="20"/>
      </w:pPr>
    </w:p>
    <w:p>
      <w:pPr>
        <w:pStyle w:val="Heading1"/>
      </w:pPr>
      <w:r>
        <w:t>4. 输入与文档预处理协议</w:t>
      </w:r>
    </w:p>
    <w:p>
      <w:pPr>
        <w:pStyle w:val="Heading2"/>
      </w:pPr>
      <w:r>
        <w:t>4.1 支持格式与解析规则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100"/>
        <w:gridCol w:w="4660"/>
        <w:gridCol w:w="360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格式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解析行为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关键限制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PDF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按页读取文本层，按坐标恢复行序；每页形成一个 Section。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空页告警；全部无文本则失败，并提示扫描件/视觉输入。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DOCX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读取 word/document.xml；保留 Heading、列表、表格内容。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损坏或缺少 document.xml 失败；表格转 Markdown 进入语料。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Markdown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按 #–###### 建立章节。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保留标题层级与正文。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TXT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UTF-8/BOM/UTF-16LE；必要时尝试 GB18030。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编码不确定时产生 warning。</w:t>
            </w:r>
          </w:p>
        </w:tc>
      </w:tr>
    </w:tbl>
    <w:p>
      <w:pPr>
        <w:spacing w:after="20"/>
      </w:pPr>
    </w:p>
    <w:p>
      <w:pPr>
        <w:pStyle w:val="Heading2"/>
      </w:pPr>
      <w:r>
        <w:t>4.2 Corpus 契约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每个 NormalizedDocument 必须包含 id、原始 filename、mimeType、sourceType、title、rawText、sections、characterCount 与 parseWarnings。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系统必须保留用户原始文件名；内部 UUID 文件名不得覆盖报告中的来源名称。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单文档超过 500,000 字符时，必须按章节边界截断并写入 warning，不得静默截断。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Corpus 必须包含 documents、sourceIndex、mergedText、warnings；每份文档以明确边界包裹。</w:t>
      </w:r>
    </w:p>
    <w:p>
      <w:pPr>
        <w:pStyle w:val="Heading2"/>
      </w:pPr>
      <w:r>
        <w:t>4.3 Prepared Document Set 契约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生成 Source Registry：sourceId、originalFileName、displayName、fileType、contentHash、characterCount。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正文按语义段落切分，单块默认不超过 4,000 字符；每块包含 chunkId、sourceId、sectionPath、text、contentHash。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按规范化内容 Hash 去重；documentSetHash 由来源注册表与 Chunk 身份集合确定。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项目名候选来自文档标题与文件名；必须清除“品牌战略升级、DNA 提炼、分析报告、生成、测试”等分析任务词，并将任务词单独保留为 analysisTaskName。</w:t>
      </w:r>
    </w:p>
    <w:p>
      <w:pPr>
        <w:pStyle w:val="Heading1"/>
      </w:pPr>
      <w:r>
        <w:t>5. 核心分析协议</w:t>
      </w:r>
    </w:p>
    <w:p>
      <w:pPr>
        <w:pStyle w:val="Heading2"/>
      </w:pPr>
      <w:r>
        <w:t>5.1 Evidence Map</w:t>
      </w:r>
    </w:p>
    <w:p>
      <w:pPr>
        <w:keepNext w:val="0"/>
        <w:spacing w:after="120"/>
      </w:pPr>
      <w:r>
        <w:rPr>
          <w:rFonts w:ascii="Calibri" w:hAnsi="Calibri" w:eastAsia="Microsoft YaHei"/>
          <w:i w:val="0"/>
          <w:color w:val="1F2937"/>
          <w:sz w:val="22"/>
        </w:rPr>
        <w:t>Evidence 阶段只负责事实映射，不得输出策略、DNA、命题或视觉方案。最短必要引文不得超过 100 字；类别必须来自约定枚举。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条件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执行规则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短文档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总字符 ≤ 30,000 且 Chunk ≤ 20：单批调用。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长文档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每 12 个 Chunk 一组，最多 2 组并发；随后本地合并。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输出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evidence[]、conflicts[]、missingInformation[]。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evidence-map-prompt-v3.3 / evidence-map-v3。</w:t>
            </w:r>
          </w:p>
        </w:tc>
      </w:tr>
    </w:tbl>
    <w:p>
      <w:pPr>
        <w:spacing w:after="20"/>
      </w:pPr>
    </w:p>
    <w:p>
      <w:pPr>
        <w:pStyle w:val="Heading2"/>
      </w:pPr>
      <w:r>
        <w:t>5.2 Brand Creative Decision</w:t>
      </w:r>
    </w:p>
    <w:p>
      <w:pPr>
        <w:keepNext w:val="0"/>
        <w:spacing w:after="120"/>
      </w:pPr>
      <w:r>
        <w:rPr>
          <w:rFonts w:ascii="Calibri" w:hAnsi="Calibri" w:eastAsia="Microsoft YaHei"/>
          <w:i w:val="0"/>
          <w:color w:val="1F2937"/>
          <w:sz w:val="22"/>
        </w:rPr>
        <w:t>本阶段是核心流程唯一一次深度决策，必须只依据 Evidence Map 与 Locked Facts，一次完成战略重建、批判诊断、七类 DNA、唯一创意命题和专属视觉机制候选。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Identity 必须拆分 projectName、brandName、analysisTaskName、industry、businessRole、brandPositioning、developmentStage、证据与置信度。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Audience 必须支持 primary / secondary / extension；Needs、Barriers、Use Cases 均使用带状态和证据的 Insight Item。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Genes 必须固定为 G01–G07：functional、capability、relational、emotional、cultural、behavioral、aesthetic。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Cultural maturity 必须为 embedded / declared / aspirational / not-applicable 之一；声明型或愿景型文化默认不得为 high confidence。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Risk 必须逐条包含 riskId、status、severity、topic、statement、evidenceIds、recommendedAction。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Creative Thesis 必须给出 geneIds、evidenceIds、覆盖度与 distinctiveMechanism；不得直接复用现有 Slogan。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E2F0"/>
          <w:left w:val="single" w:sz="6" w:space="0" w:color="D6E2F0"/>
          <w:bottom w:val="single" w:sz="6" w:space="0" w:color="D6E2F0"/>
          <w:right w:val="single" w:sz="6" w:space="0" w:color="D6E2F0"/>
          <w:insideH w:val="single" w:sz="6" w:space="0" w:color="D6E2F0"/>
          <w:insideV w:val="single" w:sz="6" w:space="0" w:color="D6E2F0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核心版本：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brand-creative-decision-prompt-v3.3 / brand-dna-decision-schema-v3；核心协议仍为 brand-dna-v3-deep-compact。</w:t>
            </w:r>
          </w:p>
        </w:tc>
      </w:tr>
    </w:tbl>
    <w:p>
      <w:pPr>
        <w:spacing w:after="20"/>
      </w:pPr>
    </w:p>
    <w:p>
      <w:pPr>
        <w:pStyle w:val="Heading1"/>
      </w:pPr>
      <w:r>
        <w:t>6. 核心质量门与受限修复</w:t>
      </w:r>
    </w:p>
    <w:p>
      <w:pPr>
        <w:pStyle w:val="Heading2"/>
      </w:pPr>
      <w:r>
        <w:t>6.1 质量门硬规则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协议要求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Identity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Industry、Business Role、Positioning 不得混写；定位不能为空。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Audience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至少一个 Primary；Need 必须是客户结果；设计应用不得作为 Use Case。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Claims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无证据的“行业第一、唯一、最强、全国领先”等最高级视为硬问题。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Genes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Functional 表达客户结果；Capability 表达系统/资源/资质/组织能力；二者不得高重叠。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Culture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必须有 maturity；declared/aspirational 不得默认高置信。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Thesis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Capability、Relationship、Emotion、Differentiation 各 ≥ 3；总分 ≥ 16/25。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Visual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至少一个非通用且包含品牌因果机制的视觉机制。</w:t>
            </w:r>
          </w:p>
        </w:tc>
      </w:tr>
    </w:tbl>
    <w:p>
      <w:pPr>
        <w:spacing w:after="20"/>
      </w:pPr>
    </w:p>
    <w:p>
      <w:pPr>
        <w:pStyle w:val="Heading2"/>
      </w:pPr>
      <w:r>
        <w:t>6.2 Decision Patch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仅当质量门 issue 标记 patchable 且 enableModelPatch 不为 false 时，可执行一次 Decision Patch。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Patch 只能 replace 白名单 Path；越界 Path、伪造事实或完整对象替换必须拒绝。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Patch 后必须重新执行 Decision Schema 校验和 Core Quality Gate；仍失败则 CORE_QUALITY_GATE_FAILED。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通过后必须覆盖保存已修复 Decision 的 Checkpoint，并记录 patchUsed=true。</w:t>
      </w:r>
    </w:p>
    <w:p>
      <w:pPr>
        <w:pStyle w:val="Heading1"/>
      </w:pPr>
      <w:r>
        <w:t>7. 视觉扩展、Prompt 与独立审计</w:t>
      </w:r>
    </w:p>
    <w:p>
      <w:pPr>
        <w:pStyle w:val="Heading2"/>
      </w:pPr>
      <w:r>
        <w:t>7.1 Visual System &amp; Task Plan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只读取 Approved Decision 与 Locked Assets，不再读取完整原文。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输出专属资产、九类视觉方向、Image System、Generation Boundary 与 2–8 张任务骨架。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首张 Anchor 的 Previous Tasks 必须为空；后续任务必须声明与前序任务的一致性和差异职责。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Locked Facts、Locked Assets、Required、Suggested、Creative Freedom、Prohibited、Pending Confirmations 必须分区，禁止混写。</w:t>
      </w:r>
    </w:p>
    <w:p>
      <w:pPr>
        <w:pStyle w:val="Heading2"/>
      </w:pPr>
      <w:r>
        <w:t>7.2 Image Prompt Compiler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一次编译整套 2–8 张英文 Prompt；默认关闭思考。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每个 finalPrompt 必须为 180–350 个英文词，并保持 Task ID、Anchor、Previous Tasks、Logo Policy、Text Policy 一致。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不得伪造 Logo、认证标识、未经证实的声明或正式品牌文字。</w:t>
      </w:r>
    </w:p>
    <w:p>
      <w:pPr>
        <w:pStyle w:val="Heading2"/>
      </w:pPr>
      <w:r>
        <w:t>7.3 Final Independent Audit</w:t>
      </w:r>
    </w:p>
    <w:p>
      <w:pPr>
        <w:keepNext w:val="0"/>
        <w:spacing w:after="120"/>
      </w:pPr>
      <w:r>
        <w:rPr>
          <w:rFonts w:ascii="Calibri" w:hAnsi="Calibri" w:eastAsia="Microsoft YaHei"/>
          <w:i w:val="0"/>
          <w:color w:val="1F2937"/>
          <w:sz w:val="22"/>
        </w:rPr>
        <w:t>独立 Auditor 必须审查统一对象 decision、visualSystemTaskPlan、compiledImageTasks，只返回 status、score、八维评分、issues 及 allowedRepairPaths。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Audit 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pass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进入 08 本地完整报告编译；不得含 critical/major issue。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needs-patch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若允许修复，执行一次 Audit Patch，重新校验三个对象，再独立复审一次。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fail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立即失败关闭，不生成完整报告。</w:t>
            </w:r>
          </w:p>
        </w:tc>
      </w:tr>
    </w:tbl>
    <w:p>
      <w:pPr>
        <w:spacing w:after="20"/>
      </w:pPr>
    </w:p>
    <w:p>
      <w:pPr>
        <w:pStyle w:val="Heading2"/>
      </w:pPr>
      <w:r>
        <w:t>7.4 Audit Patch 安全边界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只允许修复 Auditor 白名单中的既有叶子字段；禁止替换 decision、visualSystemTaskPlan 或 compiledImageTasks 整体。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Identity 与 DNA 基因判断不得在审计 Patch 中改写。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不得删除或弱化 prohibitedElements、prohibitedClaims、pendingConfirmations 等边界；只允许保持或收紧。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复审仍非 pass 时，必须抛出 FINAL_AUDIT_FAILED，并保留 completed-core。</w:t>
      </w:r>
    </w:p>
    <w:p>
      <w:pPr>
        <w:pStyle w:val="Heading1"/>
      </w:pPr>
      <w:r>
        <w:t>8. Checkpoint 与恢复协议</w:t>
      </w:r>
    </w:p>
    <w:p>
      <w:pPr>
        <w:keepNext w:val="0"/>
        <w:spacing w:after="120"/>
      </w:pPr>
      <w:r>
        <w:rPr>
          <w:rFonts w:ascii="Calibri" w:hAnsi="Calibri" w:eastAsia="Microsoft YaHei"/>
          <w:i w:val="0"/>
          <w:color w:val="1F2937"/>
          <w:sz w:val="22"/>
        </w:rPr>
        <w:t>每个阶段完成并校验后必须写入 Checkpoint。恢复前必须同时满足以下条件，任何一项不匹配都必须安全失效并重跑该阶段：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恢复条件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version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brand-dna-v3-checkpoint-1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protocolVersion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brand-dna-v3-deep-compact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stageId / sequence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阶段身份与顺序一致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documentSetHash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输入文档集一致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upstreamHash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上游已批准对象一致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promptVersion / schemaVersion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协议实现版本一致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validationStatus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必须为 passed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outputHash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保存输出与 Hash 一致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V3 使用 brand-dna-v3-checkpoints.json，不得读取或覆盖 V2 Checkpoint。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Document Preparation 的持久化副本可移除 Chunk 正文以控制运行数据体积，但身份与 Hash 必须保留。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Prompt 或 Schema 升级只应使受影响阶段及其下游失效；Evidence 未变时应可复用。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恢复命中必须记录 kind=checkpoint、durationMs=0、resumed=true，不计模型调用。</w:t>
      </w:r>
    </w:p>
    <w:p>
      <w:pPr>
        <w:pStyle w:val="Heading1"/>
      </w:pPr>
      <w:r>
        <w:t>9. 输出、状态与降级交付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600"/>
        <w:gridCol w:w="3300"/>
        <w:gridCol w:w="44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触发条件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交付行为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completed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08 完整报告成功，Final Audit=pass。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保存完整报告、结果 JSON、run-report.json，并更新项目状态。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completed-core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04 核心报告已保存，但 05–07 失败或超预算。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保留核心报告并追加扩展状态；下次从 Checkpoint 继续。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failed-schema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核心完成前 Schema/解析失败。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不交付伪成功报告；写入失败阶段与错误码。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failed-quality-gate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核心质量门最终失败。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停止流程；不得进入视觉扩展。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cancelled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用户主动取消。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中止活动请求；保留已完成 Checkpoint。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failed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其他不可恢复错误。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记录友好错误和阶段；API Key 必须脱敏。</w:t>
            </w:r>
          </w:p>
        </w:tc>
      </w:tr>
    </w:tbl>
    <w:p>
      <w:pPr>
        <w:spacing w:after="20"/>
      </w:pPr>
    </w:p>
    <w:p>
      <w:pPr>
        <w:pStyle w:val="Heading2"/>
      </w:pPr>
      <w:r>
        <w:t>9.1 标准产物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600"/>
        <w:gridCol w:w="5760"/>
      </w:tblGrid>
      <w:tr>
        <w:trPr>
          <w:tblHeader w:val="true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产物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document-set.json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准备后的文档集身份与块索引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evidence-map.json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可追溯证据、冲突、缺失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brand-creative-decision.json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已校验核心决策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core-quality-gate.json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质量门结果与修复记录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brand-dna-core-report-v3.md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核心报告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visual-system-task-plan.json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视觉系统与任务骨架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compiled-image-tasks.json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可执行生图任务与 Prompt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final-audit.json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独立审计结果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brand-dna-full-report-v3.md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完整报告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run-report.json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模型、用量、耗时、状态、错误与产物索引</w:t>
            </w:r>
          </w:p>
        </w:tc>
      </w:tr>
    </w:tbl>
    <w:p>
      <w:pPr>
        <w:spacing w:after="20"/>
      </w:pPr>
    </w:p>
    <w:p>
      <w:pPr>
        <w:pStyle w:val="Heading1"/>
      </w:pPr>
      <w:r>
        <w:t>10. 运行预算、模型配置与取消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200"/>
        <w:gridCol w:w="850"/>
        <w:gridCol w:w="1300"/>
        <w:gridCol w:w="1900"/>
        <w:gridCol w:w="311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思考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思考预算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最大输出 Token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请求 / 阶段预算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01 Evidence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关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—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8,000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180s / 300s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02 Decision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开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6,000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10,000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300s / 420s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Decision Patch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关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—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1,500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120s / 150s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05 Visual Plan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开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3,000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8,000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240s / 360s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06 Prompt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关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—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8,000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240s / 360s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07 Audit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开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2,500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4,000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240s / 360s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Audit Patch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关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—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3,000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120s / 150s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完整流水线总预算为 20 分钟；达到预算时必须停止，并在核心已完成时交付 completed-core。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Reasoner 必须接收 AbortSignal；用户取消应抛出 AbortError 并更新状态为 cancelled。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Provider 未返回 usage 时记录 null，不得伪造 Token、费用或吞吐数据。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Final Audit 结构化解析/校验可最多尝试 2 次；OUTPUT_TRUNCATED 必须直接暴露，不得误判为普通 Schema 错误。</w:t>
      </w:r>
    </w:p>
    <w:p>
      <w:pPr>
        <w:pStyle w:val="Heading1"/>
      </w:pPr>
      <w:r>
        <w:t>11. 数据安全与事实边界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API Key 只可用于 Provider 请求；任何用户可见错误、运行日志和报告必须执行密钥脱敏。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输出不得包含未提供的 Logo、认证、市场第一、效果承诺或正式品牌文字。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Locked Facts 作为不可擅改事实；低置信度信息必须标记为合理推断或待确认。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报告附录应保留来源文件、Evidence Index、最短必要引文、Hash、模型、用量和阶段耗时。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发布检查门只使用本地 Fixture 和模拟模型，不读取 API Key，不调用外部模型。</w:t>
      </w:r>
    </w:p>
    <w:p>
      <w:pPr>
        <w:pStyle w:val="Heading1"/>
      </w:pPr>
      <w:r>
        <w:t>12. 发布与验收协议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E2F0"/>
          <w:left w:val="single" w:sz="6" w:space="0" w:color="D6E2F0"/>
          <w:bottom w:val="single" w:sz="6" w:space="0" w:color="D6E2F0"/>
          <w:right w:val="single" w:sz="6" w:space="0" w:color="D6E2F0"/>
          <w:insideH w:val="single" w:sz="6" w:space="0" w:color="D6E2F0"/>
          <w:insideV w:val="single" w:sz="6" w:space="0" w:color="D6E2F0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发布阻断条件：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任何涉及 PDF、DOCX、Markdown、TXT 解析、Brand DNA、Checkpoint 或报告生成的修改，在生成或交付 Desktop 客户端前必须通过 npm run verify:document-flows。失败时不得生成或交付新版 .exe。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文档导入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四类格式、编码回退、原始文件名、去重、超长警告通过。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核心流程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短文档 Evidence 1 次 + Decision 1 次；核心报告含唯一创意命题和原始来源。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完整流程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正常路径 5 次模型调用；四张或 2–8 张任务；Audit 独立；完整报告生成。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恢复执行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相同 Hash/版本下 Evidence 与 Decision 可零调用恢复；版本变化安全失效。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修复边界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越界 Path、整对象替换、Identity 改写、边界弱化均被拒绝。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质量门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Functional/Capability、Cultural maturity、Risk、Thesis coverage、Visual Mechanism 均受检。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降级交付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扩展失败后核心报告保留，项目状态为 completed-core，可继续执行。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桌面契约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TypeScript 检查、报告文件名、运行报告和状态映射通过。</w:t>
            </w:r>
          </w:p>
        </w:tc>
      </w:tr>
    </w:tbl>
    <w:p>
      <w:pPr>
        <w:spacing w:after="20"/>
      </w:pPr>
    </w:p>
    <w:p>
      <w:pPr>
        <w:pStyle w:val="Heading1"/>
      </w:pPr>
      <w:r>
        <w:t>13. 版本矩阵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当前版本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Protocol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brand-dna-v3-deep-compact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Checkpoint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brand-dna-v3-checkpoint-1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Document Preparation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document-preparation-v3.1 / prepared-document-set-v3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Evidence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evidence-map-prompt-v3.3 / evidence-map-v3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Decision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brand-creative-decision-prompt-v3.3 / brand-dna-decision-schema-v3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Core Gate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core-quality-gate-v3.1 / core-quality-gate-v3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Core Report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brand-dna-core-report-v3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Visual Plan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visual-system-task-plan-prompt-v3.2 / visual-system-task-plan-v3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Image Prompt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image-prompt-compiler-prompt-v3.3 / compiled-image-tasks-v3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Final Audit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final-brand-dna-audit-prompt-v3.6 / final-brand-dna-audit-v3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Audit Patch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audit-issue-patch-v3.3 / audit-issue-patch-v3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Full Report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brand-dna-full-report-v3</w:t>
            </w:r>
          </w:p>
        </w:tc>
      </w:tr>
    </w:tbl>
    <w:p>
      <w:pPr>
        <w:spacing w:after="20"/>
      </w:pPr>
    </w:p>
    <w:p>
      <w:pPr>
        <w:pStyle w:val="Heading1"/>
      </w:pPr>
      <w:r>
        <w:t>附录 A：关键实现与证据来源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apps/desktop/src/main/document-processing.ts — 文档解析、编码、Corpus 与长度边界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apps/desktop/src/main/brand-dna-pipeline-service.ts — Desktop 路由、持久化、状态与降级交付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src/v5/brand-dna/v3/protocol/run-brand-dna-v3.js — 核心阶段编排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src/v5/brand-dna/v3/protocol/run-brand-dna-v3-complete.js — 完整阶段、审计与受限修复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src/v5/brand-dna/v3/quality/run-core-quality-gate.js — 核心质量硬规则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src/v5/brand-dna/v3/runtime/checkpoint-store.js — Checkpoint 与恢复条件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tests/v5/brand-dna-v3-core.test.js 与 brand-dna-v3-core-quality.test.js — 回归验收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docs/document-feature-release-gate.md — 发布检查门</w:t>
      </w:r>
    </w:p>
    <w:p>
      <w:pPr>
        <w:keepNext w:val="0"/>
        <w:spacing w:after="0"/>
      </w:pPr>
      <w:r>
        <w:rPr>
          <w:rFonts w:ascii="Calibri" w:hAnsi="Calibri" w:eastAsia="Microsoft YaHei"/>
          <w:i/>
          <w:color w:val="667085"/>
          <w:sz w:val="22"/>
        </w:rPr>
        <w:t>本协议由当前分支实现自动梳理生成。若代码、Prompt、Schema 或状态语义发生变化，应同步升级协议版本与版本矩阵。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内部技术协议  ·  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085"/>
        <w:sz w:val="18"/>
      </w:rPr>
      <w:t>MASTERPIECE OS  |  文档分析流程协议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tocolCode">
    <w:name w:val="Protocol Code"/>
    <w:pPr>
      <w:spacing w:before="60" w:after="120" w:line="252" w:lineRule="auto"/>
      <w:ind w:left="259" w:right="259"/>
    </w:pPr>
    <w:rPr>
      <w:rFonts w:ascii="Consolas" w:hAnsi="Consolas" w:eastAsia="Microsoft YaHei"/>
      <w:b w:val="0"/>
      <w:color w:val="1F4D7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Masterpiece OS 文档分析流程协议</dc:title>
  <dc:subject>Brand DNA V3 Deep Compact 技术协议</dc:subject>
  <dc:creator>Masterpiece OS</dc:creator>
  <cp:keywords>Brand DNA, 文档分析, 协议, Checkpoint, 质量门</cp:keywords>
  <dc:description>Generated from implementation baseline c48cb5e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