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algun Gothic" w:hAnsi="Malgun Gothic" w:eastAsia="Malgun Gothic"/>
          <w:b/>
          <w:color w:val="2E74B5"/>
          <w:sz w:val="21"/>
        </w:rPr>
        <w:t>프로젝트 요구사항 원장</w:t>
      </w:r>
    </w:p>
    <w:p>
      <w:pPr>
        <w:spacing w:before="0" w:after="100"/>
      </w:pPr>
      <w:r>
        <w:rPr>
          <w:rFonts w:ascii="Malgun Gothic" w:hAnsi="Malgun Gothic" w:eastAsia="Malgun Gothic"/>
          <w:b/>
          <w:color w:val="0B2545"/>
          <w:sz w:val="50"/>
        </w:rPr>
        <w:t>이동형 양팔 로봇 신발 정리 프로젝트</w:t>
      </w:r>
    </w:p>
    <w:p>
      <w:pPr>
        <w:spacing w:before="0" w:after="320"/>
      </w:pPr>
      <w:r>
        <w:rPr>
          <w:rFonts w:ascii="Malgun Gothic" w:hAnsi="Malgun Gothic" w:eastAsia="Malgun Gothic"/>
          <w:color w:val="59626C"/>
          <w:sz w:val="26"/>
        </w:rPr>
        <w:t>ACT 기준선과 VLA 확장 비교를 포함한 6주 개발 기준 문서</w:t>
      </w:r>
    </w:p>
    <w:p>
      <w:pPr>
        <w:spacing w:after="60"/>
      </w:pPr>
      <w:r>
        <w:rPr>
          <w:rFonts w:ascii="Malgun Gothic" w:hAnsi="Malgun Gothic" w:eastAsia="Malgun Gothic"/>
          <w:b/>
          <w:color w:val="0B2545"/>
        </w:rPr>
        <w:t xml:space="preserve">최종 업데이트: </w:t>
      </w:r>
      <w:r>
        <w:rPr>
          <w:rFonts w:ascii="Malgun Gothic" w:hAnsi="Malgun Gothic" w:eastAsia="Malgun Gothic"/>
          <w:color w:val="191E24"/>
        </w:rPr>
        <w:t>2026-08-20</w:t>
      </w:r>
    </w:p>
    <w:p>
      <w:pPr>
        <w:spacing w:after="60"/>
      </w:pPr>
      <w:r>
        <w:rPr>
          <w:rFonts w:ascii="Malgun Gothic" w:hAnsi="Malgun Gothic" w:eastAsia="Malgun Gothic"/>
          <w:b/>
          <w:color w:val="0B2545"/>
        </w:rPr>
        <w:t xml:space="preserve">Ouroboros 인터뷰: </w:t>
      </w:r>
      <w:r>
        <w:rPr>
          <w:rFonts w:ascii="Malgun Gothic" w:hAnsi="Malgun Gothic" w:eastAsia="Malgun Gothic"/>
          <w:color w:val="191E24"/>
        </w:rPr>
        <w:t>interview_20260819_070643</w:t>
      </w:r>
    </w:p>
    <w:p>
      <w:pPr>
        <w:spacing w:after="60"/>
      </w:pPr>
      <w:r>
        <w:rPr>
          <w:rFonts w:ascii="Malgun Gothic" w:hAnsi="Malgun Gothic" w:eastAsia="Malgun Gothic"/>
          <w:b/>
          <w:color w:val="0B2545"/>
        </w:rPr>
        <w:t xml:space="preserve">문서 상태: </w:t>
      </w:r>
      <w:r>
        <w:rPr>
          <w:rFonts w:ascii="Malgun Gothic" w:hAnsi="Malgun Gothic" w:eastAsia="Malgun Gothic"/>
          <w:color w:val="191E24"/>
        </w:rPr>
        <w:t>직접 인터뷰 모드 진행 중 · 확정 내용과 미결정 항목 병기</w:t>
      </w:r>
    </w:p>
    <w:p>
      <w:pPr>
        <w:keepLines/>
        <w:spacing w:before="100" w:after="200" w:line="288" w:lineRule="auto"/>
        <w:ind w:left="120" w:right="120"/>
        <w:shd w:fill="E8EEF5"/>
        <w:pBdr>
          <w:top w:val="single" w:sz="6" w:space="5" w:color="B7C4D4"/>
          <w:left w:val="single" w:sz="6" w:space="5" w:color="B7C4D4"/>
          <w:bottom w:val="single" w:sz="6" w:space="5" w:color="B7C4D4"/>
          <w:right w:val="single" w:sz="6" w:space="5" w:color="B7C4D4"/>
        </w:pBdr>
      </w:pPr>
      <w:r>
        <w:rPr>
          <w:rFonts w:ascii="Malgun Gothic" w:hAnsi="Malgun Gothic" w:eastAsia="Malgun Gothic"/>
          <w:b/>
          <w:color w:val="0B2545"/>
          <w:sz w:val="22"/>
        </w:rPr>
        <w:t xml:space="preserve">핵심 목표  </w:t>
      </w:r>
      <w:r>
        <w:rPr>
          <w:rFonts w:ascii="Malgun Gothic" w:hAnsi="Malgun Gothic" w:eastAsia="Malgun Gothic"/>
          <w:color w:val="191E24"/>
          <w:sz w:val="21"/>
        </w:rPr>
        <w:t>실내에 놓인 학습 신발 30켤레를 모두 정리하고, 신규 신발은 재학습 없이 같은 신발의 좌우 짝을 추론하여 나란히 배치하거나 신발장에 수납한다.</w:t>
      </w:r>
    </w:p>
    <w:p>
      <w:pPr>
        <w:pStyle w:val="Heading1"/>
        <w:keepNext/>
      </w:pPr>
      <w:r>
        <w:t>1. 프로젝트 목표</w:t>
      </w:r>
    </w:p>
    <w:p>
      <w:r>
        <w:rPr>
          <w:rFonts w:ascii="Malgun Gothic" w:hAnsi="Malgun Gothic" w:eastAsia="Malgun Gothic"/>
          <w:color w:val="191E24"/>
        </w:rPr>
        <w:t>이동형 양팔 로봇이 실내에 무작위로 놓인 신발 30켤레(총 60개)를 인식하고, 학습에 없던 신발의 짝도 추론하여 단계적으로 정리한다.</w:t>
      </w:r>
    </w:p>
    <w:p>
      <w:r>
        <w:rPr>
          <w:rFonts w:ascii="Malgun Gothic" w:hAnsi="Malgun Gothic" w:eastAsia="Malgun Gothic"/>
          <w:b/>
          <w:color w:val="0B2545"/>
        </w:rPr>
        <w:t xml:space="preserve">취업 포트폴리오 주력 포지션: </w:t>
      </w:r>
      <w:r>
        <w:rPr>
          <w:rFonts w:ascii="Malgun Gothic" w:hAnsi="Malgun Gothic" w:eastAsia="Malgun Gothic"/>
          <w:b/>
          <w:color w:val="191E24"/>
        </w:rPr>
        <w:t>Robotics AI / VLA·이미테이션 러닝 엔지니어</w:t>
      </w:r>
    </w:p>
    <w:p>
      <w:pPr>
        <w:pStyle w:val="Heading1"/>
        <w:keepNext/>
      </w:pPr>
      <w:r>
        <w:t>2. 확정된 하드웨어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양팔 로봇: JDcobot300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모바일 베이스: TurtleBot3 Waffle Pi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구동 모터: XM430-W210-T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모터 변경 조건: 양팔·프레임·배터리 탑재 후 토크가 부족하면 변경 검토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Depth camera: Orbbec Astra Pro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연산 장치: ASUS TUF Gaming A16, RTX 5050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텔레오퍼레이션 장치: 미정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현재 조립 상태: 부분 조립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추가 장비·재료 예산: 0원</w:t>
      </w:r>
    </w:p>
    <w:p>
      <w:pPr>
        <w:pStyle w:val="Heading1"/>
        <w:keepNext/>
      </w:pPr>
      <w:r>
        <w:t>3. 시스템 구조</w:t>
      </w:r>
    </w:p>
    <w:p>
      <w:pPr>
        <w:pStyle w:val="Heading2"/>
        <w:keepNext/>
      </w:pPr>
      <w:r>
        <w:t>3.1 이동·인지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Astra Pro RGB-D와 휠 오도메트리로 visual SLAM 및 위치 추정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TurtleBot3 LDS-02는 Nav2 장애물 회피와 안전 costmap에 사용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Astra Pro는 신발 인식과 3D 위치 추정에도 사용</w:t>
      </w:r>
    </w:p>
    <w:p>
      <w:pPr>
        <w:pStyle w:val="Heading2"/>
        <w:keepNext/>
      </w:pPr>
      <w:r>
        <w:t>3.2 학습·정책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기준선: ACT 기반 양팔 조작 정책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상위 계층: 신발 인식, 짝 추론, 스킬 선택, 실패 복구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확장선: VLA 정책을 추가하여 ACT 기준선과 비교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비교 지표: 성공률, 미학습 신발 일반화, 데이터 효율, 추론 지연시간</w:t>
      </w:r>
    </w:p>
    <w:p>
      <w:pPr>
        <w:pStyle w:val="Heading2"/>
        <w:keepNext/>
      </w:pPr>
      <w:r>
        <w:t>3.3 학습 신발과 신규 신발 처리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학습에 사용한 신발 30켤레는 전부 end-to-end 정리 대상으로 삼는다.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신규 신발은 별도의 재학습 없이 VLM API 또는 시각 임베딩으로 같은 신발의 좌우 짝을 추론한다.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LLM은 짝 후보 검증, 빈 배치 위치 선택, 작업 순서와 실패 복구를 담당한다.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실제 관절 행동은 LLM이 직접 생성하지 않고 학습된 ACT 집기·운반·배치 스킬을 호출한다.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바닥 격자 단계에서는 같은 신발끼리 짝지어 나란히 정렬한다.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신발장 단계에서는 같은 신발의 좌우를 한 슬롯에 나란히 수납한다.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짝 판정 신뢰도가 기준보다 낮거나 API 호출에 실패하면 미분류 보관 위치에 두고 사용자 확인 대상으로 표시한다.</w:t>
      </w:r>
    </w:p>
    <w:p>
      <w:pPr>
        <w:pStyle w:val="Heading1"/>
        <w:keepNext/>
      </w:pPr>
      <w:r>
        <w:t>4. 정리 난이도 단계</w:t>
      </w:r>
    </w:p>
    <w:p>
      <w:pPr>
        <w:pStyle w:val="ListNumber"/>
      </w:pPr>
      <w:r>
        <w:rPr>
          <w:rFonts w:ascii="Malgun Gothic" w:hAnsi="Malgun Gothic" w:eastAsia="Malgun Gothic"/>
          <w:color w:val="191E24"/>
        </w:rPr>
        <w:t>바닥의 지정 격자에 신발 짝을 맞춰 정렬</w:t>
      </w:r>
    </w:p>
    <w:p>
      <w:pPr>
        <w:pStyle w:val="ListNumber"/>
      </w:pPr>
      <w:r>
        <w:rPr>
          <w:rFonts w:ascii="Malgun Gothic" w:hAnsi="Malgun Gothic" w:eastAsia="Malgun Gothic"/>
          <w:color w:val="191E24"/>
        </w:rPr>
        <w:t>한 켤레씩 개방형 칸에 배치</w:t>
      </w:r>
    </w:p>
    <w:p>
      <w:pPr>
        <w:pStyle w:val="ListNumber"/>
      </w:pPr>
      <w:r>
        <w:rPr>
          <w:rFonts w:ascii="Malgun Gothic" w:hAnsi="Malgun Gothic" w:eastAsia="Malgun Gothic"/>
          <w:color w:val="191E24"/>
        </w:rPr>
        <w:t>신발장 슬롯에 좌우와 방향을 맞춰 최종 수납</w:t>
      </w:r>
    </w:p>
    <w:p>
      <w:r>
        <w:rPr>
          <w:rFonts w:ascii="Malgun Gothic" w:hAnsi="Malgun Gothic" w:eastAsia="Malgun Gothic"/>
          <w:b/>
          <w:color w:val="0B2545"/>
        </w:rPr>
        <w:t xml:space="preserve">최종 평가 원칙: </w:t>
      </w:r>
      <w:r>
        <w:rPr>
          <w:rFonts w:ascii="Malgun Gothic" w:hAnsi="Malgun Gothic" w:eastAsia="Malgun Gothic"/>
          <w:color w:val="191E24"/>
        </w:rPr>
        <w:t>학습 데이터에 없던 디자인·색상·크기의 신발을 포함한다.</w:t>
      </w:r>
    </w:p>
    <w:p>
      <w:pPr>
        <w:pStyle w:val="Heading1"/>
        <w:keepNext/>
      </w:pPr>
      <w:r>
        <w:t>5. 일정과 인력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0B2545"/>
              </w:rPr>
              <w:t>항목</w:t>
            </w:r>
          </w:p>
        </w:tc>
        <w:tc>
          <w:tcPr>
            <w:tcW w:type="dxa" w:w="6660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0B2545"/>
              </w:rPr>
              <w:t>확정 내용</w:t>
            </w:r>
          </w:p>
        </w:tc>
      </w:tr>
      <w:tr>
        <w:tc>
          <w:tcPr>
            <w:tcW w:type="dxa" w:w="270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개발 인원</w:t>
            </w:r>
          </w:p>
        </w:tc>
        <w:tc>
          <w:tcPr>
            <w:tcW w:type="dxa" w:w="666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4명</w:t>
            </w:r>
          </w:p>
        </w:tc>
      </w:tr>
      <w:tr>
        <w:tc>
          <w:tcPr>
            <w:tcW w:type="dxa" w:w="270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핵심 개발기간</w:t>
            </w:r>
          </w:p>
        </w:tc>
        <w:tc>
          <w:tcPr>
            <w:tcW w:type="dxa" w:w="666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6주</w:t>
            </w:r>
          </w:p>
        </w:tc>
      </w:tr>
      <w:tr>
        <w:tc>
          <w:tcPr>
            <w:tcW w:type="dxa" w:w="270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투입 가능 시간</w:t>
            </w:r>
          </w:p>
        </w:tc>
        <w:tc>
          <w:tcPr>
            <w:tcW w:type="dxa" w:w="666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1인당 주 40시간 이상</w:t>
            </w:r>
          </w:p>
        </w:tc>
      </w:tr>
      <w:tr>
        <w:tc>
          <w:tcPr>
            <w:tcW w:type="dxa" w:w="270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안정화·평가·포트폴리오</w:t>
            </w:r>
          </w:p>
        </w:tc>
        <w:tc>
          <w:tcPr>
            <w:tcW w:type="dxa" w:w="666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약 4주</w:t>
            </w:r>
          </w:p>
        </w:tc>
      </w:tr>
      <w:tr>
        <w:tc>
          <w:tcPr>
            <w:tcW w:type="dxa" w:w="270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포트폴리오 공개 목표일</w:t>
            </w:r>
          </w:p>
        </w:tc>
        <w:tc>
          <w:tcPr>
            <w:tcW w:type="dxa" w:w="6660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color w:val="191E24"/>
              </w:rPr>
              <w:t>2026-10-30</w:t>
            </w:r>
          </w:p>
        </w:tc>
      </w:tr>
    </w:tbl>
    <w:p>
      <w:pPr>
        <w:pStyle w:val="Heading1"/>
        <w:keepNext/>
      </w:pPr>
      <w:r>
        <w:t>6. 팀 역할 임시 원칙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역할은 팀원 4명의 회의 후 확정한다.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모든 팀원이 ACT·VLA·비전·ROS2·하드웨어 통합을 경험할 수 있게 한다.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기능별 최종 책임자는 한 명씩 지정하여 책임과 포트폴리오 기여도를 명확히 한다.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1주차 공동 실험·로테이션 후 2주차부터 각자 주력 1개와 보조 1개를 확정한다.</w:t>
      </w:r>
    </w:p>
    <w:p>
      <w:pPr>
        <w:pStyle w:val="Heading1"/>
        <w:keepNext/>
      </w:pPr>
      <w:r>
        <w:t>7. 아직 결정할 항목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6주 MVP의 신발 수와 연속 동작 범위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작업 공간 크기, 신발 배치 조건, 가림·겹침 난이도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텔레오퍼레이션 장치와 데이터 수집 방식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JDcobot300 두 대와 프레임·배터리의 실제 질량, 무게중심, 소비전력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양팔 협업 스킬과 실패 복구 상태기계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API·LLM·VLA의 구체적인 모델과 메시지 인터페이스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정량 평가 기준과 시연 시나리오</w:t>
      </w:r>
    </w:p>
    <w:p>
      <w:pPr>
        <w:pStyle w:val="ListBullet"/>
      </w:pPr>
      <w:r>
        <w:rPr>
          <w:rFonts w:ascii="Malgun Gothic" w:hAnsi="Malgun Gothic" w:eastAsia="Malgun Gothic"/>
          <w:color w:val="191E24"/>
        </w:rPr>
        <w:t>전원 계통, 안전 정지, 충돌 방지 설계</w:t>
      </w:r>
    </w:p>
    <w:p>
      <w:pPr>
        <w:pStyle w:val="Heading1"/>
        <w:keepNext/>
      </w:pPr>
      <w:r>
        <w:t>8. 다음 결정</w:t>
      </w:r>
    </w:p>
    <w:p>
      <w:pPr>
        <w:keepLines/>
        <w:spacing w:before="100" w:after="200" w:line="288" w:lineRule="auto"/>
        <w:ind w:left="120" w:right="120"/>
        <w:shd w:fill="E8EEF5"/>
        <w:pBdr>
          <w:top w:val="single" w:sz="6" w:space="5" w:color="B7C4D4"/>
          <w:left w:val="single" w:sz="6" w:space="5" w:color="B7C4D4"/>
          <w:bottom w:val="single" w:sz="6" w:space="5" w:color="B7C4D4"/>
          <w:right w:val="single" w:sz="6" w:space="5" w:color="B7C4D4"/>
        </w:pBdr>
      </w:pPr>
      <w:r>
        <w:rPr>
          <w:rFonts w:ascii="Malgun Gothic" w:hAnsi="Malgun Gothic" w:eastAsia="Malgun Gothic"/>
          <w:b/>
          <w:color w:val="0B2545"/>
          <w:sz w:val="22"/>
        </w:rPr>
        <w:t xml:space="preserve">개발 착수 게이트  </w:t>
      </w:r>
      <w:r>
        <w:rPr>
          <w:rFonts w:ascii="Malgun Gothic" w:hAnsi="Malgun Gothic" w:eastAsia="Malgun Gothic"/>
          <w:color w:val="191E24"/>
          <w:sz w:val="21"/>
        </w:rPr>
        <w:t>개발을 즉시 시작할 수 있도록 6주 MVP의 성공 범위와 첫 시연 환경의 고정·무작위 범위를 먼저 확정한다.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algun Gothic" w:hAnsi="Malgun Gothic" w:eastAsia="Malgun Gothic"/>
        <w:color w:val="59626C"/>
        <w:sz w:val="17"/>
      </w:rPr>
      <w:t xml:space="preserve">DAPIER Project Requirements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/>
        <w:b/>
        <w:color w:val="59626C"/>
        <w:sz w:val="17"/>
      </w:rPr>
      <w:t>DAPIER  |  MOBILE DUAL-ARM SHOE SORTING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91E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이동형 양팔 로봇 신발 정리 프로젝트 요구사항 원장</dc:title>
  <dc:subject>DAPIER Robotics AI / VLA 프로젝트 요구사항</dc:subject>
  <dc:creator>DAPIER Project Team</dc:creator>
  <cp:keywords>DAPIER, ACT, VLA, RGB-D SLAM, TurtleBot3, JDcobot300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