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21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36"/>
          <w:szCs w:val="36"/>
          <w:rtl w:val="0"/>
        </w:rPr>
        <w:t xml:space="preserve">ALPER KULTUREL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21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Miami Beach, Florida | +1 </w:t>
      </w:r>
      <w:r w:rsidDel="00000000" w:rsidR="00000000" w:rsidRPr="00000000">
        <w:rPr>
          <w:rtl w:val="0"/>
        </w:rPr>
        <w:t xml:space="preserve">305-482-6440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 | kulturelalper@gmail.com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21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ee"/>
          <w:sz w:val="20"/>
          <w:szCs w:val="20"/>
          <w:u w:val="single"/>
          <w:rtl w:val="0"/>
        </w:rPr>
        <w:t xml:space="preserve">alper-kulturel.github.io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808080" w:space="1" w:sz="4" w:val="single"/>
        </w:pBdr>
        <w:spacing w:after="20" w:before="8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tbl>
      <w:tblPr>
        <w:tblStyle w:val="Table1"/>
        <w:tblW w:w="1101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775"/>
        <w:gridCol w:w="2235"/>
        <w:tblGridChange w:id="0">
          <w:tblGrid>
            <w:gridCol w:w="8775"/>
            <w:gridCol w:w="223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Fachhochschule Südwestfalen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Soest, Germany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Master’s Degree, International Management and Information Systems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Jul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President, FH Südwestfalen Finance Club</w:t>
      </w:r>
      <w:r w:rsidDel="00000000" w:rsidR="00000000" w:rsidRPr="00000000">
        <w:rPr>
          <w:rtl w:val="0"/>
        </w:rPr>
      </w:r>
    </w:p>
    <w:tbl>
      <w:tblPr>
        <w:tblStyle w:val="Table2"/>
        <w:tblW w:w="1101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775"/>
        <w:gridCol w:w="2235"/>
        <w:tblGridChange w:id="0">
          <w:tblGrid>
            <w:gridCol w:w="8775"/>
            <w:gridCol w:w="223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Skidmore College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Saratoga Springs, 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Bachelor’s Degree, Business Administration and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May 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GPA: 3.75 / 4.00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Thoroughbred Society — varsity student-athlete recognition for achieving a 3.67+ semester GPA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21" w:lineRule="auto"/>
        <w:ind w:left="58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NCAA Division III All-American, Men’s Tennis Doubles (2022); ITA Regional Doubles Champion</w:t>
      </w:r>
    </w:p>
    <w:p w:rsidR="00000000" w:rsidDel="00000000" w:rsidP="00000000" w:rsidRDefault="00000000" w:rsidRPr="00000000" w14:paraId="00000011">
      <w:pPr>
        <w:spacing w:after="0" w:before="0" w:line="221" w:lineRule="auto"/>
        <w:ind w:left="5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808080" w:space="1" w:sz="4" w:val="single"/>
        </w:pBdr>
        <w:spacing w:after="20" w:before="8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tbl>
      <w:tblPr>
        <w:tblStyle w:val="Table3"/>
        <w:tblW w:w="10965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730"/>
        <w:gridCol w:w="2235"/>
        <w:tblGridChange w:id="0">
          <w:tblGrid>
            <w:gridCol w:w="8730"/>
            <w:gridCol w:w="223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Borsa İstanbul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Istanbul, Türkiye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Financial Analyst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Sep 2024 – Jul 2025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Analyzed large-scale revenue and trading-activity datasets to produce monthly and quarterly financial performance reports supporting product investment and budget-allocation decisions.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Designed and executed A/B testing frameworks to assess the financial impact of market-product features; presented variance analyses and ROI summaries to senior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Supported quarterly forecasting cycles by collaborating with product, engineering, and commercial teams to translate business requirements into measurable financial outputs.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Built financial models and scenario analyses to evaluate P&amp;L impacts of new product launches, listing initiatives, and cost-optimization programs.</w:t>
      </w:r>
      <w:r w:rsidDel="00000000" w:rsidR="00000000" w:rsidRPr="00000000">
        <w:rPr>
          <w:rtl w:val="0"/>
        </w:rPr>
      </w:r>
    </w:p>
    <w:tbl>
      <w:tblPr>
        <w:tblStyle w:val="Table4"/>
        <w:tblW w:w="1086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625"/>
        <w:gridCol w:w="2235"/>
        <w:tblGridChange w:id="0">
          <w:tblGrid>
            <w:gridCol w:w="8625"/>
            <w:gridCol w:w="223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Supsis 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Istanbul, Türkiye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Financial Data Analyst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Apr 2023 – May 2024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Prepared, validated, and reconciled financial and operational datasets supporting budget forecasts and AI-model performance reporting.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Analyzed financial metrics and cost-efficiency ratios across business units, producing reports used in strategic pricing and resource-allocation decisions.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221" w:lineRule="auto"/>
        <w:ind w:left="58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Partnered with engineering and product teams to define financial acceptance criteria, KPIs, and measurable success metrics for new product initiatives.</w:t>
      </w:r>
    </w:p>
    <w:p w:rsidR="00000000" w:rsidDel="00000000" w:rsidP="00000000" w:rsidRDefault="00000000" w:rsidRPr="00000000" w14:paraId="00000022">
      <w:pPr>
        <w:spacing w:after="0" w:before="0" w:line="221" w:lineRule="auto"/>
        <w:ind w:left="5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808080" w:space="1" w:sz="4" w:val="single"/>
        </w:pBdr>
        <w:spacing w:after="20" w:before="8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SELECTED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0"/>
          <w:szCs w:val="20"/>
          <w:rtl w:val="0"/>
        </w:rPr>
        <w:t xml:space="preserve">Monte Carlo Portfolio Risk Simulator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z w:val="20"/>
          <w:szCs w:val="20"/>
          <w:rtl w:val="0"/>
        </w:rPr>
        <w:t xml:space="preserve">Python, NumPy, SciPy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Simulated 10,000 portfolio paths to estimate VaR, CVaR, drawdown distributions, and scenario risk using historical market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0"/>
          <w:szCs w:val="20"/>
          <w:rtl w:val="0"/>
        </w:rPr>
        <w:t xml:space="preserve">Credit Risk Scoring Engine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z w:val="20"/>
          <w:szCs w:val="20"/>
          <w:rtl w:val="0"/>
        </w:rPr>
        <w:t xml:space="preserve">Python, XGBoost, SHAP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Engineered a PD/LGD/EAD framework to estimate expected loss and Basel capital requirements, with SHAP-based model interpretability.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0"/>
          <w:szCs w:val="20"/>
          <w:rtl w:val="0"/>
        </w:rPr>
        <w:t xml:space="preserve">Equity Strategy Backtesting Engine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z w:val="20"/>
          <w:szCs w:val="20"/>
          <w:rtl w:val="0"/>
        </w:rPr>
        <w:t xml:space="preserve">Python, pandas, Plotly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0" w:line="221" w:lineRule="auto"/>
        <w:ind w:left="58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Developed an event-driven backtester for momentum and mean-reversion strategies incorporating transaction costs and detailed performance reporting.</w:t>
      </w:r>
    </w:p>
    <w:p w:rsidR="00000000" w:rsidDel="00000000" w:rsidP="00000000" w:rsidRDefault="00000000" w:rsidRPr="00000000" w14:paraId="0000002D">
      <w:pPr>
        <w:spacing w:after="0" w:before="0" w:line="221" w:lineRule="auto"/>
        <w:ind w:left="5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bottom w:color="808080" w:space="1" w:sz="4" w:val="single"/>
        </w:pBdr>
        <w:spacing w:after="20" w:before="8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LEADERSHIP EXPERIENCE</w:t>
      </w:r>
      <w:r w:rsidDel="00000000" w:rsidR="00000000" w:rsidRPr="00000000">
        <w:rPr>
          <w:rtl w:val="0"/>
        </w:rPr>
      </w:r>
    </w:p>
    <w:tbl>
      <w:tblPr>
        <w:tblStyle w:val="Table5"/>
        <w:tblW w:w="10965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730"/>
        <w:gridCol w:w="2235"/>
        <w:tblGridChange w:id="0">
          <w:tblGrid>
            <w:gridCol w:w="8730"/>
            <w:gridCol w:w="223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FH Südwestfalen Finance Club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Soest, Germany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President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2025 –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spacing w:after="0" w:before="0" w:line="221" w:lineRule="auto"/>
        <w:ind w:left="58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Led a graduate finance organization focused on financial markets, investment analysis, and professional development.</w:t>
      </w:r>
      <w:r w:rsidDel="00000000" w:rsidR="00000000" w:rsidRPr="00000000">
        <w:rPr>
          <w:rtl w:val="0"/>
        </w:rPr>
      </w:r>
    </w:p>
    <w:tbl>
      <w:tblPr>
        <w:tblStyle w:val="Table6"/>
        <w:tblW w:w="1095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715"/>
        <w:gridCol w:w="2235"/>
        <w:tblGridChange w:id="0">
          <w:tblGrid>
            <w:gridCol w:w="8715"/>
            <w:gridCol w:w="223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Skidmore College Men’s Tennis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Saratoga Springs, 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11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Team Captain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11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0"/>
                <w:szCs w:val="20"/>
                <w:rtl w:val="0"/>
              </w:rPr>
              <w:t xml:space="preserve">2022 – 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0" w:before="0" w:line="221" w:lineRule="auto"/>
        <w:ind w:left="58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  <w:rtl w:val="0"/>
        </w:rPr>
        <w:t xml:space="preserve">• Served as team captain while competing at the NCAA Division III level; developed team leadership, communication, and performance-management skills.</w:t>
      </w:r>
    </w:p>
    <w:p w:rsidR="00000000" w:rsidDel="00000000" w:rsidP="00000000" w:rsidRDefault="00000000" w:rsidRPr="00000000" w14:paraId="00000039">
      <w:pPr>
        <w:spacing w:after="0" w:before="0" w:line="221" w:lineRule="auto"/>
        <w:ind w:left="5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bottom w:color="808080" w:space="1" w:sz="4" w:val="single"/>
        </w:pBdr>
        <w:spacing w:after="20" w:before="8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SKILLS, ACTIVITIES &amp; INTERESTS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Languages: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English; Turkish; Spanish (Elementary)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Technical Skills: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Python; Excel; SQL; Power BI; SAP S/4HANA; Git; Docker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Awards: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NCAA Division III All-American — Men’s Tennis Doubles; ITA Regional Doubles Champion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before="0" w:line="221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Interests: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Tennis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Chess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Climbing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Cooking</w:t>
      </w:r>
      <w:r w:rsidDel="00000000" w:rsidR="00000000" w:rsidRPr="00000000">
        <w:rPr>
          <w:rtl w:val="0"/>
        </w:rPr>
      </w:r>
    </w:p>
    <w:sectPr>
      <w:pgSz w:h="15840" w:w="12240" w:orient="portrait"/>
      <w:pgMar w:bottom="518" w:top="576" w:left="749" w:right="74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spacing w:line="221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+rk+HHk6fGPBKNq0tcP3IctmnQ==">CgMxLjA4AHIhMTRBR1dqZUltQk9XLTd4aEduTnEzN0hwU0lwaWVab05H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