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2E5C9A"/>
          <w:sz w:val="64"/>
          <w:szCs w:val="64"/>
        </w:rPr>
        <w:t xml:space="preserve">MONA DRP</w:t>
      </w:r>
    </w:p>
    <w:p>
      <w:pPr>
        <w:spacing w:before="160"/>
        <w:jc w:val="center"/>
      </w:pPr>
      <w:r>
        <w:rPr>
          <w:rFonts w:ascii="Arial" w:cs="Arial" w:eastAsia="Arial" w:hAnsi="Arial"/>
          <w:b/>
          <w:bCs/>
          <w:color w:val="262626"/>
          <w:sz w:val="40"/>
          <w:szCs w:val="40"/>
        </w:rPr>
        <w:t xml:space="preserve">MVP İş Listesi (Backlog)</w:t>
      </w:r>
    </w:p>
    <w:p>
      <w:pPr>
        <w:spacing w:before="100"/>
        <w:jc w:val="center"/>
      </w:pPr>
      <w:r>
        <w:rPr>
          <w:i/>
          <w:iCs/>
          <w:color w:val="595959"/>
          <w:sz w:val="26"/>
          <w:szCs w:val="26"/>
        </w:rPr>
        <w:t xml:space="preserve">Core + Plus Feature'ların Geliştirme Görevlerine Dökümü — v2</w:t>
      </w:r>
    </w:p>
    <w:p>
      <w:pPr>
        <w:spacing w:before="600"/>
        <w:jc w:val="center"/>
      </w:pPr>
      <w:r>
        <w:rPr>
          <w:color w:val="595959"/>
          <w:sz w:val="22"/>
          <w:szCs w:val="22"/>
        </w:rPr>
        <w:t xml:space="preserve">Haziran 2026  |  Ağustos 2026 Deadline</w:t>
      </w:r>
    </w:p>
    <w:p>
      <w:pPr>
        <w:spacing w:before="20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C9A" w:sz="4"/>
              <w:left w:val="single" w:color="2E5C9A" w:sz="4"/>
              <w:bottom w:val="single" w:color="2E5C9A" w:sz="4"/>
              <w:right w:val="single" w:color="2E5C9A" w:sz="4"/>
            </w:tcBorders>
            <w:shd w:fill="E8F0FB" w:val="clear"/>
            <w:tcMar>
              <w:top w:type="dxa" w:w="200"/>
              <w:left w:type="dxa" w:w="260"/>
              <w:bottom w:type="dxa" w:w="200"/>
              <w:right w:type="dxa" w:w="260"/>
            </w:tcMar>
          </w:tcPr>
          <w:p>
            <w:pPr>
              <w:spacing w:after="80"/>
            </w:pPr>
            <w:r>
              <w:rPr>
                <w:b/>
                <w:bCs/>
                <w:color w:val="2E5C9A"/>
                <w:sz w:val="22"/>
                <w:szCs w:val="22"/>
              </w:rPr>
              <w:t xml:space="preserve">Bu belge ne içerir?</w:t>
            </w:r>
          </w:p>
          <w:p>
            <w:pPr>
              <w:spacing w:after="0" w:line="276"/>
            </w:pPr>
            <w:r>
              <w:rPr>
                <w:color w:val="262626"/>
                <w:sz w:val="21"/>
                <w:szCs w:val="21"/>
              </w:rPr>
              <w:t xml:space="preserve">MVP Core (13) ve MVP Plus (6) feature setindeki her bir parçayı, 2–4 somut alt göreve bölen iş listesi. Her görev, Mona DRP Veri Modeli v2 belgesindeki tabloyla eşleştirilmiştir — yani bir görev bittiğinde hangi tabloya veri yazılmış olması gerektiği baştan bellidir.</w:t>
            </w:r>
          </w:p>
        </w:tc>
      </w:tr>
    </w:tbl>
    <w:p>
      <w:r>
        <w:br w:type="page"/>
      </w:r>
    </w:p>
    <w:p>
      <w:pPr>
        <w:pStyle w:val="Heading1"/>
      </w:pPr>
      <w:r>
        <w:t xml:space="preserve">1. Bu Liste Nasıl Okunur</w:t>
      </w:r>
    </w:p>
    <w:p>
      <w:pPr>
        <w:spacing w:after="160" w:line="276"/>
      </w:pPr>
      <w:r>
        <w:t xml:space="preserve">Backlog, MVP Core Feature Seti ve MVP Plus Feature Seti tablolarındaki her satırın doğrudan karşılığıdır. Yeni bir kapsam eklenmedi — mevcut feature listesi, geliştirilebilir parçalara bölündü.</w:t>
      </w:r>
    </w:p>
    <w:p>
      <w:pPr>
        <w:pStyle w:val="Heading2"/>
      </w:pPr>
      <w:r>
        <w:t xml:space="preserve">1.1 Yapı</w:t>
      </w:r>
    </w:p>
    <w:p>
      <w:pPr>
        <w:spacing w:after="160" w:line="276"/>
      </w:pPr>
      <w:r>
        <w:t xml:space="preserve">Her madde üç şeyi gösterir: (1) feature'ın başlığı ve ne çözdüğü, (2) o feature'ı tamamlamak için yapılması gereken 2–4 somut alt görev, (3) her alt görevin yazacağı/okuyacağı veritabanı tablosu. Tablo referansı olmayan görevler (örn. “izole ortam kurulumu” gibi altyapı işleri) veri yazmaz, bu yüzden ok işareti taşımaz.</w:t>
      </w:r>
    </w:p>
    <w:p>
      <w:pPr>
        <w:pStyle w:val="Heading2"/>
      </w:pPr>
      <w:r>
        <w:t xml:space="preserve">1.2 Sıralama</w:t>
      </w:r>
    </w:p>
    <w:p>
      <w:pPr>
        <w:spacing w:after="160" w:line="276"/>
      </w:pPr>
      <w:r>
        <w:t xml:space="preserve">MVP Core'daki 13 madde, veri modelindeki pipeline sırasıyla aynıdır (Protected Entity → ... → Evidence Package). Bu, aynı zamanda önerilen geliştirme sırasıdır: bir maddenin çıktısı, bir sonrakinin girdisidir. MVP Plus'taki 6 madde ise Core pipeline'ı çalıştıktan sonra, zaman kaldığı ölçüde eklenecek bağımsız parçalardır — aralarında zorunlu bir sıralama yoktur.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Veri modeliyle bağlantı</w:t>
            </w:r>
          </w:p>
          <w:p>
            <w:pPr>
              <w:spacing w:after="0" w:line="270"/>
            </w:pPr>
            <w:r>
              <w:rPr>
                <w:color w:val="262626"/>
                <w:sz w:val="21"/>
                <w:szCs w:val="21"/>
              </w:rPr>
              <w:t xml:space="preserve">Her alt görevin yanındaki ok (→) işareti, o görevin Mona DRP Veri Modeli v2 belgesindeki hangi tabloya karşılık geldiğini gösterir. İki belge birlikte kullanılmak üzere tasarlandı: backlog “ne yapılacağını”, veri modeli “nereye yazılacağını” anlatır.</w:t>
            </w:r>
          </w:p>
        </w:tc>
      </w:tr>
    </w:tbl>
    <w:p>
      <w:pPr>
        <w:spacing w:after="120"/>
      </w:pPr>
    </w:p>
    <w:p>
      <w:pPr>
        <w:pStyle w:val="Heading1"/>
      </w:pPr>
      <w:r>
        <w:t xml:space="preserve">2. Teknik Foundation</w:t>
      </w:r>
    </w:p>
    <w:p>
      <w:pPr>
        <w:spacing w:after="160" w:line="276"/>
      </w:pPr>
      <w:r>
        <w:t xml:space="preserve">Bunlar feature değil, altyapı işleridir — ama Core pipeline'ın hiçbir maddesi bunlar olmadan kodlanamaz. Bu yüzden Core backlog'undan önce, ayrı bir hazırlık aşaması olarak listelenmiştir.</w:t>
      </w:r>
    </w:p>
    <w:p>
      <w:pPr>
        <w:spacing w:after="100"/>
      </w:pPr>
    </w:p>
    <w:p>
      <w:pPr>
        <w:pStyle w:val="ListParagraph"/>
        <w:numPr>
          <w:ilvl w:val="0"/>
          <w:numId w:val="2"/>
        </w:numPr>
        <w:spacing w:after="90" w:line="270"/>
      </w:pPr>
      <w:r>
        <w:rPr>
          <w:color w:val="262626"/>
          <w:sz w:val="21"/>
          <w:szCs w:val="21"/>
        </w:rPr>
        <w:t xml:space="preserve">PostgreSQL migration dosyaları yazılacak.</w:t>
      </w:r>
    </w:p>
    <w:p>
      <w:pPr>
        <w:pStyle w:val="ListParagraph"/>
        <w:numPr>
          <w:ilvl w:val="0"/>
          <w:numId w:val="2"/>
        </w:numPr>
        <w:spacing w:after="90" w:line="270"/>
      </w:pPr>
      <w:r>
        <w:rPr>
          <w:color w:val="262626"/>
          <w:sz w:val="21"/>
          <w:szCs w:val="21"/>
        </w:rPr>
        <w:t xml:space="preserve">12 tablo, foreign key ilişkileri ve index'ler oluşturulacak (bkz. Mona DRP Veri Modeli v2, bölüm 6–7).</w:t>
      </w:r>
    </w:p>
    <w:p>
      <w:pPr>
        <w:pStyle w:val="ListParagraph"/>
        <w:numPr>
          <w:ilvl w:val="0"/>
          <w:numId w:val="2"/>
        </w:numPr>
        <w:spacing w:after="90" w:line="270"/>
      </w:pPr>
      <w:r>
        <w:rPr>
          <w:color w:val="262626"/>
          <w:sz w:val="21"/>
          <w:szCs w:val="21"/>
        </w:rPr>
        <w:t xml:space="preserve">Repository / DAO katmanı hazırlanacak.</w:t>
      </w:r>
    </w:p>
    <w:p>
      <w:pPr>
        <w:pStyle w:val="ListParagraph"/>
        <w:numPr>
          <w:ilvl w:val="0"/>
          <w:numId w:val="2"/>
        </w:numPr>
        <w:spacing w:after="90" w:line="270"/>
      </w:pPr>
      <w:r>
        <w:rPr>
          <w:color w:val="262626"/>
          <w:sz w:val="21"/>
          <w:szCs w:val="21"/>
        </w:rPr>
        <w:t xml:space="preserve">JobQueue interface'i ve PostgreSQL outbox implementasyonu yazılacak.</w:t>
      </w:r>
    </w:p>
    <w:p>
      <w:pPr>
        <w:pStyle w:val="ListParagraph"/>
        <w:numPr>
          <w:ilvl w:val="0"/>
          <w:numId w:val="2"/>
        </w:numPr>
        <w:spacing w:after="90" w:line="270"/>
      </w:pPr>
      <w:r>
        <w:rPr>
          <w:color w:val="262626"/>
          <w:sz w:val="21"/>
          <w:szCs w:val="21"/>
        </w:rPr>
        <w:t xml:space="preserve">Storage interface'i hazırlanacak (screenshot/HTML/DOM/favicon dosyaları için).</w:t>
      </w:r>
    </w:p>
    <w:p>
      <w:pPr>
        <w:pStyle w:val="ListParagraph"/>
        <w:numPr>
          <w:ilvl w:val="0"/>
          <w:numId w:val="2"/>
        </w:numPr>
        <w:spacing w:after="90" w:line="270"/>
      </w:pPr>
      <w:r>
        <w:rPr>
          <w:color w:val="262626"/>
          <w:sz w:val="21"/>
          <w:szCs w:val="21"/>
        </w:rPr>
        <w:t xml:space="preserve">Demo seed datası oluşturulacak (en az 1 entity, 1 asset, birkaç örnek candidate).</w:t>
      </w:r>
    </w:p>
    <w:p>
      <w:pPr>
        <w:pStyle w:val="ListParagraph"/>
        <w:numPr>
          <w:ilvl w:val="0"/>
          <w:numId w:val="2"/>
        </w:numPr>
        <w:spacing w:after="90" w:line="270"/>
      </w:pPr>
      <w:r>
        <w:rPr>
          <w:color w:val="262626"/>
          <w:sz w:val="21"/>
          <w:szCs w:val="21"/>
        </w:rPr>
        <w:t xml:space="preserve">Ortam ayarları hazırlanacak: local PostgreSQL, uygulama config, Docker compose.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Neden ayrı bir bölüm?</w:t>
            </w:r>
          </w:p>
          <w:p>
            <w:pPr>
              <w:spacing w:after="0" w:line="270"/>
            </w:pPr>
            <w:r>
              <w:rPr>
                <w:color w:val="262626"/>
                <w:sz w:val="21"/>
                <w:szCs w:val="21"/>
              </w:rPr>
              <w:t xml:space="preserve">Core backlog'undaki ilk madde (Protected Entity / Asset) doğrudan entities/assets tablolarının var olduğunu varsayar. Ama geri kalan 10 tablonun migration'ı, bir repository katmanı olmadan hiçbir feature gerçek anlamda “bitti” sayılamaz. Bu yüzden Teknik Foundation, Core'un 1. maddesinden önce tamamlanması gereken bir ön koşuldur.</w:t>
            </w:r>
          </w:p>
        </w:tc>
      </w:tr>
    </w:tbl>
    <w:p>
      <w:pPr>
        <w:spacing w:after="100"/>
      </w:pPr>
    </w:p>
    <w:p>
      <w:pPr>
        <w:pStyle w:val="Heading2"/>
      </w:pPr>
      <w:r>
        <w:t xml:space="preserve">2.1 MVP Teknoloji Kararı</w:t>
      </w:r>
    </w:p>
    <w:p>
      <w:pPr>
        <w:spacing w:after="160" w:line="276"/>
      </w:pPr>
      <w:r>
        <w:t xml:space="preserve">Teknik Foundation maddeleri hangi teknolojiyle yazılacağını söylemez; bu netleştirilmezse ekip React veya Kafka gibi MVP dışı bırakılan araçlara kayabilir. Hoca tarafından netleştirilen karar şudur:</w:t>
      </w:r>
    </w:p>
    <w:p>
      <w:pPr>
        <w:pStyle w:val="ListParagraph"/>
        <w:numPr>
          <w:ilvl w:val="0"/>
          <w:numId w:val="22"/>
        </w:numPr>
        <w:spacing w:after="90" w:line="270"/>
      </w:pPr>
      <w:r>
        <w:rPr>
          <w:b/>
          <w:bCs/>
        </w:rPr>
        <w:t xml:space="preserve">Backend / API: </w:t>
      </w:r>
      <w:r>
        <w:t xml:space="preserve">Scala, Play Framework üzerinde geliştirilecek.</w:t>
      </w:r>
    </w:p>
    <w:p>
      <w:pPr>
        <w:pStyle w:val="ListParagraph"/>
        <w:numPr>
          <w:ilvl w:val="0"/>
          <w:numId w:val="22"/>
        </w:numPr>
        <w:spacing w:after="90" w:line="270"/>
      </w:pPr>
      <w:r>
        <w:rPr>
          <w:b/>
          <w:bCs/>
        </w:rPr>
        <w:t xml:space="preserve">Actor / worker mimarisi: </w:t>
      </w:r>
      <w:r>
        <w:t xml:space="preserve">Akka Actor — crawler, analiz ve risk scoring gibi işler ayrı aktörler olarak çalışır.</w:t>
      </w:r>
    </w:p>
    <w:p>
      <w:pPr>
        <w:pStyle w:val="ListParagraph"/>
        <w:numPr>
          <w:ilvl w:val="0"/>
          <w:numId w:val="22"/>
        </w:numPr>
        <w:spacing w:after="90" w:line="270"/>
      </w:pPr>
      <w:r>
        <w:rPr>
          <w:b/>
          <w:bCs/>
        </w:rPr>
        <w:t xml:space="preserve">Asenkron iş akışı: </w:t>
      </w:r>
      <w:r>
        <w:t xml:space="preserve">Kafka MVP'de kullanılmaz. PostgreSQL outbox_jobs tablosu ve Akka Actor/worker yapısı ile yönetilir; ileri fazda aynı interface Kafka implementasyonuna çevrilebilir.</w:t>
      </w:r>
    </w:p>
    <w:p>
      <w:pPr>
        <w:pStyle w:val="ListParagraph"/>
        <w:numPr>
          <w:ilvl w:val="0"/>
          <w:numId w:val="22"/>
        </w:numPr>
        <w:spacing w:after="90" w:line="270"/>
      </w:pPr>
      <w:r>
        <w:rPr>
          <w:b/>
          <w:bCs/>
        </w:rPr>
        <w:t xml:space="preserve">Human Review ekranı: </w:t>
      </w:r>
      <w:r>
        <w:t xml:space="preserve">Ayrı bir React frontend ile değil, Play Framework'ün Twirl template yapısıyla hazırlanır. Server-rendered, basit ekran yeterlidir.</w:t>
      </w:r>
    </w:p>
    <w:p>
      <w:pPr>
        <w:pStyle w:val="ListParagraph"/>
        <w:numPr>
          <w:ilvl w:val="0"/>
          <w:numId w:val="22"/>
        </w:numPr>
        <w:spacing w:after="90" w:line="270"/>
      </w:pPr>
      <w:r>
        <w:rPr>
          <w:b/>
          <w:bCs/>
        </w:rPr>
        <w:t xml:space="preserve">Veritabanı: </w:t>
      </w:r>
      <w:r>
        <w:t xml:space="preserve">PostgreSQL — JSONB ve outbox pattern için.</w:t>
      </w:r>
    </w:p>
    <w:p>
      <w:pPr>
        <w:pStyle w:val="ListParagraph"/>
        <w:numPr>
          <w:ilvl w:val="0"/>
          <w:numId w:val="22"/>
        </w:numPr>
        <w:spacing w:after="90" w:line="270"/>
      </w:pPr>
      <w:r>
        <w:rPr>
          <w:b/>
          <w:bCs/>
        </w:rPr>
        <w:t xml:space="preserve">Dosya / kanıt saklama: </w:t>
      </w:r>
      <w:r>
        <w:t xml:space="preserve">MVP'de PostgreSQL blob/storage extension yaklaşımı ve bir storage interface arkasından erişim; ileride aynı interface S3 veya MinIO implementasyonuna çevrilebilir.</w:t>
      </w:r>
    </w:p>
    <w:p>
      <w:pPr>
        <w:spacing w:after="160" w:line="276"/>
      </w:pPr>
      <w:r>
        <w:t xml:space="preserve">Analiz kütüphaneleri (domain similarity, pHash, OCR) Python tarafında ayrı bir servis/script olarak çalışabilir; Scala backend ile iletişim REST veya outbox üzerinden kurulur.</w:t>
      </w:r>
    </w:p>
    <w:p>
      <w:pPr>
        <w:spacing w:after="100"/>
      </w:pPr>
    </w:p>
    <w:p>
      <w:pPr>
        <w:pStyle w:val="Heading1"/>
      </w:pPr>
      <w:r>
        <w:t xml:space="preserve">3. MVP Core Backlog</w:t>
      </w:r>
    </w:p>
    <w:p>
      <w:pPr>
        <w:spacing w:after="160" w:line="276"/>
      </w:pPr>
      <w:r>
        <w:t xml:space="preserve">13 madde, pipeline sırasıyla. Her biri MVP Core Feature Seti tablosundaki bir satıra karşılık gelir.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1.  Protected Entity / Asset</w:t>
            </w:r>
          </w:p>
          <w:p>
            <w:pPr>
              <w:spacing w:before="40"/>
            </w:pPr>
            <w:r>
              <w:rPr>
                <w:i/>
                <w:iCs/>
                <w:color w:val="FFFFFF"/>
                <w:sz w:val="19"/>
                <w:szCs w:val="19"/>
              </w:rPr>
              <w:t xml:space="preserve">Hangi markanın ve hangi dijital varlığın korunacağını tanımlar.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entities ve assets için repository/servis katmanı ve temel kayıt akışı hazırlanacak (id, name, type, asset_type, value, metadata JSONB alanlarını kullanan)</w:t>
            </w:r>
            <w:r>
              <w:rPr>
                <w:rFonts w:ascii="Consolas" w:cs="Consolas" w:eastAsia="Consolas" w:hAnsi="Consolas"/>
                <w:i/>
                <w:iCs/>
                <w:color w:val="595959"/>
                <w:sz w:val="18"/>
                <w:szCs w:val="18"/>
              </w:rPr>
              <w:t xml:space="preserve">   →  entities + assets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Entity ekleme (marka/kurum kaydı) için basit CRUD/ekran yapılacak</w:t>
            </w:r>
            <w:r>
              <w:rPr>
                <w:rFonts w:ascii="Consolas" w:cs="Consolas" w:eastAsia="Consolas" w:hAnsi="Consolas"/>
                <w:i/>
                <w:iCs/>
                <w:color w:val="595959"/>
                <w:sz w:val="18"/>
                <w:szCs w:val="18"/>
              </w:rPr>
              <w:t xml:space="preserve">   →  entities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Bir entity'ye domain/subdomain asset olarak eklenebilecek; referans logo, favicon, homepage_url, login_page_url ve reference_dom_summary bilgileri assets.metadata içine yazılacak</w:t>
            </w:r>
            <w:r>
              <w:rPr>
                <w:rFonts w:ascii="Consolas" w:cs="Consolas" w:eastAsia="Consolas" w:hAnsi="Consolas"/>
                <w:i/>
                <w:iCs/>
                <w:color w:val="595959"/>
                <w:sz w:val="18"/>
                <w:szCs w:val="18"/>
              </w:rPr>
              <w:t xml:space="preserve">   →  assets.metadata</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3"/>
              </w:numPr>
              <w:spacing w:after="0" w:line="264"/>
            </w:pPr>
            <w:r>
              <w:rPr>
                <w:color w:val="262626"/>
                <w:sz w:val="20"/>
                <w:szCs w:val="20"/>
              </w:rPr>
              <w:t xml:space="preserve">Asset oluşturulurken is_active varsayılan olarak true set edilecek; MVP'de silme yerine pasife alma (false) davranışı opsiyonel olarak desteklenebilir</w:t>
            </w:r>
            <w:r>
              <w:rPr>
                <w:rFonts w:ascii="Consolas" w:cs="Consolas" w:eastAsia="Consolas" w:hAnsi="Consolas"/>
                <w:i/>
                <w:iCs/>
                <w:color w:val="595959"/>
                <w:sz w:val="18"/>
                <w:szCs w:val="18"/>
              </w:rPr>
              <w:t xml:space="preserve">   →  assets.is_active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2.  Manual URL Input</w:t>
            </w:r>
          </w:p>
          <w:p>
            <w:pPr>
              <w:spacing w:before="40"/>
            </w:pPr>
            <w:r>
              <w:rPr>
                <w:i/>
                <w:iCs/>
                <w:color w:val="FFFFFF"/>
                <w:sz w:val="19"/>
                <w:szCs w:val="19"/>
              </w:rPr>
              <w:t xml:space="preserve">Demo veya manuel inceleme için aday URL girişi sağlar.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4"/>
              </w:numPr>
              <w:spacing w:after="0" w:line="264"/>
            </w:pPr>
            <w:r>
              <w:rPr>
                <w:color w:val="262626"/>
                <w:sz w:val="20"/>
                <w:szCs w:val="20"/>
              </w:rPr>
              <w:t xml:space="preserve">Şüpheli URL'in elle girilebileceği basit form/endpoint yapılacak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4"/>
              </w:numPr>
              <w:spacing w:after="0" w:line="264"/>
            </w:pPr>
            <w:r>
              <w:rPr>
                <w:color w:val="262626"/>
                <w:sz w:val="20"/>
                <w:szCs w:val="20"/>
              </w:rPr>
              <w:t xml:space="preserve">Girilen URL candidates tablosuna source="manual" ile yazılacak</w:t>
            </w:r>
            <w:r>
              <w:rPr>
                <w:rFonts w:ascii="Consolas" w:cs="Consolas" w:eastAsia="Consolas" w:hAnsi="Consolas"/>
                <w:i/>
                <w:iCs/>
                <w:color w:val="595959"/>
                <w:sz w:val="18"/>
                <w:szCs w:val="18"/>
              </w:rPr>
              <w:t xml:space="preserve">   →  candidates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4"/>
              </w:numPr>
              <w:spacing w:after="0" w:line="264"/>
            </w:pPr>
            <w:r>
              <w:rPr>
                <w:color w:val="262626"/>
                <w:sz w:val="20"/>
                <w:szCs w:val="20"/>
              </w:rPr>
              <w:t xml:space="preserve">Girdi doğrulama eklenecek (boş/geçersiz URL kontrolü)</w:t>
            </w:r>
            <w:r>
              <w:t xml:space="preserve"/>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3.  Domain Variation (Permütasyon)</w:t>
            </w:r>
          </w:p>
          <w:p>
            <w:pPr>
              <w:spacing w:before="40"/>
            </w:pPr>
            <w:r>
              <w:rPr>
                <w:i/>
                <w:iCs/>
                <w:color w:val="FFFFFF"/>
                <w:sz w:val="19"/>
                <w:szCs w:val="19"/>
              </w:rPr>
              <w:t xml:space="preserve">Resmi domainin sahte varyasyonlarını üretir.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Permütasyon algoritması kurulacak (dnstwist veya benzeri mantık)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Harf ekleme/silme/değiştirme, homoglyph, TLD swap üretimi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Prefix/suffix pattern üretimi eklenecek: login-, secure-, verify-, support-, giris-, odeme-, kampanya-, hesap- gibi sık kullanılan phishing ekleri resmi domain/brand ile birleştirilerek aday domain üretilecek</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5"/>
              </w:numPr>
              <w:spacing w:after="0" w:line="264"/>
            </w:pPr>
            <w:r>
              <w:rPr>
                <w:color w:val="262626"/>
                <w:sz w:val="20"/>
                <w:szCs w:val="20"/>
              </w:rPr>
              <w:t xml:space="preserve">Üretilen adaylar candidates tablosuna source="permutation" ile, generated_from bilgisi metadata'ya yazılarak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4.  DNS / HTTP Kontrol</w:t>
            </w:r>
          </w:p>
          <w:p>
            <w:pPr>
              <w:spacing w:before="40"/>
            </w:pPr>
            <w:r>
              <w:rPr>
                <w:i/>
                <w:iCs/>
                <w:color w:val="FFFFFF"/>
                <w:sz w:val="19"/>
                <w:szCs w:val="19"/>
              </w:rPr>
              <w:t xml:space="preserve">Aday domain gerçekten aktif mi, site açılıyor mu kontrol eder.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6"/>
              </w:numPr>
              <w:spacing w:after="0" w:line="264"/>
            </w:pPr>
            <w:r>
              <w:rPr>
                <w:color w:val="262626"/>
                <w:sz w:val="20"/>
                <w:szCs w:val="20"/>
              </w:rPr>
              <w:t xml:space="preserve">DNS sorgusu (A/AAAA/MX) ile aktiflik kontrolü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6"/>
              </w:numPr>
              <w:spacing w:after="0" w:line="264"/>
            </w:pPr>
            <w:r>
              <w:rPr>
                <w:color w:val="262626"/>
                <w:sz w:val="20"/>
                <w:szCs w:val="20"/>
              </w:rPr>
              <w:t xml:space="preserve">HTTP/HTTPS erişilebilirlik testi + redirect chain takibi eklenecek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6"/>
              </w:numPr>
              <w:spacing w:after="0" w:line="264"/>
            </w:pPr>
            <w:r>
              <w:rPr>
                <w:color w:val="262626"/>
                <w:sz w:val="20"/>
                <w:szCs w:val="20"/>
              </w:rPr>
              <w:t xml:space="preserve">Sonuç candidates.status ile yansıtılacak (validating→crawling / validating→eliminated); ham detay (resolved_ip, http_reachable, validation_error) metadata'ya yazılacak</w:t>
            </w:r>
            <w:r>
              <w:rPr>
                <w:rFonts w:ascii="Consolas" w:cs="Consolas" w:eastAsia="Consolas" w:hAnsi="Consolas"/>
                <w:i/>
                <w:iCs/>
                <w:color w:val="595959"/>
                <w:sz w:val="18"/>
                <w:szCs w:val="18"/>
              </w:rPr>
              <w:t xml:space="preserve">   →  candidates.status + metadata</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5.  Crawler</w:t>
            </w:r>
          </w:p>
          <w:p>
            <w:pPr>
              <w:spacing w:before="40"/>
            </w:pPr>
            <w:r>
              <w:rPr>
                <w:i/>
                <w:iCs/>
                <w:color w:val="FFFFFF"/>
                <w:sz w:val="19"/>
                <w:szCs w:val="19"/>
              </w:rPr>
              <w:t xml:space="preserve">Şüpheli siteyi açıp içeriğini toplar.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İzole ortam kurulacak (Browserless.io veya ayrı Docker/VM — ana sunucudan izole)</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Screenshot, DOM snapshot, HTML arşivi, favicon toplama yazılacak</w:t>
            </w:r>
            <w:r>
              <w:rPr>
                <w:rFonts w:ascii="Consolas" w:cs="Consolas" w:eastAsia="Consolas" w:hAnsi="Consolas"/>
                <w:i/>
                <w:iCs/>
                <w:color w:val="595959"/>
                <w:sz w:val="18"/>
                <w:szCs w:val="18"/>
              </w:rPr>
              <w:t xml:space="preserve">   →  crawl_results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HTTP status crawl_results.http_status alanına yazılacak; title/body metin, redirect chain çekilecek; SSL/final_url/resolved_ip/asn/hosting_provider/server_header/content_type/fetch_duration_ms gibi teknik detaylar crawl_results.metadata (JSONB) içine yazılacak — asn/hosting_provider ileri fazda Threat Graph kampanya korelasyonu için kullanılır</w:t>
            </w:r>
            <w:r>
              <w:rPr>
                <w:rFonts w:ascii="Consolas" w:cs="Consolas" w:eastAsia="Consolas" w:hAnsi="Consolas"/>
                <w:i/>
                <w:iCs/>
                <w:color w:val="595959"/>
                <w:sz w:val="18"/>
                <w:szCs w:val="18"/>
              </w:rPr>
              <w:t xml:space="preserve">   →  crawl_results + crawl_results.metadata</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7"/>
              </w:numPr>
              <w:spacing w:after="0" w:line="264"/>
            </w:pPr>
            <w:r>
              <w:rPr>
                <w:color w:val="262626"/>
                <w:sz w:val="20"/>
                <w:szCs w:val="20"/>
              </w:rPr>
              <w:t xml:space="preserve">Sonuçlar crawl_results'a, tekil kanıt dosyaları evidence_files'a kaydedilecek</w:t>
            </w:r>
            <w:r>
              <w:rPr>
                <w:rFonts w:ascii="Consolas" w:cs="Consolas" w:eastAsia="Consolas" w:hAnsi="Consolas"/>
                <w:i/>
                <w:iCs/>
                <w:color w:val="595959"/>
                <w:sz w:val="18"/>
                <w:szCs w:val="18"/>
              </w:rPr>
              <w:t xml:space="preserve">   →  crawl_results + evidence_files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6.  Domain Similarity</w:t>
            </w:r>
          </w:p>
          <w:p>
            <w:pPr>
              <w:spacing w:before="40"/>
            </w:pPr>
            <w:r>
              <w:rPr>
                <w:i/>
                <w:iCs/>
                <w:color w:val="FFFFFF"/>
                <w:sz w:val="19"/>
                <w:szCs w:val="19"/>
              </w:rPr>
              <w:t xml:space="preserve">Aday domainin resmi domaine ne kadar benzediğini ölçer — ilk risk sinyali.</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8"/>
              </w:numPr>
              <w:spacing w:after="0" w:line="264"/>
            </w:pPr>
            <w:r>
              <w:rPr>
                <w:color w:val="262626"/>
                <w:sz w:val="20"/>
                <w:szCs w:val="20"/>
              </w:rPr>
              <w:t xml:space="preserve">Levenshtein distance ve Jaro-Winkler algoritmaları entegre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8"/>
              </w:numPr>
              <w:spacing w:after="0" w:line="264"/>
            </w:pPr>
            <w:r>
              <w:rPr>
                <w:color w:val="262626"/>
                <w:sz w:val="20"/>
                <w:szCs w:val="20"/>
              </w:rPr>
              <w:t xml:space="preserve">Resmi domain ile aday arasında benzerlik skoru hesaplanacak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8"/>
              </w:numPr>
              <w:spacing w:after="0" w:line="264"/>
            </w:pPr>
            <w:r>
              <w:rPr>
                <w:color w:val="262626"/>
                <w:sz w:val="20"/>
                <w:szCs w:val="20"/>
              </w:rPr>
              <w:t xml:space="preserve">Skor candidate_asset_matches'a (match_type=domain_similarity) yazılacak</w:t>
            </w:r>
            <w:r>
              <w:rPr>
                <w:rFonts w:ascii="Consolas" w:cs="Consolas" w:eastAsia="Consolas" w:hAnsi="Consolas"/>
                <w:i/>
                <w:iCs/>
                <w:color w:val="595959"/>
                <w:sz w:val="18"/>
                <w:szCs w:val="18"/>
              </w:rPr>
              <w:t xml:space="preserve">   →  candidate_asset_matches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7.  Basic DOM Structural Similarity</w:t>
            </w:r>
          </w:p>
          <w:p>
            <w:pPr>
              <w:spacing w:before="40"/>
            </w:pPr>
            <w:r>
              <w:rPr>
                <w:i/>
                <w:iCs/>
                <w:color w:val="FFFFFF"/>
                <w:sz w:val="19"/>
                <w:szCs w:val="19"/>
              </w:rPr>
              <w:t xml:space="preserve">Şüpheli sayfanın DOM yapısının referans yapıya temel düzeyde benzeyip benzemediğini ölçer.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9"/>
              </w:numPr>
              <w:spacing w:after="0" w:line="264"/>
            </w:pPr>
            <w:r>
              <w:rPr>
                <w:color w:val="262626"/>
                <w:sz w:val="20"/>
                <w:szCs w:val="20"/>
              </w:rPr>
              <w:t xml:space="preserve">Crawler'dan gelen DOM'dan form/input/button/tag dağılımı gibi temel özellik çıkarımı yazılacak</w:t>
            </w:r>
            <w:r>
              <w:rPr>
                <w:rFonts w:ascii="Consolas" w:cs="Consolas" w:eastAsia="Consolas" w:hAnsi="Consolas"/>
                <w:i/>
                <w:iCs/>
                <w:color w:val="595959"/>
                <w:sz w:val="18"/>
                <w:szCs w:val="18"/>
              </w:rPr>
              <w:t xml:space="preserve">   →  crawl_results.dom_summary</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9"/>
              </w:numPr>
              <w:spacing w:after="0" w:line="264"/>
            </w:pPr>
            <w:r>
              <w:rPr>
                <w:color w:val="262626"/>
                <w:sz w:val="20"/>
                <w:szCs w:val="20"/>
              </w:rPr>
              <w:t xml:space="preserve">Referans DOM bilgisi assets.metadata'dan okunacak şekilde bağlanacak</w:t>
            </w:r>
            <w:r>
              <w:rPr>
                <w:rFonts w:ascii="Consolas" w:cs="Consolas" w:eastAsia="Consolas" w:hAnsi="Consolas"/>
                <w:i/>
                <w:iCs/>
                <w:color w:val="595959"/>
                <w:sz w:val="18"/>
                <w:szCs w:val="18"/>
              </w:rPr>
              <w:t xml:space="preserve">   →  assets.metadata</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9"/>
              </w:numPr>
              <w:spacing w:after="0" w:line="264"/>
            </w:pPr>
            <w:r>
              <w:rPr>
                <w:color w:val="262626"/>
                <w:sz w:val="20"/>
                <w:szCs w:val="20"/>
              </w:rPr>
              <w:t xml:space="preserve">Karşılaştırma skoru candidate_asset_matches'a (match_type=reference_dom_similarity) yazılacak</w:t>
            </w:r>
            <w:r>
              <w:rPr>
                <w:rFonts w:ascii="Consolas" w:cs="Consolas" w:eastAsia="Consolas" w:hAnsi="Consolas"/>
                <w:i/>
                <w:iCs/>
                <w:color w:val="595959"/>
                <w:sz w:val="18"/>
                <w:szCs w:val="18"/>
              </w:rPr>
              <w:t xml:space="preserve">   →  candidate_asset_matches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8.  Logo / Favicon Similarity</w:t>
            </w:r>
          </w:p>
          <w:p>
            <w:pPr>
              <w:spacing w:before="40"/>
            </w:pPr>
            <w:r>
              <w:rPr>
                <w:i/>
                <w:iCs/>
                <w:color w:val="FFFFFF"/>
                <w:sz w:val="19"/>
                <w:szCs w:val="19"/>
              </w:rPr>
              <w:t xml:space="preserve">Sahte sitenin görsel olarak markayı taklit edip etmediğini ölçer.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0"/>
              </w:numPr>
              <w:spacing w:after="0" w:line="264"/>
            </w:pPr>
            <w:r>
              <w:rPr>
                <w:color w:val="262626"/>
                <w:sz w:val="20"/>
                <w:szCs w:val="20"/>
              </w:rPr>
              <w:t xml:space="preserve">pHash/imagehash kütüphanesi entegre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0"/>
              </w:numPr>
              <w:spacing w:after="0" w:line="264"/>
            </w:pPr>
            <w:r>
              <w:rPr>
                <w:color w:val="262626"/>
                <w:sz w:val="20"/>
                <w:szCs w:val="20"/>
              </w:rPr>
              <w:t xml:space="preserve">Resmi logo/favicon (assets.metadata) ile aday sitenin favicon'u (evidence_files) karşılaştırılacak</w:t>
            </w:r>
            <w:r>
              <w:rPr>
                <w:rFonts w:ascii="Consolas" w:cs="Consolas" w:eastAsia="Consolas" w:hAnsi="Consolas"/>
                <w:i/>
                <w:iCs/>
                <w:color w:val="595959"/>
                <w:sz w:val="18"/>
                <w:szCs w:val="18"/>
              </w:rPr>
              <w:t xml:space="preserve">   →  assets.metadata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0"/>
              </w:numPr>
              <w:spacing w:after="0" w:line="264"/>
            </w:pPr>
            <w:r>
              <w:rPr>
                <w:color w:val="262626"/>
                <w:sz w:val="20"/>
                <w:szCs w:val="20"/>
              </w:rPr>
              <w:t xml:space="preserve">Görsel benzerlik skoru candidate_asset_matches'a (match_type=logo_similarity/favicon_similarity) yazılacak</w:t>
            </w:r>
            <w:r>
              <w:rPr>
                <w:rFonts w:ascii="Consolas" w:cs="Consolas" w:eastAsia="Consolas" w:hAnsi="Consolas"/>
                <w:i/>
                <w:iCs/>
                <w:color w:val="595959"/>
                <w:sz w:val="18"/>
                <w:szCs w:val="18"/>
              </w:rPr>
              <w:t xml:space="preserve">   →  candidate_asset_matches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9.  OCR</w:t>
            </w:r>
          </w:p>
          <w:p>
            <w:pPr>
              <w:spacing w:before="40"/>
            </w:pPr>
            <w:r>
              <w:rPr>
                <w:i/>
                <w:iCs/>
                <w:color w:val="FFFFFF"/>
                <w:sz w:val="19"/>
                <w:szCs w:val="19"/>
              </w:rPr>
              <w:t xml:space="preserve">Görsel içine gömülmüş marka adı veya kritik metni okur.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1"/>
              </w:numPr>
              <w:spacing w:after="0" w:line="264"/>
            </w:pPr>
            <w:r>
              <w:rPr>
                <w:color w:val="262626"/>
                <w:sz w:val="20"/>
                <w:szCs w:val="20"/>
              </w:rPr>
              <w:t xml:space="preserve">Tesseract veya Google Vision API entegre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1"/>
              </w:numPr>
              <w:spacing w:after="0" w:line="264"/>
            </w:pPr>
            <w:r>
              <w:rPr>
                <w:color w:val="262626"/>
                <w:sz w:val="20"/>
                <w:szCs w:val="20"/>
              </w:rPr>
              <w:t xml:space="preserve">Screenshot üzerinden metin çıkarımı yapılacak; ham OCR çıktısı dosya olarak kaydedilecek</w:t>
            </w:r>
            <w:r>
              <w:rPr>
                <w:rFonts w:ascii="Consolas" w:cs="Consolas" w:eastAsia="Consolas" w:hAnsi="Consolas"/>
                <w:i/>
                <w:iCs/>
                <w:color w:val="595959"/>
                <w:sz w:val="18"/>
                <w:szCs w:val="18"/>
              </w:rPr>
              <w:t xml:space="preserve">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1"/>
              </w:numPr>
              <w:spacing w:after="0" w:line="264"/>
            </w:pPr>
            <w:r>
              <w:rPr>
                <w:color w:val="262626"/>
                <w:sz w:val="20"/>
                <w:szCs w:val="20"/>
              </w:rPr>
              <w:t xml:space="preserve">OCR sonucu + skoru detection_signals'a (signal_type=ocr_brand_match) yazılacak</w:t>
            </w:r>
            <w:r>
              <w:rPr>
                <w:rFonts w:ascii="Consolas" w:cs="Consolas" w:eastAsia="Consolas" w:hAnsi="Consolas"/>
                <w:i/>
                <w:iCs/>
                <w:color w:val="595959"/>
                <w:sz w:val="18"/>
                <w:szCs w:val="18"/>
              </w:rPr>
              <w:t xml:space="preserve">   →  detection_signals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10.  Form / Login Detection</w:t>
            </w:r>
          </w:p>
          <w:p>
            <w:pPr>
              <w:spacing w:before="40"/>
            </w:pPr>
            <w:r>
              <w:rPr>
                <w:i/>
                <w:iCs/>
                <w:color w:val="FFFFFF"/>
                <w:sz w:val="19"/>
                <w:szCs w:val="19"/>
              </w:rPr>
              <w:t xml:space="preserve">Kullanıcı bilgisi toplayan form var mı bakar — yüksek phishing sinyali.</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DOM'da login/password input tespiti yazılacak (form, input type analizi)</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Ham sonuç (has_form, has_password_input) crawl_results'a işlenecek</w:t>
            </w:r>
            <w:r>
              <w:rPr>
                <w:rFonts w:ascii="Consolas" w:cs="Consolas" w:eastAsia="Consolas" w:hAnsi="Consolas"/>
                <w:i/>
                <w:iCs/>
                <w:color w:val="595959"/>
                <w:sz w:val="18"/>
                <w:szCs w:val="18"/>
              </w:rPr>
              <w:t xml:space="preserve">   →  crawl_results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Skorlu sinyal detection_signals'a (form_detected, password_input_detected) yazılacak</w:t>
            </w:r>
            <w:r>
              <w:rPr>
                <w:rFonts w:ascii="Consolas" w:cs="Consolas" w:eastAsia="Consolas" w:hAnsi="Consolas"/>
                <w:i/>
                <w:iCs/>
                <w:color w:val="595959"/>
                <w:sz w:val="18"/>
                <w:szCs w:val="18"/>
              </w:rPr>
              <w:t xml:space="preserve">   →  detection_signals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2"/>
              </w:numPr>
              <w:spacing w:after="0" w:line="264"/>
            </w:pPr>
            <w:r>
              <w:rPr>
                <w:color w:val="262626"/>
                <w:sz w:val="20"/>
                <w:szCs w:val="20"/>
              </w:rPr>
              <w:t xml:space="preserve">Title/body metin içinde korunan marka adının geçip geçmediği ham crawler çıktısı olarak crawl_results.brand_name_found alanına yazılacak; aynı bulgu login, ödeme, doğrulama, kampanya gibi kritik kelimelerle birlikte skorlanarak detection_signals tablosuna brand_keyword_found veya suspicious_login_text olarak aktarılacak</w:t>
            </w:r>
            <w:r>
              <w:rPr>
                <w:rFonts w:ascii="Consolas" w:cs="Consolas" w:eastAsia="Consolas" w:hAnsi="Consolas"/>
                <w:i/>
                <w:iCs/>
                <w:color w:val="595959"/>
                <w:sz w:val="18"/>
                <w:szCs w:val="18"/>
              </w:rPr>
              <w:t xml:space="preserve">   →  crawl_results + detection_signals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11.  Rule-Based Risk Scoring</w:t>
            </w:r>
          </w:p>
          <w:p>
            <w:pPr>
              <w:spacing w:before="40"/>
            </w:pPr>
            <w:r>
              <w:rPr>
                <w:i/>
                <w:iCs/>
                <w:color w:val="FFFFFF"/>
                <w:sz w:val="19"/>
                <w:szCs w:val="19"/>
              </w:rPr>
              <w:t xml:space="preserve">Tüm sinyalleri açıklanabilir tek karara dönüştürür.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3"/>
              </w:numPr>
              <w:spacing w:after="0" w:line="264"/>
            </w:pPr>
            <w:r>
              <w:rPr>
                <w:color w:val="262626"/>
                <w:sz w:val="20"/>
                <w:szCs w:val="20"/>
              </w:rPr>
              <w:t xml:space="preserve">Ağırlıklı kural seti tanımlanacak (domain similarity, DOM, logo, form vb. için puanlar); rule_set_version takip edilecek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3"/>
              </w:numPr>
              <w:spacing w:after="0" w:line="264"/>
            </w:pPr>
            <w:r>
              <w:rPr>
                <w:color w:val="262626"/>
                <w:sz w:val="20"/>
                <w:szCs w:val="20"/>
              </w:rPr>
              <w:t xml:space="preserve">Toplam skor → verdict (clean/suspicious/malicious) hesaplama mantığı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3"/>
              </w:numPr>
              <w:spacing w:after="0" w:line="264"/>
            </w:pPr>
            <w:r>
              <w:rPr>
                <w:color w:val="262626"/>
                <w:sz w:val="20"/>
                <w:szCs w:val="20"/>
              </w:rPr>
              <w:t xml:space="preserve">Skor + gerekçeler (reasons JSONB) risk_scores'a yazılacak</w:t>
            </w:r>
            <w:r>
              <w:rPr>
                <w:rFonts w:ascii="Consolas" w:cs="Consolas" w:eastAsia="Consolas" w:hAnsi="Consolas"/>
                <w:i/>
                <w:iCs/>
                <w:color w:val="595959"/>
                <w:sz w:val="18"/>
                <w:szCs w:val="18"/>
              </w:rPr>
              <w:t xml:space="preserve">   →  risk_scores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12.  Human Review</w:t>
            </w:r>
          </w:p>
          <w:p>
            <w:pPr>
              <w:spacing w:before="40"/>
            </w:pPr>
            <w:r>
              <w:rPr>
                <w:i/>
                <w:iCs/>
                <w:color w:val="FFFFFF"/>
                <w:sz w:val="19"/>
                <w:szCs w:val="19"/>
              </w:rPr>
              <w:t xml:space="preserve">Otomatik kararın insan tarafından doğrulanmasını sağlar — false positive riskini azaltır.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Review ekranı yapılacak (screenshot, skorlar, OCR sonucu, form sonucu, verdict gösterimi)</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Karar butonları eklenecek: confirmed / false_positive / needs_more_info</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Karar reviews'a (risk_score_id referanslı) yazılacak; candidates.status review_needed→reviewed yapılacak</w:t>
            </w:r>
            <w:r>
              <w:rPr>
                <w:rFonts w:ascii="Consolas" w:cs="Consolas" w:eastAsia="Consolas" w:hAnsi="Consolas"/>
                <w:i/>
                <w:iCs/>
                <w:color w:val="595959"/>
                <w:sz w:val="18"/>
                <w:szCs w:val="18"/>
              </w:rPr>
              <w:t xml:space="preserve">   →  reviews + candidates.status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4"/>
              </w:numPr>
              <w:spacing w:after="0" w:line="264"/>
            </w:pPr>
            <w:r>
              <w:rPr>
                <w:color w:val="262626"/>
                <w:sz w:val="20"/>
                <w:szCs w:val="20"/>
              </w:rPr>
              <w:t xml:space="preserve">Risk skoru yüksek ama risk_scores.confidence düşük olan adaylar review kuyruğunda öncelikli gösterilecek; review ekranında total_score, verdict ve confidence birlikte gösterilecek</w:t>
            </w:r>
            <w:r>
              <w:rPr>
                <w:rFonts w:ascii="Consolas" w:cs="Consolas" w:eastAsia="Consolas" w:hAnsi="Consolas"/>
                <w:i/>
                <w:iCs/>
                <w:color w:val="595959"/>
                <w:sz w:val="18"/>
                <w:szCs w:val="18"/>
              </w:rPr>
              <w:t xml:space="preserve">   →  risk_scores.confidence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C9750C" w:val="clear"/>
            <w:tcMar>
              <w:top w:type="dxa" w:w="110"/>
              <w:left w:type="dxa" w:w="180"/>
              <w:bottom w:type="dxa" w:w="110"/>
              <w:right w:type="dxa" w:w="180"/>
            </w:tcMar>
          </w:tcPr>
          <w:p>
            <w:r>
              <w:rPr>
                <w:b/>
                <w:bCs/>
                <w:color w:val="FFFFFF"/>
                <w:sz w:val="23"/>
                <w:szCs w:val="23"/>
              </w:rPr>
              <w:t>13.  Evidence Package / Takedown Mock</w:t>
            </w:r>
          </w:p>
          <w:p>
            <w:pPr>
              <w:spacing w:before="40"/>
            </w:pPr>
            <w:r>
              <w:rPr>
                <w:i/>
                <w:iCs/>
                <w:color w:val="FFFFFF"/>
                <w:sz w:val="19"/>
                <w:szCs w:val="19"/>
              </w:rPr>
              <w:t xml:space="preserve">Tespiti aksiyona dönüştürür — kanıt toplar.</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Confirmed case'ler için evidence package oluşturulacak; screenshot, HTML archive, DOM snapshot, OCR output, redirect chain, crawl metadata, risk score, tetiklenen sinyaller ve review decision bilgisini içerecek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cases tablosuna kayıt açılacak (review_id referanslı); evidence_files'a case_id sonradan bağlanacak</w:t>
            </w:r>
            <w:r>
              <w:rPr>
                <w:rFonts w:ascii="Consolas" w:cs="Consolas" w:eastAsia="Consolas" w:hAnsi="Consolas"/>
                <w:i/>
                <w:iCs/>
                <w:color w:val="595959"/>
                <w:sz w:val="18"/>
                <w:szCs w:val="18"/>
              </w:rPr>
              <w:t xml:space="preserve">   →  cases + evidence_files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Log-only takedown akışı yazılacak (gerçek API yok, sadece loglama); cases.takedown_sent_at güncellenecek</w:t>
            </w:r>
            <w:r>
              <w:rPr>
                <w:rFonts w:ascii="Consolas" w:cs="Consolas" w:eastAsia="Consolas" w:hAnsi="Consolas"/>
                <w:i/>
                <w:iCs/>
                <w:color w:val="595959"/>
                <w:sz w:val="18"/>
                <w:szCs w:val="18"/>
              </w:rPr>
              <w:t xml:space="preserve">   →  cases</w:t>
            </w:r>
          </w:p>
        </w:tc>
      </w:tr>
      <w:tr>
        <w:trPr>
          <w:cantSplit/>
        </w:trPr>
        <w:tc>
          <w:tcPr>
            <w:tcW w:type="dxa" w:w="10080"/>
            <w:tcBorders>
              <w:top w:val="single" w:color="CCCCCC" w:sz="2"/>
              <w:left w:val="single" w:color="CCCCCC" w:sz="2"/>
              <w:bottom w:val="single" w:color="CCCCCC" w:sz="2"/>
              <w:right w:val="single" w:color="CCCCCC" w:sz="2"/>
            </w:tcBorders>
            <w:shd w:fill="FFF3E0" w:val="clear"/>
            <w:tcMar>
              <w:top w:type="dxa" w:w="70"/>
              <w:left w:type="dxa" w:w="260"/>
              <w:bottom w:type="dxa" w:w="70"/>
              <w:right w:type="dxa" w:w="180"/>
            </w:tcMar>
          </w:tcPr>
          <w:p>
            <w:pPr>
              <w:pStyle w:val="ListParagraph"/>
              <w:numPr>
                <w:ilvl w:val="0"/>
                <w:numId w:val="15"/>
              </w:numPr>
              <w:spacing w:after="0" w:line="264"/>
            </w:pPr>
            <w:r>
              <w:rPr>
                <w:color w:val="262626"/>
                <w:sz w:val="20"/>
                <w:szCs w:val="20"/>
              </w:rPr>
              <w:t xml:space="preserve">Case oluşturulurken cases.priority, risk_scores.total_score ve review decision bilgisine göre low/medium/high olarak atanacak; alan nullable olduğu için MVP'de boş bırakılması da seçenektir</w:t>
            </w:r>
            <w:r>
              <w:rPr>
                <w:rFonts w:ascii="Consolas" w:cs="Consolas" w:eastAsia="Consolas" w:hAnsi="Consolas"/>
                <w:i/>
                <w:iCs/>
                <w:color w:val="595959"/>
                <w:sz w:val="18"/>
                <w:szCs w:val="18"/>
              </w:rPr>
              <w:t xml:space="preserve">   →  cases.priority</w:t>
            </w:r>
          </w:p>
        </w:tc>
      </w:tr>
    </w:tbl>
    <w:p>
      <w:pPr>
        <w:spacing w:after="200"/>
      </w:pPr>
    </w:p>
    <w:p>
      <w:pPr>
        <w:pStyle w:val="Heading1"/>
      </w:pPr>
      <w:r>
        <w:t xml:space="preserve">4. MVP Plus Backlog</w:t>
      </w:r>
    </w:p>
    <w:p>
      <w:pPr>
        <w:spacing w:after="160" w:line="276"/>
      </w:pPr>
      <w:r>
        <w:t xml:space="preserve">Core pipeline çalıştıktan sonra, Ağustos hedefi içinde zaman kaldığı ölçüde eklenebilecek 6 madde. Aralarında zorunlu bir sıralama yoktur — her biri bağımsız olarak değerlendirilebilir.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1.  CT Log Feed</w:t>
            </w:r>
          </w:p>
          <w:p>
            <w:pPr>
              <w:spacing w:before="40"/>
            </w:pPr>
            <w:r>
              <w:rPr>
                <w:i/>
                <w:iCs/>
                <w:color w:val="FFFFFF"/>
                <w:sz w:val="19"/>
                <w:szCs w:val="19"/>
              </w:rPr>
              <w:t xml:space="preserve">Yeni SSL sertifikalarından marka adı içeren domainleri yakalar.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6"/>
              </w:numPr>
              <w:spacing w:after="0" w:line="264"/>
            </w:pPr>
            <w:r>
              <w:rPr>
                <w:color w:val="262626"/>
                <w:sz w:val="20"/>
                <w:szCs w:val="20"/>
              </w:rPr>
              <w:t xml:space="preserve">CT log stream/API entegrasyonu yapılacak (örn. certstream)</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6"/>
              </w:numPr>
              <w:spacing w:after="0" w:line="264"/>
            </w:pPr>
            <w:r>
              <w:rPr>
                <w:color w:val="262626"/>
                <w:sz w:val="20"/>
                <w:szCs w:val="20"/>
              </w:rPr>
              <w:t xml:space="preserve">Yeni sertifikalarda marka adı / benzer string arama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6"/>
              </w:numPr>
              <w:spacing w:after="0" w:line="264"/>
            </w:pPr>
            <w:r>
              <w:rPr>
                <w:color w:val="262626"/>
                <w:sz w:val="20"/>
                <w:szCs w:val="20"/>
              </w:rPr>
              <w:t xml:space="preserve">Eşleşen domainler candidates'a source="ct_log" ile, sertifika ID'si metadata'ya yazılarak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2.  WHOIS / Yeni Domain Feed</w:t>
            </w:r>
          </w:p>
          <w:p>
            <w:pPr>
              <w:spacing w:before="40"/>
            </w:pPr>
            <w:r>
              <w:rPr>
                <w:i/>
                <w:iCs/>
                <w:color w:val="FFFFFF"/>
                <w:sz w:val="19"/>
                <w:szCs w:val="19"/>
              </w:rPr>
              <w:t xml:space="preserve">Yeni kayıtlı domainleri marka benzerliğine göre filtreler.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7"/>
              </w:numPr>
              <w:spacing w:after="0" w:line="264"/>
            </w:pPr>
            <w:r>
              <w:rPr>
                <w:color w:val="262626"/>
                <w:sz w:val="20"/>
                <w:szCs w:val="20"/>
              </w:rPr>
              <w:t xml:space="preserve">Yeni kayıtlı domain feed entegrasyonu yapılacak (zone file veya 3. parti API)</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7"/>
              </w:numPr>
              <w:spacing w:after="0" w:line="264"/>
            </w:pPr>
            <w:r>
              <w:rPr>
                <w:color w:val="262626"/>
                <w:sz w:val="20"/>
                <w:szCs w:val="20"/>
              </w:rPr>
              <w:t xml:space="preserve">Domain adları marka benzerliğine göre ön filtrelenecek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7"/>
              </w:numPr>
              <w:spacing w:after="0" w:line="264"/>
            </w:pPr>
            <w:r>
              <w:rPr>
                <w:color w:val="262626"/>
                <w:sz w:val="20"/>
                <w:szCs w:val="20"/>
              </w:rPr>
              <w:t xml:space="preserve">Eşleşenler candidates'a source="whois_feed" ile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3.  Şikayetvar Scraping</w:t>
            </w:r>
          </w:p>
          <w:p>
            <w:pPr>
              <w:spacing w:before="40"/>
            </w:pPr>
            <w:r>
              <w:rPr>
                <w:i/>
                <w:iCs/>
                <w:color w:val="FFFFFF"/>
                <w:sz w:val="19"/>
                <w:szCs w:val="19"/>
              </w:rPr>
              <w:t xml:space="preserve">Kullanıcı şikayetlerinden URL/domain çıkarır.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8"/>
              </w:numPr>
              <w:spacing w:after="0" w:line="264"/>
            </w:pPr>
            <w:r>
              <w:rPr>
                <w:color w:val="262626"/>
                <w:sz w:val="20"/>
                <w:szCs w:val="20"/>
              </w:rPr>
              <w:t xml:space="preserve">Şikayetvar sitesi için scraper kurulacak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8"/>
              </w:numPr>
              <w:spacing w:after="0" w:line="264"/>
            </w:pPr>
            <w:r>
              <w:rPr>
                <w:color w:val="262626"/>
                <w:sz w:val="20"/>
                <w:szCs w:val="20"/>
              </w:rPr>
              <w:t xml:space="preserve">Şikayet metninden URL/domain çıkarımı yazılacak (regex veya basit NLP)</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8"/>
              </w:numPr>
              <w:spacing w:after="0" w:line="264"/>
            </w:pPr>
            <w:r>
              <w:rPr>
                <w:color w:val="262626"/>
                <w:sz w:val="20"/>
                <w:szCs w:val="20"/>
              </w:rPr>
              <w:t xml:space="preserve">Çıkarılan adaylar candidates'a source="sikayetvar" ile, şikayet ID'si metadata'ya yazılarak kaydedilecek</w:t>
            </w:r>
            <w:r>
              <w:rPr>
                <w:rFonts w:ascii="Consolas" w:cs="Consolas" w:eastAsia="Consolas" w:hAnsi="Consolas"/>
                <w:i/>
                <w:iCs/>
                <w:color w:val="595959"/>
                <w:sz w:val="18"/>
                <w:szCs w:val="18"/>
              </w:rPr>
              <w:t xml:space="preserve">   →  candidates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4.  HTML Fingerprint</w:t>
            </w:r>
          </w:p>
          <w:p>
            <w:pPr>
              <w:spacing w:before="40"/>
            </w:pPr>
            <w:r>
              <w:rPr>
                <w:i/>
                <w:iCs/>
                <w:color w:val="FFFFFF"/>
                <w:sz w:val="19"/>
                <w:szCs w:val="19"/>
              </w:rPr>
              <w:t xml:space="preserve">Daha önce görülen sahte şablonları tekrar yakalar.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9"/>
              </w:numPr>
              <w:spacing w:after="0" w:line="264"/>
            </w:pPr>
            <w:r>
              <w:rPr>
                <w:color w:val="262626"/>
                <w:sz w:val="20"/>
                <w:szCs w:val="20"/>
              </w:rPr>
              <w:t xml:space="preserve">Normalize edilmiş HTML üzerinden fingerprint/hash algoritması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9"/>
              </w:numPr>
              <w:spacing w:after="0" w:line="264"/>
            </w:pPr>
            <w:r>
              <w:rPr>
                <w:color w:val="262626"/>
                <w:sz w:val="20"/>
                <w:szCs w:val="20"/>
              </w:rPr>
              <w:t xml:space="preserve">Fingerprint detection_signals'a (signal_type=html_fingerprint) yazılacak</w:t>
            </w:r>
            <w:r>
              <w:rPr>
                <w:rFonts w:ascii="Consolas" w:cs="Consolas" w:eastAsia="Consolas" w:hAnsi="Consolas"/>
                <w:i/>
                <w:iCs/>
                <w:color w:val="595959"/>
                <w:sz w:val="18"/>
                <w:szCs w:val="18"/>
              </w:rPr>
              <w:t xml:space="preserve">   →  detection_signals</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19"/>
              </w:numPr>
              <w:spacing w:after="0" w:line="264"/>
            </w:pPr>
            <w:r>
              <w:rPr>
                <w:color w:val="262626"/>
                <w:sz w:val="20"/>
                <w:szCs w:val="20"/>
              </w:rPr>
              <w:t xml:space="preserve">content_hash evidence_files'a da yazılarak çapraz sorgulanabilir hale getirilecek</w:t>
            </w:r>
            <w:r>
              <w:rPr>
                <w:rFonts w:ascii="Consolas" w:cs="Consolas" w:eastAsia="Consolas" w:hAnsi="Consolas"/>
                <w:i/>
                <w:iCs/>
                <w:color w:val="595959"/>
                <w:sz w:val="18"/>
                <w:szCs w:val="18"/>
              </w:rPr>
              <w:t xml:space="preserve">   →  evidence_files.content_hash</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5.  LLM Risk Özeti</w:t>
            </w:r>
          </w:p>
          <w:p>
            <w:pPr>
              <w:spacing w:before="40"/>
            </w:pPr>
            <w:r>
              <w:rPr>
                <w:i/>
                <w:iCs/>
                <w:color w:val="FFFFFF"/>
                <w:sz w:val="19"/>
                <w:szCs w:val="19"/>
              </w:rPr>
              <w:t xml:space="preserve">Risk kararını analist için doğal dile çevirir.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0"/>
              </w:numPr>
              <w:spacing w:after="0" w:line="264"/>
            </w:pPr>
            <w:r>
              <w:rPr>
                <w:color w:val="262626"/>
                <w:sz w:val="20"/>
                <w:szCs w:val="20"/>
              </w:rPr>
              <w:t xml:space="preserve">LLM API entegrasyonu yapılacak (rule engine kararını girdi alan basit prompt)</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0"/>
              </w:numPr>
              <w:spacing w:after="0" w:line="264"/>
            </w:pPr>
            <w:r>
              <w:rPr>
                <w:color w:val="262626"/>
                <w:sz w:val="20"/>
                <w:szCs w:val="20"/>
              </w:rPr>
              <w:t xml:space="preserve">Risk skoru + gerekçelerin insan-okunur özete çevrilmesi yazılacak</w:t>
            </w:r>
            <w:r>
              <w:t xml:space="preserve"/>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0"/>
              </w:numPr>
              <w:spacing w:after="0" w:line="264"/>
            </w:pPr>
            <w:r>
              <w:rPr>
                <w:color w:val="262626"/>
                <w:sz w:val="20"/>
                <w:szCs w:val="20"/>
              </w:rPr>
              <w:t xml:space="preserve">Özet, risk_scores.reasons içine llm_summary anahtarıyla eklenecek — karar mekanizması değişmeyecek</w:t>
            </w:r>
            <w:r>
              <w:rPr>
                <w:rFonts w:ascii="Consolas" w:cs="Consolas" w:eastAsia="Consolas" w:hAnsi="Consolas"/>
                <w:i/>
                <w:iCs/>
                <w:color w:val="595959"/>
                <w:sz w:val="18"/>
                <w:szCs w:val="18"/>
              </w:rPr>
              <w:t xml:space="preserve">   →  risk_scores.reasons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CCCCC" w:sz="2"/>
              <w:left w:val="single" w:color="CCCCCC" w:sz="2"/>
              <w:bottom w:val="single" w:color="CCCCCC" w:sz="2"/>
              <w:right w:val="single" w:color="CCCCCC" w:sz="2"/>
            </w:tcBorders>
            <w:shd w:fill="1E7A46" w:val="clear"/>
            <w:tcMar>
              <w:top w:type="dxa" w:w="110"/>
              <w:left w:type="dxa" w:w="180"/>
              <w:bottom w:type="dxa" w:w="110"/>
              <w:right w:type="dxa" w:w="180"/>
            </w:tcMar>
          </w:tcPr>
          <w:p>
            <w:r>
              <w:rPr>
                <w:b/>
                <w:bCs/>
                <w:color w:val="FFFFFF"/>
                <w:sz w:val="23"/>
                <w:szCs w:val="23"/>
              </w:rPr>
              <w:t>6.  Basit Recurrence Monitoring</w:t>
            </w:r>
          </w:p>
          <w:p>
            <w:pPr>
              <w:spacing w:before="40"/>
            </w:pPr>
            <w:r>
              <w:rPr>
                <w:i/>
                <w:iCs/>
                <w:color w:val="FFFFFF"/>
                <w:sz w:val="19"/>
                <w:szCs w:val="19"/>
              </w:rPr>
              <w:t xml:space="preserve">Kaldırılan/confirmed tehdidin tekrar görülmesini izler.</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1"/>
              </w:numPr>
              <w:spacing w:after="0" w:line="264"/>
            </w:pPr>
            <w:r>
              <w:rPr>
                <w:color w:val="262626"/>
                <w:sz w:val="20"/>
                <w:szCs w:val="20"/>
              </w:rPr>
              <w:t xml:space="preserve">content_hash / html_fingerprint üzerinden “bu daha önce görüldü mü” sorgusu yazılacak</w:t>
            </w:r>
            <w:r>
              <w:rPr>
                <w:rFonts w:ascii="Consolas" w:cs="Consolas" w:eastAsia="Consolas" w:hAnsi="Consolas"/>
                <w:i/>
                <w:iCs/>
                <w:color w:val="595959"/>
                <w:sz w:val="18"/>
                <w:szCs w:val="18"/>
              </w:rPr>
              <w:t xml:space="preserve">   →  evidence_files + detection_signals</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1"/>
              </w:numPr>
              <w:spacing w:after="0" w:line="264"/>
            </w:pPr>
            <w:r>
              <w:rPr>
                <w:color w:val="262626"/>
                <w:sz w:val="20"/>
                <w:szCs w:val="20"/>
              </w:rPr>
              <w:t xml:space="preserve">Eşleşme bulunursa ilgili case'e not düşülecek</w:t>
            </w:r>
            <w:r>
              <w:rPr>
                <w:rFonts w:ascii="Consolas" w:cs="Consolas" w:eastAsia="Consolas" w:hAnsi="Consolas"/>
                <w:i/>
                <w:iCs/>
                <w:color w:val="595959"/>
                <w:sz w:val="18"/>
                <w:szCs w:val="18"/>
              </w:rPr>
              <w:t xml:space="preserve">   →  cases.notes</w:t>
            </w:r>
          </w:p>
        </w:tc>
      </w:tr>
      <w:tr>
        <w:trPr>
          <w:cantSplit/>
        </w:trPr>
        <w:tc>
          <w:tcPr>
            <w:tcW w:type="dxa" w:w="10080"/>
            <w:tcBorders>
              <w:top w:val="single" w:color="CCCCCC" w:sz="2"/>
              <w:left w:val="single" w:color="CCCCCC" w:sz="2"/>
              <w:bottom w:val="single" w:color="CCCCCC" w:sz="2"/>
              <w:right w:val="single" w:color="CCCCCC" w:sz="2"/>
            </w:tcBorders>
            <w:shd w:fill="E9F7EF" w:val="clear"/>
            <w:tcMar>
              <w:top w:type="dxa" w:w="70"/>
              <w:left w:type="dxa" w:w="260"/>
              <w:bottom w:type="dxa" w:w="70"/>
              <w:right w:type="dxa" w:w="180"/>
            </w:tcMar>
          </w:tcPr>
          <w:p>
            <w:pPr>
              <w:pStyle w:val="ListParagraph"/>
              <w:numPr>
                <w:ilvl w:val="0"/>
                <w:numId w:val="21"/>
              </w:numPr>
              <w:spacing w:after="0" w:line="264"/>
            </w:pPr>
            <w:r>
              <w:rPr>
                <w:color w:val="262626"/>
                <w:sz w:val="20"/>
                <w:szCs w:val="20"/>
              </w:rPr>
              <w:t xml:space="preserve">evidence_files(content_hash) index'i devreye alınacak</w:t>
            </w:r>
            <w:r>
              <w:t xml:space="preserve"/>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1E7A46"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1E7A46"/>
                <w:sz w:val="21"/>
                <w:szCs w:val="21"/>
              </w:rPr>
              <w:t xml:space="preserve">Not</w:t>
            </w:r>
          </w:p>
          <w:p>
            <w:pPr>
              <w:spacing w:after="0" w:line="270"/>
            </w:pPr>
            <w:r>
              <w:rPr>
                <w:color w:val="262626"/>
                <w:sz w:val="21"/>
                <w:szCs w:val="21"/>
              </w:rPr>
              <w:t xml:space="preserve">Basit recurrence monitoring'in gelişmiş hâli (kampanya korelasyonu, çoklu domain eşleştirme) Threat Graph kapsamındadır ve MVP Plus'ın dışında, İleri Faz'a bırakılmıştır.</w:t>
            </w:r>
          </w:p>
        </w:tc>
      </w:tr>
    </w:tbl>
    <w:p>
      <w:pPr>
        <w:spacing w:after="100"/>
      </w:pPr>
    </w:p>
    <w:p>
      <w:pPr>
        <w:pStyle w:val="Heading1"/>
      </w:pPr>
      <w:r>
        <w:t xml:space="preserve">5. Demo Preparation / Uçtan Uca Demo Senaryosu</w:t>
      </w:r>
    </w:p>
    <w:p>
      <w:pPr>
        <w:spacing w:after="160" w:line="276"/>
      </w:pPr>
      <w:r>
        <w:t xml:space="preserve">Core ve Plus maddeleri tek tek tamamlansa bile, hocanın istediği “örnek daire” — uçtan uca çalışan ve anlatılabilir bir akış — ayrı bir hazırlık gerektirir. Bu madde, MVP Planı'ndaki demo senaryosunu somut bir checklist'e döker.</w:t>
      </w:r>
    </w:p>
    <w:p>
      <w:pPr>
        <w:pStyle w:val="ListParagraph"/>
        <w:numPr>
          <w:ilvl w:val="0"/>
          <w:numId w:val="23"/>
        </w:numPr>
        <w:spacing w:after="90" w:line="270"/>
      </w:pPr>
      <w:r>
        <w:t xml:space="preserve">Bir orijinal demo site ve en az bir sahte/kopya site hazırlanacak (demo güçlendirilmek istenirse iki farklı sahte varyasyon).</w:t>
      </w:r>
    </w:p>
    <w:p>
      <w:pPr>
        <w:pStyle w:val="ListParagraph"/>
        <w:numPr>
          <w:ilvl w:val="0"/>
          <w:numId w:val="23"/>
        </w:numPr>
        <w:spacing w:after="90" w:line="270"/>
      </w:pPr>
      <w:r>
        <w:t xml:space="preserve">Demo entity ve asset kayıtları bu sitelere göre seed edilecek (en az 1 entity, 1 domain asset).</w:t>
      </w:r>
    </w:p>
    <w:p>
      <w:pPr>
        <w:pStyle w:val="ListParagraph"/>
        <w:numPr>
          <w:ilvl w:val="0"/>
          <w:numId w:val="23"/>
        </w:numPr>
        <w:spacing w:after="90" w:line="270"/>
      </w:pPr>
      <w:r>
        <w:t xml:space="preserve">Sahte site manual URL olarak sisteme girilecek (source=manual).</w:t>
      </w:r>
    </w:p>
    <w:p>
      <w:pPr>
        <w:pStyle w:val="ListParagraph"/>
        <w:numPr>
          <w:ilvl w:val="0"/>
          <w:numId w:val="23"/>
        </w:numPr>
        <w:spacing w:after="90" w:line="270"/>
      </w:pPr>
      <w:r>
        <w:t xml:space="preserve">Uçtan uca akış tek seferde çalıştırılacak: candidate → domain doğrulama → crawler → analiz sinyalleri → risk skoru → human review → case/takedown mock. Her aşamanın ilgili tabloya yazdığı doğrulanacak.</w:t>
      </w:r>
    </w:p>
    <w:p>
      <w:pPr>
        <w:spacing w:after="100"/>
      </w:pPr>
    </w:p>
    <w:p>
      <w:pPr>
        <w:pStyle w:val="Heading1"/>
      </w:pPr>
      <w:r>
        <w:t xml:space="preserve">6. Özet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2E5C9A" w:sz="18"/>
              <w:bottom w:val="single" w:color="CCCCCC" w:sz="2"/>
              <w:right w:val="single" w:color="CCCCCC" w:sz="2"/>
            </w:tcBorders>
            <w:shd w:fill="F2F2F2" w:val="clear"/>
            <w:tcMar>
              <w:top w:type="dxa" w:w="160"/>
              <w:left w:type="dxa" w:w="200"/>
              <w:bottom w:type="dxa" w:w="160"/>
              <w:right w:type="dxa" w:w="200"/>
            </w:tcMar>
          </w:tcPr>
          <w:p>
            <w:pPr>
              <w:spacing w:after="80"/>
            </w:pPr>
            <w:r>
              <w:rPr>
                <w:b/>
                <w:bCs/>
                <w:color w:val="2E5C9A"/>
                <w:sz w:val="21"/>
                <w:szCs w:val="21"/>
              </w:rPr>
              <w:t xml:space="preserve">Mona DRP MVP Backlog — v2</w:t>
            </w:r>
          </w:p>
          <w:p>
            <w:pPr>
              <w:spacing w:after="0" w:line="270"/>
            </w:pPr>
            <w:r>
              <w:rPr>
                <w:color w:val="262626"/>
                <w:sz w:val="21"/>
                <w:szCs w:val="21"/>
              </w:rPr>
              <w:t xml:space="preserve">13 Core + 6 Plus feature, 60+ geliştirme alt görevi, 7 Teknik Foundation maddesi ve 4 Demo Preparation maddesi. Her görev, Mona DRP Veri Modeli v2 belgesindeki bir tabloyla eşleştirilmiştir. Core maddeleri pipeline sırasıyla geliştirilebilir; Plus maddeleri bağımsızdır ve zaman kaldığı ölçüde eklenir.</w:t>
            </w:r>
          </w:p>
        </w:tc>
      </w:tr>
    </w:tbl>
    <w:p>
      <w:pPr>
        <w:spacing w:after="160"/>
      </w:pPr>
    </w:p>
    <w:p>
      <w:pPr>
        <w:spacing w:after="160" w:line="276"/>
      </w:pPr>
      <w:r>
        <w:t xml:space="preserve">Bu liste, MVP Core ve MVP Plus Feature Seti tablolarının doğrudan türevidir — yeni bir kapsam eklenmedi, mevcut feature'lar geliştirilebilir parçalara bölündü. Sıradaki adım, bu maddelerin bir proje yönetim aracına (Jira, Trello, Linear vb.) aktarılması veya ekip içinde sorumlu/tahmini süre ataması yapılmasıdır.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Mona DRP — MVP Backlog</w:t>
    </w:r>
    <w:r>
      <w:rPr>
        <w:color w:val="595959"/>
        <w:sz w:val="16"/>
        <w:szCs w:val="16"/>
      </w:rPr>
      <w:t xml:space="preserve">	v2 — Haziran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360" w:hanging="270"/>
      </w:pPr>
    </w:lvl>
  </w:abstractNum>
  <w:abstractNum w:abstractNumId="4" w15:restartNumberingAfterBreak="0">
    <w:multiLevelType w:val="hybridMultilevel"/>
    <w:lvl w:ilvl="0" w15:tentative="1">
      <w:start w:val="1"/>
      <w:numFmt w:val="decimal"/>
      <w:lvlText w:val="%1."/>
      <w:lvlJc w:val="left"/>
      <w:pPr>
        <w:ind w:left="360" w:hanging="270"/>
      </w:pPr>
    </w:lvl>
  </w:abstractNum>
  <w:abstractNum w:abstractNumId="5" w15:restartNumberingAfterBreak="0">
    <w:multiLevelType w:val="hybridMultilevel"/>
    <w:lvl w:ilvl="0" w15:tentative="1">
      <w:start w:val="1"/>
      <w:numFmt w:val="decimal"/>
      <w:lvlText w:val="%1."/>
      <w:lvlJc w:val="left"/>
      <w:pPr>
        <w:ind w:left="360" w:hanging="270"/>
      </w:pPr>
    </w:lvl>
  </w:abstractNum>
  <w:abstractNum w:abstractNumId="6" w15:restartNumberingAfterBreak="0">
    <w:multiLevelType w:val="hybridMultilevel"/>
    <w:lvl w:ilvl="0" w15:tentative="1">
      <w:start w:val="1"/>
      <w:numFmt w:val="decimal"/>
      <w:lvlText w:val="%1."/>
      <w:lvlJc w:val="left"/>
      <w:pPr>
        <w:ind w:left="360" w:hanging="270"/>
      </w:pPr>
    </w:lvl>
  </w:abstractNum>
  <w:abstractNum w:abstractNumId="7" w15:restartNumberingAfterBreak="0">
    <w:multiLevelType w:val="hybridMultilevel"/>
    <w:lvl w:ilvl="0" w15:tentative="1">
      <w:start w:val="1"/>
      <w:numFmt w:val="decimal"/>
      <w:lvlText w:val="%1."/>
      <w:lvlJc w:val="left"/>
      <w:pPr>
        <w:ind w:left="360" w:hanging="270"/>
      </w:pPr>
    </w:lvl>
  </w:abstractNum>
  <w:abstractNum w:abstractNumId="8" w15:restartNumberingAfterBreak="0">
    <w:multiLevelType w:val="hybridMultilevel"/>
    <w:lvl w:ilvl="0" w15:tentative="1">
      <w:start w:val="1"/>
      <w:numFmt w:val="decimal"/>
      <w:lvlText w:val="%1."/>
      <w:lvlJc w:val="left"/>
      <w:pPr>
        <w:ind w:left="360" w:hanging="270"/>
      </w:pPr>
    </w:lvl>
  </w:abstractNum>
  <w:abstractNum w:abstractNumId="9" w15:restartNumberingAfterBreak="0">
    <w:multiLevelType w:val="hybridMultilevel"/>
    <w:lvl w:ilvl="0" w15:tentative="1">
      <w:start w:val="1"/>
      <w:numFmt w:val="decimal"/>
      <w:lvlText w:val="%1."/>
      <w:lvlJc w:val="left"/>
      <w:pPr>
        <w:ind w:left="360" w:hanging="270"/>
      </w:pPr>
    </w:lvl>
  </w:abstractNum>
  <w:abstractNum w:abstractNumId="10" w15:restartNumberingAfterBreak="0">
    <w:multiLevelType w:val="hybridMultilevel"/>
    <w:lvl w:ilvl="0" w15:tentative="1">
      <w:start w:val="1"/>
      <w:numFmt w:val="decimal"/>
      <w:lvlText w:val="%1."/>
      <w:lvlJc w:val="left"/>
      <w:pPr>
        <w:ind w:left="360" w:hanging="270"/>
      </w:pPr>
    </w:lvl>
  </w:abstractNum>
  <w:abstractNum w:abstractNumId="11" w15:restartNumberingAfterBreak="0">
    <w:multiLevelType w:val="hybridMultilevel"/>
    <w:lvl w:ilvl="0" w15:tentative="1">
      <w:start w:val="1"/>
      <w:numFmt w:val="decimal"/>
      <w:lvlText w:val="%1."/>
      <w:lvlJc w:val="left"/>
      <w:pPr>
        <w:ind w:left="360" w:hanging="270"/>
      </w:pPr>
    </w:lvl>
  </w:abstractNum>
  <w:abstractNum w:abstractNumId="12" w15:restartNumberingAfterBreak="0">
    <w:multiLevelType w:val="hybridMultilevel"/>
    <w:lvl w:ilvl="0" w15:tentative="1">
      <w:start w:val="1"/>
      <w:numFmt w:val="decimal"/>
      <w:lvlText w:val="%1."/>
      <w:lvlJc w:val="left"/>
      <w:pPr>
        <w:ind w:left="360" w:hanging="270"/>
      </w:pPr>
    </w:lvl>
  </w:abstractNum>
  <w:abstractNum w:abstractNumId="13" w15:restartNumberingAfterBreak="0">
    <w:multiLevelType w:val="hybridMultilevel"/>
    <w:lvl w:ilvl="0" w15:tentative="1">
      <w:start w:val="1"/>
      <w:numFmt w:val="decimal"/>
      <w:lvlText w:val="%1."/>
      <w:lvlJc w:val="left"/>
      <w:pPr>
        <w:ind w:left="360" w:hanging="270"/>
      </w:pPr>
    </w:lvl>
  </w:abstractNum>
  <w:abstractNum w:abstractNumId="14" w15:restartNumberingAfterBreak="0">
    <w:multiLevelType w:val="hybridMultilevel"/>
    <w:lvl w:ilvl="0" w15:tentative="1">
      <w:start w:val="1"/>
      <w:numFmt w:val="decimal"/>
      <w:lvlText w:val="%1."/>
      <w:lvlJc w:val="left"/>
      <w:pPr>
        <w:ind w:left="360" w:hanging="270"/>
      </w:pPr>
    </w:lvl>
  </w:abstractNum>
  <w:abstractNum w:abstractNumId="15" w15:restartNumberingAfterBreak="0">
    <w:multiLevelType w:val="hybridMultilevel"/>
    <w:lvl w:ilvl="0" w15:tentative="1">
      <w:start w:val="1"/>
      <w:numFmt w:val="decimal"/>
      <w:lvlText w:val="%1."/>
      <w:lvlJc w:val="left"/>
      <w:pPr>
        <w:ind w:left="360" w:hanging="270"/>
      </w:pPr>
    </w:lvl>
  </w:abstractNum>
  <w:abstractNum w:abstractNumId="16" w15:restartNumberingAfterBreak="0">
    <w:multiLevelType w:val="hybridMultilevel"/>
    <w:lvl w:ilvl="0" w15:tentative="1">
      <w:start w:val="1"/>
      <w:numFmt w:val="decimal"/>
      <w:lvlText w:val="%1."/>
      <w:lvlJc w:val="left"/>
      <w:pPr>
        <w:ind w:left="360" w:hanging="270"/>
      </w:pPr>
    </w:lvl>
  </w:abstractNum>
  <w:abstractNum w:abstractNumId="17" w15:restartNumberingAfterBreak="0">
    <w:multiLevelType w:val="hybridMultilevel"/>
    <w:lvl w:ilvl="0" w15:tentative="1">
      <w:start w:val="1"/>
      <w:numFmt w:val="decimal"/>
      <w:lvlText w:val="%1."/>
      <w:lvlJc w:val="left"/>
      <w:pPr>
        <w:ind w:left="360" w:hanging="270"/>
      </w:pPr>
    </w:lvl>
  </w:abstractNum>
  <w:abstractNum w:abstractNumId="18" w15:restartNumberingAfterBreak="0">
    <w:multiLevelType w:val="hybridMultilevel"/>
    <w:lvl w:ilvl="0" w15:tentative="1">
      <w:start w:val="1"/>
      <w:numFmt w:val="decimal"/>
      <w:lvlText w:val="%1."/>
      <w:lvlJc w:val="left"/>
      <w:pPr>
        <w:ind w:left="360" w:hanging="270"/>
      </w:pPr>
    </w:lvl>
  </w:abstractNum>
  <w:abstractNum w:abstractNumId="19" w15:restartNumberingAfterBreak="0">
    <w:multiLevelType w:val="hybridMultilevel"/>
    <w:lvl w:ilvl="0" w15:tentative="1">
      <w:start w:val="1"/>
      <w:numFmt w:val="decimal"/>
      <w:lvlText w:val="%1."/>
      <w:lvlJc w:val="left"/>
      <w:pPr>
        <w:ind w:left="360" w:hanging="270"/>
      </w:pPr>
    </w:lvl>
  </w:abstractNum>
  <w:abstractNum w:abstractNumId="20" w15:restartNumberingAfterBreak="0">
    <w:multiLevelType w:val="hybridMultilevel"/>
    <w:lvl w:ilvl="0" w15:tentative="1">
      <w:start w:val="1"/>
      <w:numFmt w:val="decimal"/>
      <w:lvlText w:val="%1."/>
      <w:lvlJc w:val="left"/>
      <w:pPr>
        <w:ind w:left="360" w:hanging="270"/>
      </w:pPr>
    </w:lvl>
  </w:abstractNum>
  <w:abstractNum w:abstractNumId="21" w15:restartNumberingAfterBreak="0">
    <w:multiLevelType w:val="hybridMultilevel"/>
    <w:lvl w:ilvl="0" w15:tentative="1">
      <w:start w:val="1"/>
      <w:numFmt w:val="decimal"/>
      <w:lvlText w:val="%1."/>
      <w:lvlJc w:val="left"/>
      <w:pPr>
        <w:ind w:left="36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1"/>
    <w:lvlOverride w:ilvl="0">
      <w:startOverride w:val="1"/>
    </w:lvlOverride>
  </w:num>
  <w:num w:numId="2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9A" w:sz="6" w:space="4"/>
      </w:pBdr>
      <w:spacing w:after="200" w:before="360"/>
      <w:outlineLvl w:val="0"/>
    </w:pPr>
    <w:rPr>
      <w:rFonts w:ascii="Arial" w:cs="Arial" w:eastAsia="Arial" w:hAnsi="Arial"/>
      <w:b/>
      <w:bCs/>
      <w:color w:val="2E5C9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9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2026-06-20T07:52:51.054Z</dcterms:created>
  <dcterms:modified xsi:type="dcterms:W3CDTF">2026-06-20T07:52:51.054Z</dcterms:modified>
</cp:coreProperties>
</file>

<file path=docProps/custom.xml><?xml version="1.0" encoding="utf-8"?>
<Properties xmlns="http://schemas.openxmlformats.org/officeDocument/2006/custom-properties" xmlns:vt="http://schemas.openxmlformats.org/officeDocument/2006/docPropsVTypes"/>
</file>