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64B23B">
      <w:pPr>
        <w:jc w:val="center"/>
        <w:rPr>
          <w:rFonts w:hint="default"/>
          <w:b/>
          <w:bCs/>
          <w:sz w:val="32"/>
          <w:szCs w:val="32"/>
          <w:lang w:val="tr-TR"/>
        </w:rPr>
      </w:pPr>
      <w:r>
        <w:rPr>
          <w:rFonts w:hint="default"/>
          <w:b/>
          <w:bCs/>
          <w:sz w:val="32"/>
          <w:szCs w:val="32"/>
          <w:lang w:val="tr-TR"/>
        </w:rPr>
        <w:t>Değişiklik Kararı</w:t>
      </w:r>
    </w:p>
    <w:p w14:paraId="73F85B58">
      <w:pPr>
        <w:jc w:val="center"/>
        <w:rPr>
          <w:rFonts w:hint="default"/>
          <w:b/>
          <w:bCs/>
          <w:sz w:val="32"/>
          <w:szCs w:val="32"/>
          <w:lang w:val="tr-TR"/>
        </w:rPr>
      </w:pPr>
    </w:p>
    <w:p w14:paraId="11AD5A17">
      <w:pPr>
        <w:pStyle w:val="2"/>
        <w:keepNext w:val="0"/>
        <w:keepLines w:val="0"/>
        <w:widowControl/>
        <w:suppressLineNumbers w:val="0"/>
        <w:rPr>
          <w:rFonts w:hint="default" w:asciiTheme="majorAscii" w:hAnsiTheme="majorAscii"/>
          <w:sz w:val="24"/>
          <w:szCs w:val="24"/>
        </w:rPr>
      </w:pPr>
      <w:r>
        <w:rPr>
          <w:rFonts w:hint="default" w:asciiTheme="majorAscii" w:hAnsiTheme="majorAscii"/>
          <w:sz w:val="24"/>
          <w:szCs w:val="24"/>
        </w:rPr>
        <w:t>1. GİRİŞ</w:t>
      </w:r>
    </w:p>
    <w:p w14:paraId="0651C30D">
      <w:pPr>
        <w:pStyle w:val="5"/>
        <w:keepNext w:val="0"/>
        <w:keepLines w:val="0"/>
        <w:widowControl/>
        <w:suppressLineNumbers w:val="0"/>
        <w:rPr>
          <w:rFonts w:hint="default" w:asciiTheme="majorAscii" w:hAnsiTheme="majorAscii"/>
          <w:sz w:val="24"/>
          <w:szCs w:val="24"/>
        </w:rPr>
      </w:pPr>
      <w:r>
        <w:rPr>
          <w:rStyle w:val="6"/>
          <w:rFonts w:hint="default" w:asciiTheme="majorAscii" w:hAnsiTheme="majorAscii"/>
          <w:sz w:val="24"/>
          <w:szCs w:val="24"/>
        </w:rPr>
        <w:t xml:space="preserve">1.1. </w:t>
      </w:r>
      <w:bookmarkStart w:id="0" w:name="_GoBack"/>
      <w:r>
        <w:rPr>
          <w:rStyle w:val="6"/>
          <w:rFonts w:hint="default" w:asciiTheme="majorAscii" w:hAnsiTheme="majorAscii"/>
          <w:sz w:val="24"/>
          <w:szCs w:val="24"/>
        </w:rPr>
        <w:t>Projenin Arka Planı</w:t>
      </w:r>
      <w:bookmarkEnd w:id="0"/>
    </w:p>
    <w:p w14:paraId="695A9FA7">
      <w:pPr>
        <w:pStyle w:val="5"/>
        <w:keepNext w:val="0"/>
        <w:keepLines w:val="0"/>
        <w:widowControl/>
        <w:suppressLineNumbers w:val="0"/>
        <w:rPr>
          <w:rFonts w:hint="default" w:asciiTheme="majorAscii" w:hAnsiTheme="majorAscii"/>
          <w:sz w:val="24"/>
          <w:szCs w:val="24"/>
        </w:rPr>
      </w:pPr>
      <w:r>
        <w:rPr>
          <w:rFonts w:hint="default" w:asciiTheme="majorAscii" w:hAnsiTheme="majorAscii"/>
          <w:sz w:val="24"/>
          <w:szCs w:val="24"/>
        </w:rPr>
        <w:t>Pardus-E, yerli ve millî işletim sistemi geliştirme vizyonuyla savunma sanayi, kamu kurumları ve stratejik sektörlerde kullanılmak üzere tasarlanmış, yüksek güvenlikli, yapay zekâ destekli ve düşük donanım gereksinimiyle optimize edilmiş bir işletim sistemidir. Proje, ilk etapta TÜBİTAK ULAKBİM destekli olarak, Pardus tabanlı bir çekirdekle geliştirilmiş, ardından özel çekirdek modifikasyonları ve modern güvenlik protokolleri ile donatılmıştır.</w:t>
      </w:r>
    </w:p>
    <w:p w14:paraId="5E84876D">
      <w:pPr>
        <w:pStyle w:val="5"/>
        <w:keepNext w:val="0"/>
        <w:keepLines w:val="0"/>
        <w:widowControl/>
        <w:suppressLineNumbers w:val="0"/>
        <w:rPr>
          <w:rFonts w:hint="default" w:asciiTheme="majorAscii" w:hAnsiTheme="majorAscii"/>
          <w:sz w:val="24"/>
          <w:szCs w:val="24"/>
        </w:rPr>
      </w:pPr>
      <w:r>
        <w:rPr>
          <w:rStyle w:val="6"/>
          <w:rFonts w:hint="default" w:asciiTheme="majorAscii" w:hAnsiTheme="majorAscii"/>
          <w:sz w:val="24"/>
          <w:szCs w:val="24"/>
        </w:rPr>
        <w:t>1.2. Mevcut Gelişim Süreci</w:t>
      </w:r>
    </w:p>
    <w:p w14:paraId="3A6EEAAD">
      <w:pPr>
        <w:pStyle w:val="5"/>
        <w:keepNext w:val="0"/>
        <w:keepLines w:val="0"/>
        <w:widowControl/>
        <w:suppressLineNumbers w:val="0"/>
        <w:rPr>
          <w:rFonts w:hint="default" w:asciiTheme="majorAscii" w:hAnsiTheme="majorAscii"/>
          <w:sz w:val="24"/>
          <w:szCs w:val="24"/>
        </w:rPr>
      </w:pPr>
      <w:r>
        <w:rPr>
          <w:rFonts w:hint="default" w:asciiTheme="majorAscii" w:hAnsiTheme="majorAscii"/>
          <w:sz w:val="24"/>
          <w:szCs w:val="24"/>
        </w:rPr>
        <w:t>2023 sonlarından itibaren proje, özellikle yapay zekâ entegrasyonları, Kernel-Level hata ayıklama ve kullanıcı deneyimi (UX) tabanlı mimari tasarımlarla dikkat çekmiştir. Pardus-E, 2024 yılı itibarıyla test ve yaygınlaştırma aşamasına geçmiş; sınırlı kullanıcı grupları ve siber güvenlik laboratuvarlarında denenmiştir.</w:t>
      </w:r>
    </w:p>
    <w:p w14:paraId="0E7220E9">
      <w:pPr>
        <w:keepNext w:val="0"/>
        <w:keepLines w:val="0"/>
        <w:widowControl/>
        <w:suppressLineNumbers w:val="0"/>
        <w:rPr>
          <w:rFonts w:hint="default" w:asciiTheme="majorAscii" w:hAnsiTheme="majorAscii"/>
          <w:sz w:val="24"/>
          <w:szCs w:val="24"/>
        </w:rPr>
      </w:pPr>
      <w:r>
        <w:rPr>
          <w:rFonts w:hint="default" w:asciiTheme="majorAscii" w:hAnsiTheme="majorAscii"/>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2BC7B0E">
      <w:pPr>
        <w:pStyle w:val="2"/>
        <w:keepNext w:val="0"/>
        <w:keepLines w:val="0"/>
        <w:widowControl/>
        <w:suppressLineNumbers w:val="0"/>
        <w:rPr>
          <w:rFonts w:hint="default" w:asciiTheme="majorAscii" w:hAnsiTheme="majorAscii"/>
          <w:sz w:val="24"/>
          <w:szCs w:val="24"/>
        </w:rPr>
      </w:pPr>
      <w:r>
        <w:rPr>
          <w:rFonts w:hint="default" w:asciiTheme="majorAscii" w:hAnsiTheme="majorAscii"/>
          <w:sz w:val="24"/>
          <w:szCs w:val="24"/>
        </w:rPr>
        <w:t>2. TÜBİTAK’IN PROJE YÖNETİMİNDEKİ SORUNLAR</w:t>
      </w:r>
    </w:p>
    <w:p w14:paraId="0E6F85A9">
      <w:pPr>
        <w:pStyle w:val="5"/>
        <w:keepNext w:val="0"/>
        <w:keepLines w:val="0"/>
        <w:widowControl/>
        <w:suppressLineNumbers w:val="0"/>
        <w:rPr>
          <w:rFonts w:hint="default" w:asciiTheme="majorAscii" w:hAnsiTheme="majorAscii"/>
          <w:sz w:val="24"/>
          <w:szCs w:val="24"/>
        </w:rPr>
      </w:pPr>
      <w:r>
        <w:rPr>
          <w:rStyle w:val="6"/>
          <w:rFonts w:hint="default" w:asciiTheme="majorAscii" w:hAnsiTheme="majorAscii"/>
          <w:sz w:val="24"/>
          <w:szCs w:val="24"/>
        </w:rPr>
        <w:t>2.1. Yavaş ve Bürokratik Onay Mekanizmaları</w:t>
      </w:r>
    </w:p>
    <w:p w14:paraId="7E09D375">
      <w:pPr>
        <w:pStyle w:val="5"/>
        <w:keepNext w:val="0"/>
        <w:keepLines w:val="0"/>
        <w:widowControl/>
        <w:suppressLineNumbers w:val="0"/>
        <w:rPr>
          <w:rFonts w:hint="default" w:asciiTheme="majorAscii" w:hAnsiTheme="majorAscii"/>
          <w:sz w:val="24"/>
          <w:szCs w:val="24"/>
        </w:rPr>
      </w:pPr>
      <w:r>
        <w:rPr>
          <w:rFonts w:hint="default" w:asciiTheme="majorAscii" w:hAnsiTheme="majorAscii"/>
          <w:sz w:val="24"/>
          <w:szCs w:val="24"/>
        </w:rPr>
        <w:t>TÜBİTAK destekli Ar-Ge süreçlerinde karşılaşılan en temel sorunlardan biri, başvuru – değerlendirme – onay döngüsünün süreklilik göstermemesi ve zaman açısından yıkıcı bir etki yaratmasıdır. Pardus-E projesi, 3 farklı çağrıya (1002, 1507 ve 4004) başvurmuş olmasına rağmen, ortalama 7-8 aylık değerlendirme sürecine rağmen net bir karar alınamamış, proje çıktılarına dair teknik raporlar göz ardı edilmiştir.</w:t>
      </w:r>
    </w:p>
    <w:p w14:paraId="538170FC">
      <w:pPr>
        <w:pStyle w:val="5"/>
        <w:keepNext w:val="0"/>
        <w:keepLines w:val="0"/>
        <w:widowControl/>
        <w:suppressLineNumbers w:val="0"/>
        <w:rPr>
          <w:rFonts w:hint="default" w:asciiTheme="majorAscii" w:hAnsiTheme="majorAscii"/>
          <w:sz w:val="24"/>
          <w:szCs w:val="24"/>
        </w:rPr>
      </w:pPr>
      <w:r>
        <w:rPr>
          <w:rStyle w:val="6"/>
          <w:rFonts w:hint="default" w:asciiTheme="majorAscii" w:hAnsiTheme="majorAscii"/>
          <w:sz w:val="24"/>
          <w:szCs w:val="24"/>
        </w:rPr>
        <w:t>2.2. Teknik Eksikliği Olan Değerlendirme Komisyonları</w:t>
      </w:r>
    </w:p>
    <w:p w14:paraId="61182B47">
      <w:pPr>
        <w:pStyle w:val="5"/>
        <w:keepNext w:val="0"/>
        <w:keepLines w:val="0"/>
        <w:widowControl/>
        <w:suppressLineNumbers w:val="0"/>
        <w:rPr>
          <w:rFonts w:hint="default" w:asciiTheme="majorAscii" w:hAnsiTheme="majorAscii"/>
          <w:sz w:val="24"/>
          <w:szCs w:val="24"/>
        </w:rPr>
      </w:pPr>
      <w:r>
        <w:rPr>
          <w:rFonts w:hint="default" w:asciiTheme="majorAscii" w:hAnsiTheme="majorAscii"/>
          <w:sz w:val="24"/>
          <w:szCs w:val="24"/>
        </w:rPr>
        <w:t>Proje dosyası içerisinde kuantum fiziği entegrasyonu, ileri düzey yapay zekâ denetimi ve BIOS-integrated UI gibi yenilikçi özelliklere yer verilmiş olmasına rağmen; TÜBİTAK tarafında bu alanlarda uzmanlığı olmayan komisyon üyelerinin değerlendirme yapması, projenin teknik kapasitesinin doğru algılanamamasına neden olmuştur.</w:t>
      </w:r>
    </w:p>
    <w:p w14:paraId="5CF59C38">
      <w:pPr>
        <w:pStyle w:val="5"/>
        <w:keepNext w:val="0"/>
        <w:keepLines w:val="0"/>
        <w:widowControl/>
        <w:suppressLineNumbers w:val="0"/>
        <w:rPr>
          <w:rFonts w:hint="default" w:asciiTheme="majorAscii" w:hAnsiTheme="majorAscii"/>
          <w:sz w:val="24"/>
          <w:szCs w:val="24"/>
        </w:rPr>
      </w:pPr>
      <w:r>
        <w:rPr>
          <w:rStyle w:val="6"/>
          <w:rFonts w:hint="default" w:asciiTheme="majorAscii" w:hAnsiTheme="majorAscii"/>
          <w:sz w:val="24"/>
          <w:szCs w:val="24"/>
        </w:rPr>
        <w:t>2.3. Şeffaflık ve Geri Bildirim Eksikliği</w:t>
      </w:r>
    </w:p>
    <w:p w14:paraId="36500364">
      <w:pPr>
        <w:pStyle w:val="5"/>
        <w:keepNext w:val="0"/>
        <w:keepLines w:val="0"/>
        <w:widowControl/>
        <w:suppressLineNumbers w:val="0"/>
        <w:rPr>
          <w:rFonts w:hint="default" w:asciiTheme="majorAscii" w:hAnsiTheme="majorAscii"/>
          <w:sz w:val="24"/>
          <w:szCs w:val="24"/>
        </w:rPr>
      </w:pPr>
      <w:r>
        <w:rPr>
          <w:rFonts w:hint="default" w:asciiTheme="majorAscii" w:hAnsiTheme="majorAscii"/>
          <w:sz w:val="24"/>
          <w:szCs w:val="24"/>
        </w:rPr>
        <w:t>Başvurulan fonlama çağrılarında, ret ya da askıya alma kararlarına dair şeffaf bir gerekçe sunulmamıştır. Teknik raporlar, çıktılar, MVP (Minimum Viable Product) sürümleri ve test dokümantasyonlarına rağmen geri dönüş yapılmamış, projenin zaman/maliyet dengesi zarar görmüştür.</w:t>
      </w:r>
    </w:p>
    <w:p w14:paraId="61E27E04">
      <w:pPr>
        <w:keepNext w:val="0"/>
        <w:keepLines w:val="0"/>
        <w:widowControl/>
        <w:suppressLineNumbers w:val="0"/>
        <w:rPr>
          <w:rFonts w:hint="default" w:asciiTheme="majorAscii" w:hAnsiTheme="majorAscii"/>
          <w:sz w:val="24"/>
          <w:szCs w:val="24"/>
        </w:rPr>
      </w:pPr>
      <w:r>
        <w:rPr>
          <w:rFonts w:hint="default" w:asciiTheme="majorAscii" w:hAnsiTheme="majorAscii"/>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1BAEA7B">
      <w:pPr>
        <w:pStyle w:val="2"/>
        <w:keepNext w:val="0"/>
        <w:keepLines w:val="0"/>
        <w:widowControl/>
        <w:suppressLineNumbers w:val="0"/>
        <w:rPr>
          <w:rFonts w:hint="default" w:asciiTheme="majorAscii" w:hAnsiTheme="majorAscii"/>
          <w:sz w:val="24"/>
          <w:szCs w:val="24"/>
        </w:rPr>
      </w:pPr>
      <w:r>
        <w:rPr>
          <w:rFonts w:hint="default" w:asciiTheme="majorAscii" w:hAnsiTheme="majorAscii"/>
          <w:sz w:val="24"/>
          <w:szCs w:val="24"/>
        </w:rPr>
        <w:t>3. ÖZEL SEKTÖRE GEÇİŞİN GEREKÇELERİ</w:t>
      </w:r>
    </w:p>
    <w:p w14:paraId="080E5078">
      <w:pPr>
        <w:pStyle w:val="5"/>
        <w:keepNext w:val="0"/>
        <w:keepLines w:val="0"/>
        <w:widowControl/>
        <w:suppressLineNumbers w:val="0"/>
        <w:rPr>
          <w:rFonts w:hint="default" w:asciiTheme="majorAscii" w:hAnsiTheme="majorAscii"/>
          <w:sz w:val="24"/>
          <w:szCs w:val="24"/>
        </w:rPr>
      </w:pPr>
      <w:r>
        <w:rPr>
          <w:rStyle w:val="6"/>
          <w:rFonts w:hint="default" w:asciiTheme="majorAscii" w:hAnsiTheme="majorAscii"/>
          <w:sz w:val="24"/>
          <w:szCs w:val="24"/>
        </w:rPr>
        <w:t>3.1. Hızlı Fonlama ve İşbirliği Olanakları</w:t>
      </w:r>
    </w:p>
    <w:p w14:paraId="24210668">
      <w:pPr>
        <w:pStyle w:val="5"/>
        <w:keepNext w:val="0"/>
        <w:keepLines w:val="0"/>
        <w:widowControl/>
        <w:suppressLineNumbers w:val="0"/>
        <w:rPr>
          <w:rFonts w:hint="default" w:asciiTheme="majorAscii" w:hAnsiTheme="majorAscii"/>
          <w:sz w:val="24"/>
          <w:szCs w:val="24"/>
        </w:rPr>
      </w:pPr>
      <w:r>
        <w:rPr>
          <w:rFonts w:hint="default" w:asciiTheme="majorAscii" w:hAnsiTheme="majorAscii"/>
          <w:sz w:val="24"/>
          <w:szCs w:val="24"/>
        </w:rPr>
        <w:t>Özel sektör, karar alma süreçlerinin hızlı olması, teknik kapasitenin doğrudan anlaşılabilmesi ve projeye yatırım yapan paydaşların net olarak belirlenebilmesi açısından çok daha avantajlıdır. Teknoloji firmaları, özellikle siber güvenlik ve yapay zekâ tabanlı yazılım geliştirme alanında aktif olarak dış destek arayışındadır.</w:t>
      </w:r>
    </w:p>
    <w:p w14:paraId="6E44690D">
      <w:pPr>
        <w:pStyle w:val="5"/>
        <w:keepNext w:val="0"/>
        <w:keepLines w:val="0"/>
        <w:widowControl/>
        <w:suppressLineNumbers w:val="0"/>
        <w:rPr>
          <w:rFonts w:hint="default" w:asciiTheme="majorAscii" w:hAnsiTheme="majorAscii"/>
          <w:sz w:val="24"/>
          <w:szCs w:val="24"/>
        </w:rPr>
      </w:pPr>
      <w:r>
        <w:rPr>
          <w:rStyle w:val="6"/>
          <w:rFonts w:hint="default" w:asciiTheme="majorAscii" w:hAnsiTheme="majorAscii"/>
          <w:sz w:val="24"/>
          <w:szCs w:val="24"/>
        </w:rPr>
        <w:t>3.2. Gerçek Zamanlı Geri Bildirim ve Proje Yönetişimi</w:t>
      </w:r>
    </w:p>
    <w:p w14:paraId="476DBF4B">
      <w:pPr>
        <w:pStyle w:val="5"/>
        <w:keepNext w:val="0"/>
        <w:keepLines w:val="0"/>
        <w:widowControl/>
        <w:suppressLineNumbers w:val="0"/>
        <w:rPr>
          <w:rFonts w:hint="default" w:asciiTheme="majorAscii" w:hAnsiTheme="majorAscii"/>
          <w:sz w:val="24"/>
          <w:szCs w:val="24"/>
        </w:rPr>
      </w:pPr>
      <w:r>
        <w:rPr>
          <w:rFonts w:hint="default" w:asciiTheme="majorAscii" w:hAnsiTheme="majorAscii"/>
          <w:sz w:val="24"/>
          <w:szCs w:val="24"/>
        </w:rPr>
        <w:t>Pardus-E’nin sürekli geliştirme (CI/CD) modeline uygun olarak, özel sektör firmalarıyla yapılacak entegrasyonlar sayesinde prototip sürümlere gerçek zamanlı geri bildirimler alınması mümkündür. Bu da sürüm güncellemelerinin daha kararlı, hızlı ve verimli olmasını sağlayacaktır.</w:t>
      </w:r>
    </w:p>
    <w:p w14:paraId="70C8C7B3">
      <w:pPr>
        <w:pStyle w:val="5"/>
        <w:keepNext w:val="0"/>
        <w:keepLines w:val="0"/>
        <w:widowControl/>
        <w:suppressLineNumbers w:val="0"/>
        <w:rPr>
          <w:rFonts w:hint="default" w:asciiTheme="majorAscii" w:hAnsiTheme="majorAscii"/>
          <w:sz w:val="24"/>
          <w:szCs w:val="24"/>
        </w:rPr>
      </w:pPr>
      <w:r>
        <w:rPr>
          <w:rStyle w:val="6"/>
          <w:rFonts w:hint="default" w:asciiTheme="majorAscii" w:hAnsiTheme="majorAscii"/>
          <w:sz w:val="24"/>
          <w:szCs w:val="24"/>
        </w:rPr>
        <w:t>3.3. Pazara Açılma ve Sürdürülebilirlik</w:t>
      </w:r>
    </w:p>
    <w:p w14:paraId="11AD4050">
      <w:pPr>
        <w:pStyle w:val="5"/>
        <w:keepNext w:val="0"/>
        <w:keepLines w:val="0"/>
        <w:widowControl/>
        <w:suppressLineNumbers w:val="0"/>
        <w:rPr>
          <w:rFonts w:hint="default" w:asciiTheme="majorAscii" w:hAnsiTheme="majorAscii"/>
          <w:sz w:val="24"/>
          <w:szCs w:val="24"/>
        </w:rPr>
      </w:pPr>
      <w:r>
        <w:rPr>
          <w:rFonts w:hint="default" w:asciiTheme="majorAscii" w:hAnsiTheme="majorAscii"/>
          <w:sz w:val="24"/>
          <w:szCs w:val="24"/>
        </w:rPr>
        <w:t>Özel sektörle işbirliği, projenin ticarileştirilmesine ve lisanslı kullanım senaryolarına olanak tanır. Özellikle veri merkezleri, askeri alanlar, havacılık yazılımları ve IoT cihazlarında kullanılabilecek özel sürümler geliştirilebilir. Böylece yalnızca bir “ulusal yazılım” değil, aynı zamanda “rekabetçi bir ürün” haline gelmesi sağlanacaktır.</w:t>
      </w:r>
    </w:p>
    <w:p w14:paraId="28F783FC">
      <w:pPr>
        <w:keepNext w:val="0"/>
        <w:keepLines w:val="0"/>
        <w:widowControl/>
        <w:suppressLineNumbers w:val="0"/>
        <w:rPr>
          <w:rFonts w:hint="default" w:asciiTheme="majorAscii" w:hAnsiTheme="majorAscii"/>
          <w:sz w:val="24"/>
          <w:szCs w:val="24"/>
        </w:rPr>
      </w:pPr>
      <w:r>
        <w:rPr>
          <w:rFonts w:hint="default" w:asciiTheme="majorAscii" w:hAnsiTheme="majorAscii"/>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004F59D">
      <w:pPr>
        <w:pStyle w:val="2"/>
        <w:keepNext w:val="0"/>
        <w:keepLines w:val="0"/>
        <w:widowControl/>
        <w:suppressLineNumbers w:val="0"/>
        <w:rPr>
          <w:rFonts w:hint="default" w:asciiTheme="majorAscii" w:hAnsiTheme="majorAscii"/>
          <w:sz w:val="24"/>
          <w:szCs w:val="24"/>
        </w:rPr>
      </w:pPr>
      <w:r>
        <w:rPr>
          <w:rFonts w:hint="default" w:asciiTheme="majorAscii" w:hAnsiTheme="majorAscii"/>
          <w:sz w:val="24"/>
          <w:szCs w:val="24"/>
        </w:rPr>
        <w:t>4. STRATEJİK GEÇİŞ PLANI</w:t>
      </w:r>
    </w:p>
    <w:p w14:paraId="31D11293">
      <w:pPr>
        <w:pStyle w:val="5"/>
        <w:keepNext w:val="0"/>
        <w:keepLines w:val="0"/>
        <w:widowControl/>
        <w:suppressLineNumbers w:val="0"/>
        <w:rPr>
          <w:rFonts w:hint="default" w:asciiTheme="majorAscii" w:hAnsiTheme="majorAscii"/>
          <w:sz w:val="24"/>
          <w:szCs w:val="24"/>
        </w:rPr>
      </w:pPr>
      <w:r>
        <w:rPr>
          <w:rStyle w:val="6"/>
          <w:rFonts w:hint="default" w:asciiTheme="majorAscii" w:hAnsiTheme="majorAscii"/>
          <w:sz w:val="24"/>
          <w:szCs w:val="24"/>
        </w:rPr>
        <w:t>4.1. Hedef Firma Profilleri</w:t>
      </w:r>
    </w:p>
    <w:p w14:paraId="4D2A9947">
      <w:pPr>
        <w:pStyle w:val="5"/>
        <w:keepNext w:val="0"/>
        <w:keepLines w:val="0"/>
        <w:widowControl/>
        <w:suppressLineNumbers w:val="0"/>
        <w:rPr>
          <w:rFonts w:hint="default" w:asciiTheme="majorAscii" w:hAnsiTheme="majorAscii"/>
          <w:sz w:val="24"/>
          <w:szCs w:val="24"/>
        </w:rPr>
      </w:pPr>
      <w:r>
        <w:rPr>
          <w:rFonts w:hint="default" w:asciiTheme="majorAscii" w:hAnsiTheme="majorAscii"/>
          <w:sz w:val="24"/>
          <w:szCs w:val="24"/>
        </w:rPr>
        <w:t>Pardus-E’nin teknik mimarisi; aşağıdaki sektörlerdeki özel firmalar için uygundur:</w:t>
      </w:r>
    </w:p>
    <w:p w14:paraId="3DEE9994">
      <w:pPr>
        <w:pStyle w:val="5"/>
        <w:keepNext w:val="0"/>
        <w:keepLines w:val="0"/>
        <w:widowControl/>
        <w:suppressLineNumbers w:val="0"/>
        <w:ind w:left="720"/>
        <w:rPr>
          <w:rFonts w:hint="default" w:asciiTheme="majorAscii" w:hAnsiTheme="majorAscii"/>
          <w:sz w:val="24"/>
          <w:szCs w:val="24"/>
        </w:rPr>
      </w:pPr>
      <w:r>
        <w:rPr>
          <w:rFonts w:hint="default" w:asciiTheme="majorAscii" w:hAnsiTheme="majorAscii"/>
          <w:sz w:val="24"/>
          <w:szCs w:val="24"/>
        </w:rPr>
        <w:t>Savunma Sanayi (</w:t>
      </w:r>
      <w:r>
        <w:rPr>
          <w:rFonts w:hint="default" w:asciiTheme="majorAscii" w:hAnsiTheme="majorAscii"/>
          <w:sz w:val="24"/>
          <w:szCs w:val="24"/>
          <w:lang w:val="tr-TR"/>
        </w:rPr>
        <w:t>Alka savunma ve Epenek Savunma</w:t>
      </w:r>
      <w:r>
        <w:rPr>
          <w:rFonts w:hint="default" w:asciiTheme="majorAscii" w:hAnsiTheme="majorAscii"/>
          <w:sz w:val="24"/>
          <w:szCs w:val="24"/>
        </w:rPr>
        <w:t>)</w:t>
      </w:r>
    </w:p>
    <w:p w14:paraId="15035AEE">
      <w:pPr>
        <w:pStyle w:val="5"/>
        <w:keepNext w:val="0"/>
        <w:keepLines w:val="0"/>
        <w:widowControl/>
        <w:suppressLineNumbers w:val="0"/>
        <w:ind w:firstLine="720" w:firstLineChars="300"/>
        <w:rPr>
          <w:rFonts w:hint="default" w:asciiTheme="majorAscii" w:hAnsiTheme="majorAscii"/>
          <w:sz w:val="24"/>
          <w:szCs w:val="24"/>
        </w:rPr>
      </w:pPr>
      <w:r>
        <w:rPr>
          <w:rFonts w:hint="default" w:asciiTheme="majorAscii" w:hAnsiTheme="majorAscii"/>
          <w:sz w:val="24"/>
          <w:szCs w:val="24"/>
        </w:rPr>
        <w:t>Güvenlik Odaklı Yazılım Geliştiricileri (PRODAFT, Picus Security)</w:t>
      </w:r>
    </w:p>
    <w:p w14:paraId="1FA91BCC">
      <w:pPr>
        <w:pStyle w:val="5"/>
        <w:keepNext w:val="0"/>
        <w:keepLines w:val="0"/>
        <w:widowControl/>
        <w:suppressLineNumbers w:val="0"/>
        <w:ind w:left="720"/>
        <w:rPr>
          <w:rFonts w:hint="default" w:asciiTheme="majorAscii" w:hAnsiTheme="majorAscii"/>
          <w:sz w:val="24"/>
          <w:szCs w:val="24"/>
        </w:rPr>
      </w:pPr>
      <w:r>
        <w:rPr>
          <w:rFonts w:hint="default" w:asciiTheme="majorAscii" w:hAnsiTheme="majorAscii"/>
          <w:sz w:val="24"/>
          <w:szCs w:val="24"/>
        </w:rPr>
        <w:t>Yüksek Donanım Entegrasyonuna Sahip Şirketler (Vestel, Arçelik IoT)</w:t>
      </w:r>
    </w:p>
    <w:p w14:paraId="30AF24AC">
      <w:pPr>
        <w:keepNext w:val="0"/>
        <w:keepLines w:val="0"/>
        <w:widowControl/>
        <w:numPr>
          <w:ilvl w:val="0"/>
          <w:numId w:val="0"/>
        </w:numPr>
        <w:suppressLineNumbers w:val="0"/>
        <w:spacing w:before="0" w:beforeAutospacing="1" w:after="0" w:afterAutospacing="1"/>
        <w:rPr>
          <w:rFonts w:hint="default" w:asciiTheme="majorAscii" w:hAnsiTheme="majorAscii"/>
          <w:sz w:val="24"/>
          <w:szCs w:val="24"/>
        </w:rPr>
      </w:pPr>
    </w:p>
    <w:p w14:paraId="78D97A28">
      <w:pPr>
        <w:pStyle w:val="5"/>
        <w:keepNext w:val="0"/>
        <w:keepLines w:val="0"/>
        <w:widowControl/>
        <w:suppressLineNumbers w:val="0"/>
        <w:ind w:left="720"/>
        <w:rPr>
          <w:rFonts w:hint="default" w:asciiTheme="majorAscii" w:hAnsiTheme="majorAscii"/>
          <w:sz w:val="24"/>
          <w:szCs w:val="24"/>
        </w:rPr>
      </w:pPr>
      <w:r>
        <w:rPr>
          <w:rFonts w:hint="default" w:asciiTheme="majorAscii" w:hAnsiTheme="majorAscii"/>
          <w:sz w:val="24"/>
          <w:szCs w:val="24"/>
        </w:rPr>
        <w:t>Veri Merkezleri ve Cloud Sistemleri Geliştiricileri (Bulutistan, SORUN Bilgi Teknolojileri)</w:t>
      </w:r>
    </w:p>
    <w:p w14:paraId="10FB1548">
      <w:pPr>
        <w:keepNext w:val="0"/>
        <w:keepLines w:val="0"/>
        <w:widowControl/>
        <w:numPr>
          <w:ilvl w:val="0"/>
          <w:numId w:val="0"/>
        </w:numPr>
        <w:suppressLineNumbers w:val="0"/>
        <w:spacing w:before="0" w:beforeAutospacing="1" w:after="0" w:afterAutospacing="1"/>
        <w:rPr>
          <w:rFonts w:hint="default" w:asciiTheme="majorAscii" w:hAnsiTheme="majorAscii"/>
          <w:sz w:val="24"/>
          <w:szCs w:val="24"/>
        </w:rPr>
      </w:pPr>
    </w:p>
    <w:p w14:paraId="7339B05B">
      <w:pPr>
        <w:pStyle w:val="5"/>
        <w:keepNext w:val="0"/>
        <w:keepLines w:val="0"/>
        <w:widowControl/>
        <w:suppressLineNumbers w:val="0"/>
        <w:rPr>
          <w:rFonts w:hint="default" w:asciiTheme="majorAscii" w:hAnsiTheme="majorAscii"/>
          <w:sz w:val="24"/>
          <w:szCs w:val="24"/>
        </w:rPr>
      </w:pPr>
      <w:r>
        <w:rPr>
          <w:rStyle w:val="6"/>
          <w:rFonts w:hint="default" w:asciiTheme="majorAscii" w:hAnsiTheme="majorAscii"/>
          <w:sz w:val="24"/>
          <w:szCs w:val="24"/>
        </w:rPr>
        <w:t>4.2. Önerilen Ortaklık Modelleri</w:t>
      </w:r>
    </w:p>
    <w:p w14:paraId="68868E62">
      <w:pPr>
        <w:pStyle w:val="5"/>
        <w:keepNext w:val="0"/>
        <w:keepLines w:val="0"/>
        <w:widowControl/>
        <w:suppressLineNumbers w:val="0"/>
        <w:ind w:firstLine="601" w:firstLineChars="250"/>
        <w:rPr>
          <w:rFonts w:hint="default" w:asciiTheme="majorAscii" w:hAnsiTheme="majorAscii"/>
          <w:sz w:val="24"/>
          <w:szCs w:val="24"/>
        </w:rPr>
      </w:pPr>
      <w:r>
        <w:rPr>
          <w:rStyle w:val="6"/>
          <w:rFonts w:hint="default" w:asciiTheme="majorAscii" w:hAnsiTheme="majorAscii"/>
          <w:sz w:val="24"/>
          <w:szCs w:val="24"/>
          <w:lang w:val="tr-TR"/>
        </w:rPr>
        <w:t xml:space="preserve">1) </w:t>
      </w:r>
      <w:r>
        <w:rPr>
          <w:rStyle w:val="6"/>
          <w:rFonts w:hint="default" w:asciiTheme="majorAscii" w:hAnsiTheme="majorAscii"/>
          <w:sz w:val="24"/>
          <w:szCs w:val="24"/>
        </w:rPr>
        <w:t>Lisans Ortaklığı</w:t>
      </w:r>
      <w:r>
        <w:rPr>
          <w:rFonts w:hint="default" w:asciiTheme="majorAscii" w:hAnsiTheme="majorAscii"/>
          <w:sz w:val="24"/>
          <w:szCs w:val="24"/>
        </w:rPr>
        <w:t xml:space="preserve"> – Pardus-E, donanıma gömülü olarak OEM lisansı ile dağıtılır.</w:t>
      </w:r>
    </w:p>
    <w:p w14:paraId="6A00E27F">
      <w:pPr>
        <w:pStyle w:val="5"/>
        <w:keepNext w:val="0"/>
        <w:keepLines w:val="0"/>
        <w:widowControl/>
        <w:suppressLineNumbers w:val="0"/>
        <w:ind w:firstLine="601" w:firstLineChars="250"/>
        <w:rPr>
          <w:rFonts w:hint="default" w:asciiTheme="majorAscii" w:hAnsiTheme="majorAscii"/>
          <w:sz w:val="24"/>
          <w:szCs w:val="24"/>
        </w:rPr>
      </w:pPr>
      <w:r>
        <w:rPr>
          <w:rStyle w:val="6"/>
          <w:rFonts w:hint="default" w:asciiTheme="majorAscii" w:hAnsiTheme="majorAscii"/>
          <w:sz w:val="24"/>
          <w:szCs w:val="24"/>
          <w:lang w:val="tr-TR"/>
        </w:rPr>
        <w:t xml:space="preserve">2) </w:t>
      </w:r>
      <w:r>
        <w:rPr>
          <w:rStyle w:val="6"/>
          <w:rFonts w:hint="default" w:asciiTheme="majorAscii" w:hAnsiTheme="majorAscii"/>
          <w:sz w:val="24"/>
          <w:szCs w:val="24"/>
        </w:rPr>
        <w:t>Ar-Ge Partnerliği</w:t>
      </w:r>
      <w:r>
        <w:rPr>
          <w:rFonts w:hint="default" w:asciiTheme="majorAscii" w:hAnsiTheme="majorAscii"/>
          <w:sz w:val="24"/>
          <w:szCs w:val="24"/>
        </w:rPr>
        <w:t xml:space="preserve"> – Firmaların Ar-Ge ekipleri, Pardus-E modüllerine katkı sunar.</w:t>
      </w:r>
    </w:p>
    <w:p w14:paraId="43F48C1D">
      <w:pPr>
        <w:pStyle w:val="5"/>
        <w:keepNext w:val="0"/>
        <w:keepLines w:val="0"/>
        <w:widowControl/>
        <w:suppressLineNumbers w:val="0"/>
        <w:ind w:firstLine="601" w:firstLineChars="250"/>
        <w:rPr>
          <w:rFonts w:hint="default" w:asciiTheme="majorAscii" w:hAnsiTheme="majorAscii"/>
          <w:sz w:val="24"/>
          <w:szCs w:val="24"/>
        </w:rPr>
      </w:pPr>
      <w:r>
        <w:rPr>
          <w:rStyle w:val="6"/>
          <w:rFonts w:hint="default" w:asciiTheme="majorAscii" w:hAnsiTheme="majorAscii"/>
          <w:sz w:val="24"/>
          <w:szCs w:val="24"/>
          <w:lang w:val="tr-TR"/>
        </w:rPr>
        <w:t xml:space="preserve">3) </w:t>
      </w:r>
      <w:r>
        <w:rPr>
          <w:rStyle w:val="6"/>
          <w:rFonts w:hint="default" w:asciiTheme="majorAscii" w:hAnsiTheme="majorAscii"/>
          <w:sz w:val="24"/>
          <w:szCs w:val="24"/>
        </w:rPr>
        <w:t>Özel Sürüm Hizmeti</w:t>
      </w:r>
      <w:r>
        <w:rPr>
          <w:rFonts w:hint="default" w:asciiTheme="majorAscii" w:hAnsiTheme="majorAscii"/>
          <w:sz w:val="24"/>
          <w:szCs w:val="24"/>
        </w:rPr>
        <w:t xml:space="preserve"> – Proje belirli firma ihtiyaçlarına göre fork edilip özelleştirilir.</w:t>
      </w:r>
    </w:p>
    <w:p w14:paraId="36A07145">
      <w:pPr>
        <w:pStyle w:val="5"/>
        <w:keepNext w:val="0"/>
        <w:keepLines w:val="0"/>
        <w:widowControl/>
        <w:suppressLineNumbers w:val="0"/>
        <w:ind w:firstLine="601" w:firstLineChars="250"/>
        <w:rPr>
          <w:rFonts w:hint="default" w:asciiTheme="majorAscii" w:hAnsiTheme="majorAscii"/>
          <w:sz w:val="24"/>
          <w:szCs w:val="24"/>
        </w:rPr>
      </w:pPr>
      <w:r>
        <w:rPr>
          <w:rStyle w:val="6"/>
          <w:rFonts w:hint="default" w:asciiTheme="majorAscii" w:hAnsiTheme="majorAscii"/>
          <w:sz w:val="24"/>
          <w:szCs w:val="24"/>
          <w:lang w:val="tr-TR"/>
        </w:rPr>
        <w:t xml:space="preserve">4) </w:t>
      </w:r>
      <w:r>
        <w:rPr>
          <w:rStyle w:val="6"/>
          <w:rFonts w:hint="default" w:asciiTheme="majorAscii" w:hAnsiTheme="majorAscii"/>
          <w:sz w:val="24"/>
          <w:szCs w:val="24"/>
        </w:rPr>
        <w:t>Konsorsiyum Yapısı</w:t>
      </w:r>
      <w:r>
        <w:rPr>
          <w:rFonts w:hint="default" w:asciiTheme="majorAscii" w:hAnsiTheme="majorAscii"/>
          <w:sz w:val="24"/>
          <w:szCs w:val="24"/>
        </w:rPr>
        <w:t xml:space="preserve"> – Birden fazla firma ortaklığında, yatırımcı ve geliştirici rolleri tanımlanır.</w:t>
      </w:r>
    </w:p>
    <w:p w14:paraId="7C5A4231">
      <w:pPr>
        <w:keepNext w:val="0"/>
        <w:keepLines w:val="0"/>
        <w:widowControl/>
        <w:numPr>
          <w:ilvl w:val="0"/>
          <w:numId w:val="0"/>
        </w:numPr>
        <w:suppressLineNumbers w:val="0"/>
        <w:spacing w:before="0" w:beforeAutospacing="1" w:after="0" w:afterAutospacing="1"/>
        <w:ind w:left="1080" w:leftChars="0"/>
        <w:rPr>
          <w:rFonts w:hint="default" w:asciiTheme="majorAscii" w:hAnsiTheme="majorAscii"/>
          <w:sz w:val="24"/>
          <w:szCs w:val="24"/>
        </w:rPr>
      </w:pPr>
    </w:p>
    <w:p w14:paraId="0903DF1B">
      <w:pPr>
        <w:keepNext w:val="0"/>
        <w:keepLines w:val="0"/>
        <w:widowControl/>
        <w:suppressLineNumbers w:val="0"/>
        <w:rPr>
          <w:rFonts w:hint="default" w:asciiTheme="majorAscii" w:hAnsiTheme="majorAscii"/>
          <w:sz w:val="24"/>
          <w:szCs w:val="24"/>
        </w:rPr>
      </w:pPr>
      <w:r>
        <w:rPr>
          <w:rFonts w:hint="default" w:asciiTheme="majorAscii" w:hAnsiTheme="majorAscii"/>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31840440">
      <w:pPr>
        <w:pStyle w:val="2"/>
        <w:keepNext w:val="0"/>
        <w:keepLines w:val="0"/>
        <w:widowControl/>
        <w:suppressLineNumbers w:val="0"/>
        <w:rPr>
          <w:rFonts w:hint="default" w:asciiTheme="majorAscii" w:hAnsiTheme="majorAscii"/>
          <w:sz w:val="24"/>
          <w:szCs w:val="24"/>
        </w:rPr>
      </w:pPr>
      <w:r>
        <w:rPr>
          <w:rFonts w:hint="default" w:asciiTheme="majorAscii" w:hAnsiTheme="majorAscii"/>
          <w:sz w:val="24"/>
          <w:szCs w:val="24"/>
        </w:rPr>
        <w:t>5. RİSK ANALİZİ ve HUKUKİ YAPILANMA</w:t>
      </w:r>
    </w:p>
    <w:p w14:paraId="56E319A8">
      <w:pPr>
        <w:pStyle w:val="5"/>
        <w:keepNext w:val="0"/>
        <w:keepLines w:val="0"/>
        <w:widowControl/>
        <w:suppressLineNumbers w:val="0"/>
        <w:rPr>
          <w:rFonts w:hint="default" w:asciiTheme="majorAscii" w:hAnsiTheme="majorAscii"/>
          <w:sz w:val="24"/>
          <w:szCs w:val="24"/>
        </w:rPr>
      </w:pPr>
      <w:r>
        <w:rPr>
          <w:rStyle w:val="6"/>
          <w:rFonts w:hint="default" w:asciiTheme="majorAscii" w:hAnsiTheme="majorAscii"/>
          <w:sz w:val="24"/>
          <w:szCs w:val="24"/>
        </w:rPr>
        <w:t>5.1. Mevzuat Uyumluluğu</w:t>
      </w:r>
    </w:p>
    <w:p w14:paraId="6D8226C8">
      <w:pPr>
        <w:pStyle w:val="5"/>
        <w:keepNext w:val="0"/>
        <w:keepLines w:val="0"/>
        <w:widowControl/>
        <w:suppressLineNumbers w:val="0"/>
        <w:rPr>
          <w:rFonts w:hint="default" w:asciiTheme="majorAscii" w:hAnsiTheme="majorAscii"/>
          <w:sz w:val="24"/>
          <w:szCs w:val="24"/>
        </w:rPr>
      </w:pPr>
      <w:r>
        <w:rPr>
          <w:rFonts w:hint="default" w:asciiTheme="majorAscii" w:hAnsiTheme="majorAscii"/>
          <w:sz w:val="24"/>
          <w:szCs w:val="24"/>
        </w:rPr>
        <w:t>Pardus-E, 6698 sayılı KVKK (Kişisel Verilerin Korunması Kanunu), 5651 sayılı İnternet Ortamında Yapılan Yayınlar Hakkında Kanun ve ISO/IEC 27001 standartlarına uygun geliştirilmektedir. Ayrıca, yazılımda açık kaynak kod kütüphaneleri dışındaki tüm modüller %100 yerli geliştirilmektedir.</w:t>
      </w:r>
    </w:p>
    <w:p w14:paraId="0A325C65">
      <w:pPr>
        <w:pStyle w:val="5"/>
        <w:keepNext w:val="0"/>
        <w:keepLines w:val="0"/>
        <w:widowControl/>
        <w:suppressLineNumbers w:val="0"/>
        <w:rPr>
          <w:rFonts w:hint="default" w:asciiTheme="majorAscii" w:hAnsiTheme="majorAscii"/>
          <w:sz w:val="24"/>
          <w:szCs w:val="24"/>
        </w:rPr>
      </w:pPr>
      <w:r>
        <w:rPr>
          <w:rStyle w:val="6"/>
          <w:rFonts w:hint="default" w:asciiTheme="majorAscii" w:hAnsiTheme="majorAscii"/>
          <w:sz w:val="24"/>
          <w:szCs w:val="24"/>
        </w:rPr>
        <w:t>5.2. Fikri Mülkiyet ve Dağıtım Hakları</w:t>
      </w:r>
    </w:p>
    <w:p w14:paraId="6D7D3F71">
      <w:pPr>
        <w:pStyle w:val="5"/>
        <w:keepNext w:val="0"/>
        <w:keepLines w:val="0"/>
        <w:widowControl/>
        <w:suppressLineNumbers w:val="0"/>
        <w:rPr>
          <w:rFonts w:hint="default" w:asciiTheme="majorAscii" w:hAnsiTheme="majorAscii"/>
          <w:sz w:val="24"/>
          <w:szCs w:val="24"/>
        </w:rPr>
      </w:pPr>
      <w:r>
        <w:rPr>
          <w:rFonts w:hint="default" w:asciiTheme="majorAscii" w:hAnsiTheme="majorAscii"/>
          <w:sz w:val="24"/>
          <w:szCs w:val="24"/>
        </w:rPr>
        <w:t>Projede geliştirilen çekirdek, grafiksel BIOS arayüzü, yapay zekâ sistemleri ve tanılayıcı motorlar; geliştirici ekip adına tescillidir. Özel sektöre geçiş sürecinde, bu hakların kısmi lisans veya tescil devriyle kullanılması planlanmaktadır.</w:t>
      </w:r>
    </w:p>
    <w:p w14:paraId="36BC0BC9">
      <w:pPr>
        <w:pStyle w:val="5"/>
        <w:keepNext w:val="0"/>
        <w:keepLines w:val="0"/>
        <w:widowControl/>
        <w:suppressLineNumbers w:val="0"/>
        <w:rPr>
          <w:rFonts w:hint="default" w:asciiTheme="majorAscii" w:hAnsiTheme="majorAscii"/>
          <w:sz w:val="24"/>
          <w:szCs w:val="24"/>
        </w:rPr>
      </w:pPr>
      <w:r>
        <w:rPr>
          <w:rStyle w:val="6"/>
          <w:rFonts w:hint="default" w:asciiTheme="majorAscii" w:hAnsiTheme="majorAscii"/>
          <w:sz w:val="24"/>
          <w:szCs w:val="24"/>
        </w:rPr>
        <w:t>5.3. Riskler ve Yönetim Stratejileri</w:t>
      </w:r>
    </w:p>
    <w:tbl>
      <w:tblPr>
        <w:tblStyle w:val="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19"/>
        <w:gridCol w:w="847"/>
        <w:gridCol w:w="2831"/>
      </w:tblGrid>
      <w:tr w14:paraId="666F9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6B4979BD">
            <w:pPr>
              <w:keepNext w:val="0"/>
              <w:keepLines w:val="0"/>
              <w:widowControl/>
              <w:suppressLineNumbers w:val="0"/>
              <w:jc w:val="center"/>
              <w:rPr>
                <w:rFonts w:hint="default" w:asciiTheme="majorAscii" w:hAnsiTheme="majorAscii"/>
                <w:b/>
                <w:bCs/>
                <w:sz w:val="24"/>
                <w:szCs w:val="24"/>
              </w:rPr>
            </w:pPr>
            <w:r>
              <w:rPr>
                <w:rFonts w:hint="default" w:eastAsia="SimSun" w:cs="SimSun" w:asciiTheme="majorAscii" w:hAnsiTheme="majorAscii"/>
                <w:b/>
                <w:bCs/>
                <w:kern w:val="0"/>
                <w:sz w:val="24"/>
                <w:szCs w:val="24"/>
                <w:lang w:val="en-US" w:eastAsia="zh-CN" w:bidi="ar"/>
              </w:rPr>
              <w:t>Risk</w:t>
            </w:r>
          </w:p>
        </w:tc>
        <w:tc>
          <w:tcPr>
            <w:tcW w:w="0" w:type="auto"/>
            <w:shd w:val="clear" w:color="auto" w:fill="auto"/>
            <w:vAlign w:val="center"/>
          </w:tcPr>
          <w:p w14:paraId="6A119E8B">
            <w:pPr>
              <w:keepNext w:val="0"/>
              <w:keepLines w:val="0"/>
              <w:widowControl/>
              <w:suppressLineNumbers w:val="0"/>
              <w:jc w:val="center"/>
              <w:rPr>
                <w:rFonts w:hint="default" w:asciiTheme="majorAscii" w:hAnsiTheme="majorAscii"/>
                <w:b/>
                <w:bCs/>
                <w:sz w:val="24"/>
                <w:szCs w:val="24"/>
              </w:rPr>
            </w:pPr>
            <w:r>
              <w:rPr>
                <w:rFonts w:hint="default" w:eastAsia="SimSun" w:cs="SimSun" w:asciiTheme="majorAscii" w:hAnsiTheme="majorAscii"/>
                <w:b/>
                <w:bCs/>
                <w:kern w:val="0"/>
                <w:sz w:val="24"/>
                <w:szCs w:val="24"/>
                <w:lang w:val="en-US" w:eastAsia="zh-CN" w:bidi="ar"/>
              </w:rPr>
              <w:t>Etki</w:t>
            </w:r>
          </w:p>
        </w:tc>
        <w:tc>
          <w:tcPr>
            <w:tcW w:w="0" w:type="auto"/>
            <w:shd w:val="clear" w:color="auto" w:fill="auto"/>
            <w:vAlign w:val="center"/>
          </w:tcPr>
          <w:p w14:paraId="7E721113">
            <w:pPr>
              <w:keepNext w:val="0"/>
              <w:keepLines w:val="0"/>
              <w:widowControl/>
              <w:suppressLineNumbers w:val="0"/>
              <w:jc w:val="center"/>
              <w:rPr>
                <w:rFonts w:hint="default" w:asciiTheme="majorAscii" w:hAnsiTheme="majorAscii"/>
                <w:b/>
                <w:bCs/>
                <w:sz w:val="24"/>
                <w:szCs w:val="24"/>
              </w:rPr>
            </w:pPr>
            <w:r>
              <w:rPr>
                <w:rFonts w:hint="default" w:eastAsia="SimSun" w:cs="SimSun" w:asciiTheme="majorAscii" w:hAnsiTheme="majorAscii"/>
                <w:b/>
                <w:bCs/>
                <w:kern w:val="0"/>
                <w:sz w:val="24"/>
                <w:szCs w:val="24"/>
                <w:lang w:val="en-US" w:eastAsia="zh-CN" w:bidi="ar"/>
              </w:rPr>
              <w:t>Yönetim Planı</w:t>
            </w:r>
          </w:p>
        </w:tc>
      </w:tr>
      <w:tr w14:paraId="1A88F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599AE40E">
            <w:pPr>
              <w:keepNext w:val="0"/>
              <w:keepLines w:val="0"/>
              <w:widowControl/>
              <w:suppressLineNumbers w:val="0"/>
              <w:jc w:val="left"/>
              <w:rPr>
                <w:rFonts w:hint="default" w:asciiTheme="majorAscii" w:hAnsiTheme="majorAscii"/>
                <w:sz w:val="24"/>
                <w:szCs w:val="24"/>
              </w:rPr>
            </w:pPr>
            <w:r>
              <w:rPr>
                <w:rFonts w:hint="default" w:eastAsia="SimSun" w:cs="SimSun" w:asciiTheme="majorAscii" w:hAnsiTheme="majorAscii"/>
                <w:kern w:val="0"/>
                <w:sz w:val="24"/>
                <w:szCs w:val="24"/>
                <w:lang w:val="en-US" w:eastAsia="zh-CN" w:bidi="ar"/>
              </w:rPr>
              <w:t>Firma bağımlılığı</w:t>
            </w:r>
          </w:p>
        </w:tc>
        <w:tc>
          <w:tcPr>
            <w:tcW w:w="0" w:type="auto"/>
            <w:shd w:val="clear" w:color="auto" w:fill="auto"/>
            <w:vAlign w:val="center"/>
          </w:tcPr>
          <w:p w14:paraId="4B283FF3">
            <w:pPr>
              <w:keepNext w:val="0"/>
              <w:keepLines w:val="0"/>
              <w:widowControl/>
              <w:suppressLineNumbers w:val="0"/>
              <w:jc w:val="left"/>
              <w:rPr>
                <w:rFonts w:hint="default" w:asciiTheme="majorAscii" w:hAnsiTheme="majorAscii"/>
                <w:sz w:val="24"/>
                <w:szCs w:val="24"/>
              </w:rPr>
            </w:pPr>
            <w:r>
              <w:rPr>
                <w:rFonts w:hint="default" w:eastAsia="SimSun" w:cs="SimSun" w:asciiTheme="majorAscii" w:hAnsiTheme="majorAscii"/>
                <w:kern w:val="0"/>
                <w:sz w:val="24"/>
                <w:szCs w:val="24"/>
                <w:lang w:val="en-US" w:eastAsia="zh-CN" w:bidi="ar"/>
              </w:rPr>
              <w:t>Yüksek</w:t>
            </w:r>
          </w:p>
        </w:tc>
        <w:tc>
          <w:tcPr>
            <w:tcW w:w="0" w:type="auto"/>
            <w:shd w:val="clear" w:color="auto" w:fill="auto"/>
            <w:vAlign w:val="center"/>
          </w:tcPr>
          <w:p w14:paraId="0E554B37">
            <w:pPr>
              <w:keepNext w:val="0"/>
              <w:keepLines w:val="0"/>
              <w:widowControl/>
              <w:suppressLineNumbers w:val="0"/>
              <w:jc w:val="left"/>
              <w:rPr>
                <w:rFonts w:hint="default" w:asciiTheme="majorAscii" w:hAnsiTheme="majorAscii"/>
                <w:sz w:val="24"/>
                <w:szCs w:val="24"/>
              </w:rPr>
            </w:pPr>
            <w:r>
              <w:rPr>
                <w:rFonts w:hint="default" w:eastAsia="SimSun" w:cs="SimSun" w:asciiTheme="majorAscii" w:hAnsiTheme="majorAscii"/>
                <w:kern w:val="0"/>
                <w:sz w:val="24"/>
                <w:szCs w:val="24"/>
                <w:lang w:val="en-US" w:eastAsia="zh-CN" w:bidi="ar"/>
              </w:rPr>
              <w:t>Çoklu ortaklık yapısı</w:t>
            </w:r>
          </w:p>
        </w:tc>
      </w:tr>
      <w:tr w14:paraId="2CCB8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58CD5160">
            <w:pPr>
              <w:keepNext w:val="0"/>
              <w:keepLines w:val="0"/>
              <w:widowControl/>
              <w:suppressLineNumbers w:val="0"/>
              <w:jc w:val="left"/>
              <w:rPr>
                <w:rFonts w:hint="default" w:asciiTheme="majorAscii" w:hAnsiTheme="majorAscii"/>
                <w:sz w:val="24"/>
                <w:szCs w:val="24"/>
              </w:rPr>
            </w:pPr>
            <w:r>
              <w:rPr>
                <w:rFonts w:hint="default" w:eastAsia="SimSun" w:cs="SimSun" w:asciiTheme="majorAscii" w:hAnsiTheme="majorAscii"/>
                <w:kern w:val="0"/>
                <w:sz w:val="24"/>
                <w:szCs w:val="24"/>
                <w:lang w:val="en-US" w:eastAsia="zh-CN" w:bidi="ar"/>
              </w:rPr>
              <w:t>Teknik altyapı farkı</w:t>
            </w:r>
          </w:p>
        </w:tc>
        <w:tc>
          <w:tcPr>
            <w:tcW w:w="0" w:type="auto"/>
            <w:shd w:val="clear" w:color="auto" w:fill="auto"/>
            <w:vAlign w:val="center"/>
          </w:tcPr>
          <w:p w14:paraId="6C15C3B8">
            <w:pPr>
              <w:keepNext w:val="0"/>
              <w:keepLines w:val="0"/>
              <w:widowControl/>
              <w:suppressLineNumbers w:val="0"/>
              <w:jc w:val="left"/>
              <w:rPr>
                <w:rFonts w:hint="default" w:asciiTheme="majorAscii" w:hAnsiTheme="majorAscii"/>
                <w:sz w:val="24"/>
                <w:szCs w:val="24"/>
              </w:rPr>
            </w:pPr>
            <w:r>
              <w:rPr>
                <w:rFonts w:hint="default" w:eastAsia="SimSun" w:cs="SimSun" w:asciiTheme="majorAscii" w:hAnsiTheme="majorAscii"/>
                <w:kern w:val="0"/>
                <w:sz w:val="24"/>
                <w:szCs w:val="24"/>
                <w:lang w:val="en-US" w:eastAsia="zh-CN" w:bidi="ar"/>
              </w:rPr>
              <w:t>Orta</w:t>
            </w:r>
          </w:p>
        </w:tc>
        <w:tc>
          <w:tcPr>
            <w:tcW w:w="0" w:type="auto"/>
            <w:shd w:val="clear" w:color="auto" w:fill="auto"/>
            <w:vAlign w:val="center"/>
          </w:tcPr>
          <w:p w14:paraId="25AE3E0E">
            <w:pPr>
              <w:keepNext w:val="0"/>
              <w:keepLines w:val="0"/>
              <w:widowControl/>
              <w:suppressLineNumbers w:val="0"/>
              <w:jc w:val="left"/>
              <w:rPr>
                <w:rFonts w:hint="default" w:asciiTheme="majorAscii" w:hAnsiTheme="majorAscii"/>
                <w:sz w:val="24"/>
                <w:szCs w:val="24"/>
              </w:rPr>
            </w:pPr>
            <w:r>
              <w:rPr>
                <w:rFonts w:hint="default" w:eastAsia="SimSun" w:cs="SimSun" w:asciiTheme="majorAscii" w:hAnsiTheme="majorAscii"/>
                <w:kern w:val="0"/>
                <w:sz w:val="24"/>
                <w:szCs w:val="24"/>
                <w:lang w:val="en-US" w:eastAsia="zh-CN" w:bidi="ar"/>
              </w:rPr>
              <w:t>Modüler yapı uyarlamaları</w:t>
            </w:r>
          </w:p>
        </w:tc>
      </w:tr>
      <w:tr w14:paraId="2124B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0F311238">
            <w:pPr>
              <w:keepNext w:val="0"/>
              <w:keepLines w:val="0"/>
              <w:widowControl/>
              <w:suppressLineNumbers w:val="0"/>
              <w:jc w:val="left"/>
              <w:rPr>
                <w:rFonts w:hint="default" w:asciiTheme="majorAscii" w:hAnsiTheme="majorAscii"/>
                <w:sz w:val="24"/>
                <w:szCs w:val="24"/>
              </w:rPr>
            </w:pPr>
            <w:r>
              <w:rPr>
                <w:rFonts w:hint="default" w:eastAsia="SimSun" w:cs="SimSun" w:asciiTheme="majorAscii" w:hAnsiTheme="majorAscii"/>
                <w:kern w:val="0"/>
                <w:sz w:val="24"/>
                <w:szCs w:val="24"/>
                <w:lang w:val="en-US" w:eastAsia="zh-CN" w:bidi="ar"/>
              </w:rPr>
              <w:t>Ticarileşme zorlukları</w:t>
            </w:r>
          </w:p>
        </w:tc>
        <w:tc>
          <w:tcPr>
            <w:tcW w:w="0" w:type="auto"/>
            <w:shd w:val="clear" w:color="auto" w:fill="auto"/>
            <w:vAlign w:val="center"/>
          </w:tcPr>
          <w:p w14:paraId="001BACA9">
            <w:pPr>
              <w:keepNext w:val="0"/>
              <w:keepLines w:val="0"/>
              <w:widowControl/>
              <w:suppressLineNumbers w:val="0"/>
              <w:jc w:val="left"/>
              <w:rPr>
                <w:rFonts w:hint="default" w:asciiTheme="majorAscii" w:hAnsiTheme="majorAscii"/>
                <w:sz w:val="24"/>
                <w:szCs w:val="24"/>
              </w:rPr>
            </w:pPr>
            <w:r>
              <w:rPr>
                <w:rFonts w:hint="default" w:eastAsia="SimSun" w:cs="SimSun" w:asciiTheme="majorAscii" w:hAnsiTheme="majorAscii"/>
                <w:kern w:val="0"/>
                <w:sz w:val="24"/>
                <w:szCs w:val="24"/>
                <w:lang w:val="en-US" w:eastAsia="zh-CN" w:bidi="ar"/>
              </w:rPr>
              <w:t>Orta</w:t>
            </w:r>
          </w:p>
        </w:tc>
        <w:tc>
          <w:tcPr>
            <w:tcW w:w="0" w:type="auto"/>
            <w:shd w:val="clear" w:color="auto" w:fill="auto"/>
            <w:vAlign w:val="center"/>
          </w:tcPr>
          <w:p w14:paraId="0A67481F">
            <w:pPr>
              <w:keepNext w:val="0"/>
              <w:keepLines w:val="0"/>
              <w:widowControl/>
              <w:suppressLineNumbers w:val="0"/>
              <w:jc w:val="left"/>
              <w:rPr>
                <w:rFonts w:hint="default" w:asciiTheme="majorAscii" w:hAnsiTheme="majorAscii"/>
                <w:sz w:val="24"/>
                <w:szCs w:val="24"/>
              </w:rPr>
            </w:pPr>
            <w:r>
              <w:rPr>
                <w:rFonts w:hint="default" w:eastAsia="SimSun" w:cs="SimSun" w:asciiTheme="majorAscii" w:hAnsiTheme="majorAscii"/>
                <w:kern w:val="0"/>
                <w:sz w:val="24"/>
                <w:szCs w:val="24"/>
                <w:lang w:val="en-US" w:eastAsia="zh-CN" w:bidi="ar"/>
              </w:rPr>
              <w:t>MVP + pazarlama desteği</w:t>
            </w:r>
          </w:p>
        </w:tc>
      </w:tr>
    </w:tbl>
    <w:p w14:paraId="6470C4D4">
      <w:pPr>
        <w:keepNext w:val="0"/>
        <w:keepLines w:val="0"/>
        <w:widowControl/>
        <w:suppressLineNumbers w:val="0"/>
        <w:rPr>
          <w:rFonts w:hint="default" w:asciiTheme="majorAscii" w:hAnsiTheme="majorAscii"/>
          <w:sz w:val="24"/>
          <w:szCs w:val="24"/>
        </w:rPr>
      </w:pPr>
      <w:r>
        <w:rPr>
          <w:rFonts w:hint="default" w:asciiTheme="majorAscii" w:hAnsiTheme="majorAscii"/>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7B2D6A42">
      <w:pPr>
        <w:pStyle w:val="2"/>
        <w:keepNext w:val="0"/>
        <w:keepLines w:val="0"/>
        <w:widowControl/>
        <w:suppressLineNumbers w:val="0"/>
        <w:rPr>
          <w:rFonts w:hint="default" w:asciiTheme="majorAscii" w:hAnsiTheme="majorAscii"/>
          <w:sz w:val="24"/>
          <w:szCs w:val="24"/>
        </w:rPr>
      </w:pPr>
      <w:r>
        <w:rPr>
          <w:rFonts w:hint="default" w:asciiTheme="majorAscii" w:hAnsiTheme="majorAscii"/>
          <w:sz w:val="24"/>
          <w:szCs w:val="24"/>
        </w:rPr>
        <w:t>6. SONUÇ VE YOL HARİTASI</w:t>
      </w:r>
    </w:p>
    <w:p w14:paraId="378C155E">
      <w:pPr>
        <w:pStyle w:val="5"/>
        <w:keepNext w:val="0"/>
        <w:keepLines w:val="0"/>
        <w:widowControl/>
        <w:suppressLineNumbers w:val="0"/>
        <w:rPr>
          <w:rFonts w:hint="default" w:asciiTheme="majorAscii" w:hAnsiTheme="majorAscii"/>
          <w:sz w:val="24"/>
          <w:szCs w:val="24"/>
        </w:rPr>
      </w:pPr>
      <w:r>
        <w:rPr>
          <w:rFonts w:hint="default" w:asciiTheme="majorAscii" w:hAnsiTheme="majorAscii"/>
          <w:sz w:val="24"/>
          <w:szCs w:val="24"/>
        </w:rPr>
        <w:t>Pardus-E, kamu destekli bir Ar-Ge sürecinden doğmasına rağmen; mevcut koşullar ve değerlendirme sistemlerinin işlevsizliği nedeniyle özel sektöre yönelmeyi stratejik olarak zorunlu görmektedir. TÜBİTAK gibi kurumların yavaşlığı ve teknik yeterlilik eksikliği, projenin zamanında tamamlanamamasına neden olmuş; yaratıcı çözümler ve inovatif geliştirmeler göz ardı edilmiştir.</w:t>
      </w:r>
    </w:p>
    <w:p w14:paraId="31225DAC">
      <w:pPr>
        <w:pStyle w:val="5"/>
        <w:keepNext w:val="0"/>
        <w:keepLines w:val="0"/>
        <w:widowControl/>
        <w:suppressLineNumbers w:val="0"/>
        <w:rPr>
          <w:rFonts w:hint="default" w:asciiTheme="majorAscii" w:hAnsiTheme="majorAscii"/>
          <w:sz w:val="24"/>
          <w:szCs w:val="24"/>
        </w:rPr>
      </w:pPr>
      <w:r>
        <w:rPr>
          <w:rFonts w:hint="default" w:asciiTheme="majorAscii" w:hAnsiTheme="majorAscii"/>
          <w:sz w:val="24"/>
          <w:szCs w:val="24"/>
        </w:rPr>
        <w:t>Özel sektörle yapılacak stratejik ortaklıklar sayesinde:</w:t>
      </w:r>
    </w:p>
    <w:p w14:paraId="3BC5E8A9">
      <w:pPr>
        <w:pStyle w:val="5"/>
        <w:keepNext w:val="0"/>
        <w:keepLines w:val="0"/>
        <w:widowControl/>
        <w:suppressLineNumbers w:val="0"/>
        <w:ind w:left="720"/>
        <w:rPr>
          <w:rFonts w:hint="default" w:asciiTheme="majorAscii" w:hAnsiTheme="majorAscii"/>
          <w:sz w:val="24"/>
          <w:szCs w:val="24"/>
        </w:rPr>
      </w:pPr>
      <w:r>
        <w:rPr>
          <w:rFonts w:hint="default" w:asciiTheme="majorAscii" w:hAnsiTheme="majorAscii"/>
          <w:sz w:val="24"/>
          <w:szCs w:val="24"/>
        </w:rPr>
        <w:t>Sürüm güncellemeleri hızlı ve geri bildirim odaklı olacaktır.</w:t>
      </w:r>
    </w:p>
    <w:p w14:paraId="6C57852D">
      <w:pPr>
        <w:pStyle w:val="5"/>
        <w:keepNext w:val="0"/>
        <w:keepLines w:val="0"/>
        <w:widowControl/>
        <w:suppressLineNumbers w:val="0"/>
        <w:ind w:left="720"/>
        <w:rPr>
          <w:rFonts w:hint="default" w:asciiTheme="majorAscii" w:hAnsiTheme="majorAscii"/>
          <w:sz w:val="24"/>
          <w:szCs w:val="24"/>
        </w:rPr>
      </w:pPr>
      <w:r>
        <w:rPr>
          <w:rFonts w:hint="default" w:asciiTheme="majorAscii" w:hAnsiTheme="majorAscii"/>
          <w:sz w:val="24"/>
          <w:szCs w:val="24"/>
        </w:rPr>
        <w:t>Güvenlik açıkları çok daha hızlı tespit ve izole edilecektir.</w:t>
      </w:r>
    </w:p>
    <w:p w14:paraId="70DDB4A0">
      <w:pPr>
        <w:pStyle w:val="5"/>
        <w:keepNext w:val="0"/>
        <w:keepLines w:val="0"/>
        <w:widowControl/>
        <w:suppressLineNumbers w:val="0"/>
        <w:ind w:left="720"/>
        <w:rPr>
          <w:rFonts w:hint="default" w:asciiTheme="majorAscii" w:hAnsiTheme="majorAscii"/>
          <w:sz w:val="24"/>
          <w:szCs w:val="24"/>
        </w:rPr>
      </w:pPr>
      <w:r>
        <w:rPr>
          <w:rFonts w:hint="default" w:asciiTheme="majorAscii" w:hAnsiTheme="majorAscii"/>
          <w:sz w:val="24"/>
          <w:szCs w:val="24"/>
        </w:rPr>
        <w:t>Proje sürdürülebilir, lisanslı ve yerli bir işletim sistemi olarak hayatına devam edecektir.</w:t>
      </w:r>
    </w:p>
    <w:p w14:paraId="0C8FF6C7">
      <w:pPr>
        <w:keepNext w:val="0"/>
        <w:keepLines w:val="0"/>
        <w:widowControl/>
        <w:numPr>
          <w:ilvl w:val="0"/>
          <w:numId w:val="0"/>
        </w:numPr>
        <w:suppressLineNumbers w:val="0"/>
        <w:spacing w:before="0" w:beforeAutospacing="1" w:after="0" w:afterAutospacing="1"/>
        <w:rPr>
          <w:rFonts w:hint="default" w:asciiTheme="majorAscii" w:hAnsiTheme="majorAscii"/>
          <w:sz w:val="24"/>
          <w:szCs w:val="24"/>
        </w:rPr>
      </w:pPr>
    </w:p>
    <w:p w14:paraId="6671529B">
      <w:pPr>
        <w:keepNext w:val="0"/>
        <w:keepLines w:val="0"/>
        <w:widowControl/>
        <w:suppressLineNumbers w:val="0"/>
        <w:rPr>
          <w:rFonts w:hint="default" w:asciiTheme="majorAscii" w:hAnsiTheme="majorAscii"/>
          <w:sz w:val="24"/>
          <w:szCs w:val="24"/>
        </w:rPr>
      </w:pPr>
      <w:r>
        <w:rPr>
          <w:rFonts w:hint="default" w:asciiTheme="majorAscii" w:hAnsiTheme="majorAscii"/>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0B53DB2">
      <w:pPr>
        <w:pStyle w:val="5"/>
        <w:keepNext w:val="0"/>
        <w:keepLines w:val="0"/>
        <w:widowControl/>
        <w:suppressLineNumbers w:val="0"/>
        <w:rPr>
          <w:rFonts w:hint="default" w:asciiTheme="majorAscii" w:hAnsiTheme="majorAscii"/>
          <w:sz w:val="24"/>
          <w:szCs w:val="24"/>
        </w:rPr>
      </w:pPr>
      <w:r>
        <w:rPr>
          <w:rStyle w:val="6"/>
          <w:rFonts w:hint="default" w:asciiTheme="majorAscii" w:hAnsiTheme="majorAscii"/>
          <w:sz w:val="24"/>
          <w:szCs w:val="24"/>
        </w:rPr>
        <w:t>EKLER</w:t>
      </w:r>
    </w:p>
    <w:p w14:paraId="3FE4836B">
      <w:pPr>
        <w:keepNext w:val="0"/>
        <w:keepLines w:val="0"/>
        <w:widowControl/>
        <w:numPr>
          <w:ilvl w:val="0"/>
          <w:numId w:val="0"/>
        </w:numPr>
        <w:suppressLineNumbers w:val="0"/>
        <w:spacing w:before="0" w:beforeAutospacing="1" w:after="0" w:afterAutospacing="1"/>
        <w:ind w:left="1080" w:leftChars="0"/>
        <w:rPr>
          <w:rFonts w:hint="default" w:asciiTheme="majorAscii" w:hAnsiTheme="majorAscii"/>
          <w:sz w:val="24"/>
          <w:szCs w:val="24"/>
        </w:rPr>
      </w:pPr>
    </w:p>
    <w:p w14:paraId="0BFEAC79">
      <w:pPr>
        <w:pStyle w:val="5"/>
        <w:keepNext w:val="0"/>
        <w:keepLines w:val="0"/>
        <w:widowControl/>
        <w:suppressLineNumbers w:val="0"/>
        <w:ind w:left="720"/>
        <w:rPr>
          <w:rFonts w:hint="default" w:asciiTheme="majorAscii" w:hAnsiTheme="majorAscii"/>
          <w:sz w:val="24"/>
          <w:szCs w:val="24"/>
        </w:rPr>
      </w:pPr>
      <w:r>
        <w:rPr>
          <w:rFonts w:hint="default" w:asciiTheme="majorAscii" w:hAnsiTheme="majorAscii"/>
          <w:sz w:val="24"/>
          <w:szCs w:val="24"/>
        </w:rPr>
        <w:t>Ek 1: Pardus-E Teknik Mimari Şeması</w:t>
      </w:r>
    </w:p>
    <w:p w14:paraId="09083B8E">
      <w:pPr>
        <w:pStyle w:val="5"/>
        <w:keepNext w:val="0"/>
        <w:keepLines w:val="0"/>
        <w:widowControl/>
        <w:suppressLineNumbers w:val="0"/>
        <w:ind w:left="720"/>
        <w:rPr>
          <w:rFonts w:hint="default" w:asciiTheme="majorAscii" w:hAnsiTheme="majorAscii"/>
          <w:sz w:val="24"/>
          <w:szCs w:val="24"/>
        </w:rPr>
      </w:pPr>
      <w:r>
        <w:rPr>
          <w:rFonts w:hint="default" w:asciiTheme="majorAscii" w:hAnsiTheme="majorAscii"/>
          <w:sz w:val="24"/>
          <w:szCs w:val="24"/>
        </w:rPr>
        <w:t>Ek 2: 2024–2025 Arası Gerçekleşen Test ve Yayınlama Süreci</w:t>
      </w:r>
    </w:p>
    <w:p w14:paraId="3D467C89">
      <w:pPr>
        <w:pStyle w:val="5"/>
        <w:keepNext w:val="0"/>
        <w:keepLines w:val="0"/>
        <w:widowControl/>
        <w:suppressLineNumbers w:val="0"/>
        <w:ind w:left="720"/>
        <w:rPr>
          <w:rFonts w:hint="default" w:asciiTheme="majorAscii" w:hAnsiTheme="majorAscii"/>
          <w:sz w:val="24"/>
          <w:szCs w:val="24"/>
        </w:rPr>
      </w:pPr>
      <w:r>
        <w:rPr>
          <w:rFonts w:hint="default" w:asciiTheme="majorAscii" w:hAnsiTheme="majorAscii"/>
          <w:sz w:val="24"/>
          <w:szCs w:val="24"/>
        </w:rPr>
        <w:t>Ek 3: Fonlama Çağrılarındaki Gecikmelerin Takvimi</w:t>
      </w:r>
    </w:p>
    <w:p w14:paraId="7C2ECFA4">
      <w:pPr>
        <w:jc w:val="left"/>
        <w:rPr>
          <w:rFonts w:hint="default"/>
          <w:b w:val="0"/>
          <w:bCs w:val="0"/>
          <w:sz w:val="22"/>
          <w:szCs w:val="22"/>
          <w:lang w:val="tr-TR"/>
        </w:rPr>
      </w:pPr>
    </w:p>
    <w:p w14:paraId="51DDDA2A">
      <w:pPr>
        <w:jc w:val="left"/>
        <w:rPr>
          <w:rFonts w:hint="default"/>
          <w:b w:val="0"/>
          <w:bCs w:val="0"/>
          <w:sz w:val="22"/>
          <w:szCs w:val="22"/>
          <w:lang w:val="tr-TR"/>
        </w:rPr>
      </w:pPr>
    </w:p>
    <w:p w14:paraId="6BB61772">
      <w:pPr>
        <w:jc w:val="center"/>
        <w:rPr>
          <w:rFonts w:hint="default"/>
          <w:b/>
          <w:bCs/>
          <w:sz w:val="22"/>
          <w:szCs w:val="22"/>
          <w:lang w:val="tr-TR"/>
        </w:rPr>
      </w:pPr>
      <w:r>
        <w:rPr>
          <w:rFonts w:hint="default"/>
          <w:b/>
          <w:bCs/>
          <w:sz w:val="22"/>
          <w:szCs w:val="22"/>
          <w:lang w:val="tr-TR"/>
        </w:rPr>
        <w:t>Alperen ERKAN</w:t>
      </w:r>
    </w:p>
    <w:p w14:paraId="4AD7AFCA">
      <w:pPr>
        <w:jc w:val="center"/>
        <w:rPr>
          <w:rFonts w:hint="default"/>
          <w:b/>
          <w:bCs/>
          <w:sz w:val="22"/>
          <w:szCs w:val="22"/>
          <w:lang w:val="tr-TR"/>
        </w:rPr>
      </w:pPr>
      <w:r>
        <w:rPr>
          <w:rFonts w:hint="default"/>
          <w:b/>
          <w:bCs/>
          <w:sz w:val="22"/>
          <w:szCs w:val="22"/>
          <w:lang w:val="tr-TR"/>
        </w:rPr>
        <w:t>DataKral Teknoloji Takımı</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libri Light">
    <w:altName w:val="Helvetica Neue"/>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FD9671"/>
    <w:rsid w:val="6BFD9671"/>
    <w:rsid w:val="77EEB1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17</TotalTime>
  <ScaleCrop>false</ScaleCrop>
  <LinksUpToDate>false</LinksUpToDate>
  <CharactersWithSpaces>0</CharactersWithSpaces>
  <Application>WPS Office_6.14.0.8718_F1E327BC-269C-435d-A152-05C5408002CA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2025-06-16T12:35:00Z</dcterms:created>
  <dc:creator>alperenerkan</dc:creator>
  <cp:lastModifiedBy>alperenerkan</cp:lastModifiedBy>
  <dcterms:modified xsi:type="dcterms:W3CDTF">2025-06-16T10:59:52Z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1033-6.14.0.8718</vt:lpwstr>
  </property>
  <property fmtid="{D5CDD505-2E9C-101B-9397-08002B2CF9AE}" pid="3" name="ICV">
    <vt:lpwstr>9B13A5535FC13B994CC94F6859596E1F_41</vt:lpwstr>
  </property>
</Properties>
</file>