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ADHD Symptoms Among University Students in Egypt</w:t>
      </w:r>
    </w:p>
    <w:p>
      <w:pPr>
        <w:spacing w:after="60" w:line="264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Figures, statistics, tables and charts extracted from the article</w:t>
      </w:r>
    </w:p>
    <w:p>
      <w:pPr>
        <w:spacing w:after="120" w:line="264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El-Farargy SH, Fawzy AM, Elgammal AS, et al. Prevalence of attention-deficit/hyperactivity disorder symptoms and associated factors among university students in Egypt: a cross-sectional study. Scientific Reports 2026;16:26653. doi:10.1038/s41598-026-63835-y. PMC13507199. Licence CC BY 4.0.</w:t>
      </w:r>
    </w:p>
    <w:p>
      <w:pPr>
        <w:spacing w:after="100" w:line="264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How to read this file: tables are transcribed from the article as printed, and the charts are drawn from those tables. Charts marked "calculated" use the table counts (positive / total) and are not printed in the article. Odds ratios here are unadjusted for Tables 1 and 2 and adjusted for Table 4. The tables were read from the article page text, so check each number against the original before citing it.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 Key statistics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Sample and response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Responses collected / removed / analysed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3,136 / 753 / 2,383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Response rate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76.0%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Minimum required sample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2,388 (assumed prevalence 2.66%, margin 1%, population 3,495,100)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Pilot sample (excluded)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 = 69; Cronbach alpha 0.85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ASRS validation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Sensitivity 68.7-100%, specificity 83.3-99.5%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Main result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Screening-positive prevalence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37.9% (95% CI 36.0-39.9%); 904 positive, 1,479 negative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Prior ADHD diagnosis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3.9% (n = 93)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Sample profile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Female / aged 18-24 / mean age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65% / 97% / 21 (SD 2)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Medical-related colleges / public universities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74% / 85%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Delta region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Obese / mean BMI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12% / 25.0 (SD 4.4)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Sleep: mean / sleep disorders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7.28 h (SD 1.66) / 44%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Social media: median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h (IQR 3-6)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Childhood trauma / prior mental health diagnosis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58% / 15%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Odds ratios quoted in the abstract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Obesity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2.09 (1.14-3.95)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Smoking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1.93 (1.25-3.01)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Sleep disorders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2.12 (1.77-2.55)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Childhood trauma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1.42 (1.18-1.71)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Mental health history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1.71 (1.34-2.18)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Regular exercise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0.55 (0.44-0.70)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Comparison figures cited in the discussion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Egyptian medical students (cited study)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11% screened positive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Saudi Arabia / Jordan / Malaysia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40.3% / 24.8% / 15.8%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/ South Korea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20% (68/335) / 1.1%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Norway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2.4% and 1.1% (61,129 of 5,490,678)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Netherlands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1.0% and 2.5%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Community sample / Wisconsin students / Kessler 2006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4.7% (n = 720) / 4% (n = 448) / 4.4% (n = 154)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Ten-country range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1.2-7.3% (mean 3.4%, high-income 4.2%)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samples (Italy n = 197, US n = 799, New Zealand n = 213)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0-8.1%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Background figures cited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 children with ADHD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11.4% (about 1 in 9)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Persistence into adulthood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"Up to 60%" (introduction), "up to 90%" (discussion), also 40-50%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Adult comorbidity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least one other condition in 80%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Male:female ratio in prior literature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3:1 and 10:1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Sleep-ADHD OR in other medical-student studies</w:t>
            </w:r>
          </w:p>
        </w:tc>
        <w:tc>
          <w:tcPr>
            <w:tcW w:type="dxa" w:w="56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2.21 (p &lt; 0.001)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 Study flow (Figure 1)</w:t>
      </w:r>
    </w:p>
    <w:p>
      <w:pPr>
        <w:spacing w:after="100" w:line="264"/>
      </w:pPr>
      <w:r>
        <w:rPr>
          <w:rFonts w:ascii="Arial" w:cs="Arial" w:eastAsia="Arial" w:hAnsi="Arial"/>
          <w:sz w:val="19"/>
          <w:szCs w:val="19"/>
        </w:rPr>
        <w:t xml:space="preserve">Figure 1 is a flowchart of inclusion and exclusion: 3,136 responses received, 753 removed, 2,383 analysed. Figure 2 is a bar chart of screening-positive prevalence by region with 95% CI error bars; the article text gives no per-region values, so it is not redrawn here.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 Table 1: demographic characteristics</w:t>
      </w:r>
    </w:p>
    <w:p>
      <w:pPr>
        <w:spacing w:after="100" w:line="264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N = 2,383 (negative 1,479; positive 904). Percentages are column percentages. * p&lt;0.05, ** p&lt;0.01, *** p&lt;0.001. "Not legible" means the OR cell in the source repeats other values; the obese OR is taken from the article text.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250"/>
        <w:gridCol w:w="1250"/>
        <w:gridCol w:w="800"/>
        <w:gridCol w:w="1356"/>
        <w:gridCol w:w="1100"/>
      </w:tblGrid>
      <w:tr>
        <w:trPr>
          <w:tblHeader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n (%)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Negative n (%)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 n (%)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95% CI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Youth (15-24 years)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2313 (97)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1439 (97)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874 (97)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Young adults (25-44 years)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 (2.9)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 (2.7)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(3.3)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1.23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0.76-1.99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0.390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 (SD)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(2)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(2)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(2)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Median [Q1-Q3]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[19-22]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[19-22]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 [19-22]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Female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1538 (65)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919 (62)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619 (68)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Male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845 (35)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560 (38)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285 (32)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0.76**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0.63-0.90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Nationality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Egyptian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2321 (97)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1444 (98)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877 (97)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Non-Egyptian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 (2.6)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 (2.4)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 (3.0)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1.27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0.76-2.11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0.357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Marital status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Currently married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 (3.5)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 (3.5)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 (3.4)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Currently not married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2300 (97)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1427 (96)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873 (97)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1.03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0.66-1.63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0.911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Family income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Just enough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1423 (60)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877 (59)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546 (60)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More than enough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826 (35)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524 (35)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302 (33)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0.93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0.77-1.10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0.394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enough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134 (5.6)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 (5.3)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 (6.2)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1.15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0.80-1.65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0.437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Residence place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Rural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1109 (47)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695 (47)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414 (46)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Urban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1274 (53)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784 (53)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490 (54)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1.05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0.89-1.24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0.570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Greater Cairo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524 (22)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325 (22)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199 (22)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Alexandria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587 (25)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389 (26)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198 (22)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0.65-1.06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0.141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Delta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868 (36)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518 (35)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350 (39)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1.10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0.88-1.38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0.386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Suez Canal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154 (6.5)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 (6.2)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 (6.9)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1.10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0.76-1.59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Upper Egypt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250 (10)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155 (10)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 (11)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1.00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0.73-1.36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0.995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University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(85)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1271 (86)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755 (84)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Private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357 (15)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 (14)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149 (16)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1.21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0.96-1.51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0.109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College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Medical-related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1754 (74)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1066 (72)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688 (76)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medical-related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629 (26)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413 (28)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 (24)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0.81*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0.67-0.98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0.030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BMI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Underweight (&lt; 18.5)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 (2.3)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 (2.6)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 (1.9)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Normal (18.5 to &lt; 25)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1289 (54)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817 (55)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472 (52)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0.75-2.43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0.342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Overweight (25 to &lt; 30)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763 (32)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479 (32)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284 (31)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0.77-2.51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0.305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Obese (&gt;= 30)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275 (12)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 (9.7)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 (14)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2.09 (text)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1.14-3.95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 (SD)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25.0 (4.4)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24.7 (4.2)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25.4 (4.7)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Median [Q1-Q3]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24.4 [22.0-27.1]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24.2 [21.8-26.8]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24.5 [22.2-27.7]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1a: share screening-positive in each group (calculated)</w:t>
      </w:r>
    </w:p>
    <w:p>
      <w:pPr>
        <w:spacing w:after="120" w:before="100"/>
      </w:pPr>
      <w:r>
        <w:drawing>
          <wp:inline distT="0" distB="0" distL="0" distR="0">
            <wp:extent cx="5715000" cy="7448550"/>
            <wp:effectExtent t="0" r="0" b="0" l="0"/>
            <wp:docPr id="1" name="Bar chart of share screening-positive by demographic group" descr="Bar chart of share screening-positive by demographic group" title="Bar chart of share screening-positive by demographic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1b: odds ratios</w:t>
      </w:r>
    </w:p>
    <w:p>
      <w:pPr>
        <w:spacing w:after="120" w:before="100"/>
      </w:pPr>
      <w:r>
        <w:drawing>
          <wp:inline distT="0" distB="0" distL="0" distR="0">
            <wp:extent cx="5905500" cy="5724525"/>
            <wp:effectExtent t="0" r="0" b="0" l="0"/>
            <wp:docPr id="1" name="Forest plot of Table 1 odds ratios" descr="Forest plot of Table 1 odds ratios" title="Forest plot of Table 1 odds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Arial" w:cs="Arial" w:eastAsia="Arial" w:hAnsi="Arial"/>
          <w:sz w:val="18"/>
          <w:szCs w:val="18"/>
        </w:rPr>
        <w:t xml:space="preserve">Only male sex (OR 0.76), non-medical college (0.81) and obesity (2.09) have confidence intervals that exclude 1. The article gives no readable OR for normal and overweight BMI, so those are not plotted.</w:t>
      </w:r>
    </w:p>
    <w:p>
      <w:pPr>
        <w:pageBreakBefore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 Table 2: lifestyle and history</w:t>
      </w:r>
    </w:p>
    <w:p>
      <w:pPr>
        <w:spacing w:after="100" w:line="264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Same layout and significance marks as Table 1. The five rows from chronic illness down are misaligned in the source: the OR column holds the confidence interval and the p-value is blank, so no OR can be plotted for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250"/>
        <w:gridCol w:w="1250"/>
        <w:gridCol w:w="800"/>
        <w:gridCol w:w="1356"/>
        <w:gridCol w:w="1100"/>
      </w:tblGrid>
      <w:tr>
        <w:trPr>
          <w:tblHeader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n (%)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Negative n (%)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Positive n (%)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95% CI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Smoking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2299 (96)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1440 (97)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859 (95)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 (3.5)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 (2.6)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 (5.0)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1.93**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1.25-3.01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Regular exercise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1879 (79)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1111 (75)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768 (85)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504 (21)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368 (25)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 (15)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0.53***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0.43-0.66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Sleep disorders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1331 (56)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959 (65)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372 (41)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1052 (44)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520 (35)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532 (59)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2.64***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2.23-3.13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Average daily sleep, last month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6-8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1125 (47)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735 (50)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390 (43)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 6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785 (33)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462 (31)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323 (36)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1.32**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1.09-1.59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9-10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404 (17)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247 (17)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157 (17)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1.20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0.95-1.51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0.132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&gt; 10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 (2.9)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 (2.4)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 (3.8)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1.83*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1.12-2.99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 (SD)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7.28 (1.66)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7.30 (1.59)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7.25 (1.78)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Median [Q1-Q3]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7.00 [6.00-8.00]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7.00 [6.00-8.00]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7.00 [6.00-8.00]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hours on social media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Moderate (2-3 h)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868 (36)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552 (37)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316 (35)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 (0-1 h)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403 (17)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301 (20)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 (11)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0.59***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0.45-0.77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(4+ h)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1112 (47)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626 (42)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486 (54)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1.36**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1.13-1.63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 (SD)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(3)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(3)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(3)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Median [Q1-Q3]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[3-6]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[3-6]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[3-7]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hours on devices for other purposes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711 (30)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454 (31)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257 (28)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0-2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1003 (42)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648 (44)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355 (39)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0.97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0.79-1.18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0.749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4+ h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669 (28)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377 (25)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292 (32)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1.37**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1.10-1.70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 (SD)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5.0 (3.5)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4.8 (3.5)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5.3 (3.6)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Median [Q1-Q3]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4.0 [2.0-7.0]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4.0 [2.0-7.0]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5.0 [2.0-8.0]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Childhood trauma or impactful events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1002 (42)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706 (48)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296 (33)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1381 (58)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773 (52)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608 (67)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1.88***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1.58-2.23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Chronic illness (row misaligned in source)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2131 (89)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1358 (92)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773 (86)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252 (11)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121 (8.2)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 (14)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1.46-2.47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blank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Diagnosed mental health condition (row misaligned in source)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(85)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1318 (89)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708 (78)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357 (15)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161 (11)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196 (22)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1.81-2.85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blank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Family history of ADHD (row misaligned in source)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2164 (91)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1363 (92)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801 (89)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219 (9.2)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 (7.8)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 (11)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1.14-2.00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blank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Regular medication for chronic disease (row misaligned in source)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1935 (81)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1243 (84)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692 (77)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448 (19)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236 (16)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212 (23)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1.31-1.99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blank</w:t>
            </w:r>
          </w:p>
        </w:tc>
      </w:tr>
      <w:tr>
        <w:trPr>
          <w:cantSplit/>
        </w:trPr>
        <w:tc>
          <w:tcPr>
            <w:tcW w:type="dxa" w:w="9906"/>
            <w:gridSpan w:val="7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Addictive drugs or illicit stimulants (row misaligned in source)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2347 (98)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1464 (99)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883 (98)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 (1.5)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 (1.0)</w:t>
            </w:r>
          </w:p>
        </w:tc>
        <w:tc>
          <w:tcPr>
            <w:tcW w:type="dxa" w:w="12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(2.3)</w:t>
            </w:r>
          </w:p>
        </w:tc>
        <w:tc>
          <w:tcPr>
            <w:tcW w:type="dxa" w:w="8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legible</w:t>
            </w:r>
          </w:p>
        </w:tc>
        <w:tc>
          <w:tcPr>
            <w:tcW w:type="dxa" w:w="135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1.20-4.61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blank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2a: share screening-positive among students with each factor (calculated)</w:t>
      </w:r>
    </w:p>
    <w:p>
      <w:pPr>
        <w:spacing w:after="120" w:before="100"/>
      </w:pPr>
      <w:r>
        <w:drawing>
          <wp:inline distT="0" distB="0" distL="0" distR="0">
            <wp:extent cx="5905500" cy="4829175"/>
            <wp:effectExtent t="0" r="0" b="0" l="0"/>
            <wp:docPr id="1" name="Bar chart of share screening-positive by lifestyle factor" descr="Bar chart of share screening-positive by lifestyle factor" title="Bar chart of share screening-positive by lifestyle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2b: odds ratios</w:t>
      </w:r>
    </w:p>
    <w:p>
      <w:pPr>
        <w:spacing w:after="120" w:before="100"/>
      </w:pPr>
      <w:r>
        <w:drawing>
          <wp:inline distT="0" distB="0" distL="0" distR="0">
            <wp:extent cx="5905500" cy="4829175"/>
            <wp:effectExtent t="0" r="0" b="0" l="0"/>
            <wp:docPr id="1" name="Forest plot of Table 2 odds ratios" descr="Forest plot of Table 2 odds ratios" title="Forest plot of Table 2 odds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Arial" w:cs="Arial" w:eastAsia="Arial" w:hAnsi="Arial"/>
          <w:sz w:val="18"/>
          <w:szCs w:val="18"/>
        </w:rPr>
        <w:t xml:space="preserve">Sleep disorders (OR 2.64), childhood trauma (1.88), smoking (1.93) and more than 10 h sleep (1.83) have the largest ORs. Regular exercise (0.53) and 0-1 h daily social media (0.59) are lower. Note that the article's abstract quotes the adjusted OR for sleep disorders (2.12), while this table shows the unadjusted 2.64.</w:t>
      </w:r>
    </w:p>
    <w:p>
      <w:pPr>
        <w:pageBreakBefore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 Table 3: ASRS item responses</w:t>
      </w:r>
    </w:p>
    <w:p>
      <w:pPr>
        <w:spacing w:after="100" w:line="264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N = 2,383 per item. Items 1-6 are Part A (screening); 7-18 are Part B. Item wording is paraphrased, not verbatim. The last column (Often + Very often) is calculated.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50"/>
        <w:gridCol w:w="1050"/>
        <w:gridCol w:w="1100"/>
        <w:gridCol w:w="1050"/>
        <w:gridCol w:w="1150"/>
        <w:gridCol w:w="1006"/>
      </w:tblGrid>
      <w:tr>
        <w:trPr>
          <w:tblHeader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Never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Rarely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Sometimes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Often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Very often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Often + Very often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Difficulty finishing details of projects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16.5%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18.5%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37.2%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16.8%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11.0%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27.8%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Difficulty organizing tasks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12.4%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23.7%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35.6%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17.6%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10.7%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28.3%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Forgetting appointments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13.8%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31.3%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30.5%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13.8%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10.6%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24.4%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Avoiding or delaying complex tasks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20.5%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20.8%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15.1%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35.9%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Fidgeting or squirming when sitting long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9.4%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19.9%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26.1%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46.0%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Feeling overly active or compelled to do things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26.3%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31.6%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13.8%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8.9%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22.7%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Careless mistakes on boring or difficult tasks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18.1%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27.8%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13.2%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9.5%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22.7%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Difficulty focusing on repetitive work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16.1%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32.4%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25.6%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18.9%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44.5%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 Trouble concentrating in conversations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17.5%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31.1%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13.3%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8.9%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22.2%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 Losing or misplacing things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13.1%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30.0%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31.2%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14.5%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11.2%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25.7%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 Easily distracted by noise or activity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5.9%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14.7%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30.5%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26.9%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21.9%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48.8%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 Leaving seat when expected to stay seated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28.8%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32.6%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8.9%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5.4%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14.3%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 Feeling restless or fidgety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4.7%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16.6%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23.2%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44.3%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 Difficulty relaxing in free time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19.8%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29.8%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13.5%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9.6%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23.1%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 Talking excessively in social settings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12.1%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25.1%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32.6%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17.2%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13.0%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30.2%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 Interrupting others in conversation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31.3%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30.7%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12.9%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8.0%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20.9%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 Trouble waiting my turn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13.1%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24.5%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30.3%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18.7%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13.4%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32.1%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 Interrupting others while they are busy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20.9%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37.6%</w:t>
            </w:r>
          </w:p>
        </w:tc>
        <w:tc>
          <w:tcPr>
            <w:tcW w:type="dxa" w:w="11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24.4%</w:t>
            </w:r>
          </w:p>
        </w:tc>
        <w:tc>
          <w:tcPr>
            <w:tcW w:type="dxa" w:w="10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10.4%</w:t>
            </w:r>
          </w:p>
        </w:tc>
        <w:tc>
          <w:tcPr>
            <w:tcW w:type="dxa" w:w="115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6.8%</w:t>
            </w:r>
          </w:p>
        </w:tc>
        <w:tc>
          <w:tcPr>
            <w:tcW w:type="dxa" w:w="10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17.2%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3a: response profile for every item</w:t>
      </w:r>
    </w:p>
    <w:p>
      <w:pPr>
        <w:spacing w:after="120" w:before="100"/>
      </w:pPr>
      <w:r>
        <w:drawing>
          <wp:inline distT="0" distB="0" distL="0" distR="0">
            <wp:extent cx="5715000" cy="5543550"/>
            <wp:effectExtent t="0" r="0" b="0" l="0"/>
            <wp:docPr id="1" name="Heatmap of ASRS item responses" descr="Heatmap of ASRS item responses" title="Heatmap of ASRS item respon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3b: items ranked by Often + Very often</w:t>
      </w:r>
    </w:p>
    <w:p>
      <w:pPr>
        <w:spacing w:after="120" w:before="100"/>
      </w:pPr>
      <w:r>
        <w:drawing>
          <wp:inline distT="0" distB="0" distL="0" distR="0">
            <wp:extent cx="5715000" cy="4676775"/>
            <wp:effectExtent t="0" r="0" b="0" l="0"/>
            <wp:docPr id="1" name="Ranked bar chart of frequent ASRS symptoms" descr="Ranked bar chart of frequent ASRS symptoms" title="Ranked bar chart of frequent ASRS sympt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Arial" w:cs="Arial" w:eastAsia="Arial" w:hAnsi="Arial"/>
          <w:sz w:val="18"/>
          <w:szCs w:val="18"/>
        </w:rPr>
        <w:t xml:space="preserve">Being easily distracted by noise or activity (48.8%), fidgeting when seated (46.0%), difficulty focusing on repetitive work (44.5%) and feeling restless (44.3%) were the most frequent. Screening-positive means scoring at least 4 on Part A; Part B was not used for the classification.</w:t>
      </w:r>
    </w:p>
    <w:p>
      <w:pPr>
        <w:pageBreakBefore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 Table 4: multivariable logistic regression</w:t>
      </w:r>
    </w:p>
    <w:p>
      <w:pPr>
        <w:spacing w:after="100" w:line="264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Outcome: ASRS screening-positive. The article labels the estimates "OR"; they come from the multivariable model, so they are adjusted. * p&lt;0.05, ** p&lt;0.01, *** p&lt;0.001.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1300"/>
        <w:gridCol w:w="1700"/>
        <w:gridCol w:w="1306"/>
      </w:tblGrid>
      <w:tr>
        <w:trPr>
          <w:tblHeader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Adjusted OR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95% CI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Intercept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0.32***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0.25-0.40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Male (ref: female)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0.99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0.82-1.20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0.949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Family history of ADHD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1.25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0.93-1.69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0.136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Diagnosed mental health condition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1.71***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1.34-2.18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Regular exercise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0.55***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0.44-0.70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Sleep disorders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2.12***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1.77-2.55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daily sleep (ref: 6-8 h)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 6 h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1.04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0.85-1.28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0.681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9-10 h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0.96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0.74-1.23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&gt; 10 h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1.30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0.77-2.18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0.330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Social media (ref: 2-3 h)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0-1 h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0.62***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0.47-0.81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4+ h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1.26*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1.04-1.53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0.017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Childhood trauma or impactful events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1.42***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1.18-1.71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Chronic illness</w:t>
            </w:r>
          </w:p>
        </w:tc>
        <w:tc>
          <w:tcPr>
            <w:tcW w:type="dxa" w:w="2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1.53**</w:t>
            </w:r>
          </w:p>
        </w:tc>
        <w:tc>
          <w:tcPr>
            <w:tcW w:type="dxa" w:w="1700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1.15-2.02</w:t>
            </w:r>
          </w:p>
        </w:tc>
        <w:tc>
          <w:tcPr>
            <w:tcW w:type="dxa" w:w="1306"/>
            <w:tcBorders>
              <w:top w:val="single" w:color="C9CBD0" w:sz="4"/>
              <w:left w:val="single" w:color="C9CBD0" w:sz="4"/>
              <w:bottom w:val="single" w:color="C9CBD0" w:sz="4"/>
              <w:right w:val="single" w:color="C9CB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0.003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Chart 4: adjusted odds ratios</w:t>
      </w:r>
    </w:p>
    <w:p>
      <w:pPr>
        <w:spacing w:after="120" w:before="100"/>
      </w:pPr>
      <w:r>
        <w:drawing>
          <wp:inline distT="0" distB="0" distL="0" distR="0">
            <wp:extent cx="5905500" cy="4648200"/>
            <wp:effectExtent t="0" r="0" b="0" l="0"/>
            <wp:docPr id="1" name="Forest plot of Table 4 adjusted odds ratios" descr="Forest plot of Table 4 adjusted odds ratios" title="Forest plot of Table 4 adjusted odds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Arial" w:cs="Arial" w:eastAsia="Arial" w:hAnsi="Arial"/>
          <w:sz w:val="18"/>
          <w:szCs w:val="18"/>
        </w:rPr>
        <w:t xml:space="preserve">After adjustment, mental health diagnosis (1.71), sleep disorders (2.12), childhood trauma (1.42), chronic illness (1.53) and 4+ h of social media (1.26) stay significantly higher, and regular exercise (0.55) and 0-1 h of social media (0.62) stay lower. Male sex, family history, and sleep duration are not significant. Smoking and obesity, highlighted in the abstract, are not in this final model.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 Inconsistencies found in the source</w:t>
      </w:r>
    </w:p>
    <w:p>
      <w:pPr>
        <w:spacing w:after="100" w:line="264"/>
      </w:pPr>
      <w:r>
        <w:rPr>
          <w:rFonts w:ascii="Arial" w:cs="Arial" w:eastAsia="Arial" w:hAnsi="Arial"/>
          <w:sz w:val="19"/>
          <w:szCs w:val="19"/>
        </w:rPr>
        <w:t xml:space="preserve">Check these before you cite the article: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discussion gives 2,689 participants, while the results report 2,383.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discussion gives 32.8% male; Table 1 gives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discussion mentions a cutoff of 14 or more, while the methods score at least 4 on Part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results text contains a placeholder: "[37% or your exact number]".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Table 1 labels the youth age group "15-24 years", but participants had to be 18 or 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required sample (2,388) is slightly larger than the analysed sample (2,383).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Five Table 2 rows are misaligned, and the BMI ORs in Table 1 are not legible.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authors say results should not be read as diagnostic prevalence, yet 37.9% is the headline figure. It is a screening-positive rate.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ADHD in Egyptian university students: extracted figures, tables and charts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5147a4a60ac74ef13cccb4e2f47123adfcf6eb.png"/><Relationship Id="rId9" Type="http://schemas.openxmlformats.org/officeDocument/2006/relationships/image" Target="media/84ce1c9b5434a2353d63d18fe82112044f2a31d2.png"/><Relationship Id="rId10" Type="http://schemas.openxmlformats.org/officeDocument/2006/relationships/image" Target="media/02a5ee57c9c8953f277ec5a18cd95b0c7f35f1d7.png"/><Relationship Id="rId11" Type="http://schemas.openxmlformats.org/officeDocument/2006/relationships/image" Target="media/917a635ba6df858c13593a9cdd3c0afb1cd3bb93.png"/><Relationship Id="rId12" Type="http://schemas.openxmlformats.org/officeDocument/2006/relationships/image" Target="media/cde7ef2db047fd0cc38936695a2ff4111a5d550d.png"/><Relationship Id="rId13" Type="http://schemas.openxmlformats.org/officeDocument/2006/relationships/image" Target="media/79b4618cc51670539be9fbd72898a03cfdc9506b.png"/><Relationship Id="rId14" Type="http://schemas.openxmlformats.org/officeDocument/2006/relationships/image" Target="media/75439611b0d6bb7625e3e794b4b4917c98b722e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2026-10-09T02:32:48.596Z</dcterms:created>
  <dcterms:modified xsi:type="dcterms:W3CDTF">2026-10-09T02:32:48.596Z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