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F766E"/>
          <w:sz w:val="36"/>
          <w:szCs w:val="36"/>
        </w:rPr>
        <w:t xml:space="preserve">ADHD in U.S. Children: Figures and Statistics</w:t>
      </w:r>
    </w:p>
    <w:p>
      <w:pPr>
        <w:spacing w:after="100" w:line="264"/>
      </w:pPr>
      <w:r>
        <w:rPr>
          <w:rFonts w:ascii="Arial" w:cs="Arial" w:eastAsia="Arial" w:hAnsi="Arial"/>
          <w:color w:val="6B7280"/>
          <w:sz w:val="18"/>
          <w:szCs w:val="18"/>
        </w:rPr>
        <w:t xml:space="preserve">Extracted from CDC, "Data on ADHD in Children" (page last reviewed July 8, 2026; last updated July 7, 2026). https://www.cdc.gov/adhd/data/index.html</w:t>
      </w:r>
    </w:p>
    <w:p>
      <w:pPr>
        <w:spacing w:after="160" w:line="264"/>
      </w:pPr>
      <w:r>
        <w:rPr>
          <w:rFonts w:ascii="Arial" w:cs="Arial" w:eastAsia="Arial" w:hAnsi="Arial"/>
          <w:color w:val="6B7280"/>
          <w:sz w:val="18"/>
          <w:szCs w:val="18"/>
        </w:rPr>
        <w:t xml:space="preserve">Wording is paraphrased from the page. Bracketed numbers [1]-[4] are the reference numbers CDC uses on the page. Check each number against the live page before citing it in your project.</w:t>
      </w:r>
    </w:p>
    <w:p>
      <w:pPr>
        <w:pStyle w:val="Heading1"/>
        <w:spacing w:after="120" w:before="280"/>
      </w:pPr>
      <w:r>
        <w:rPr>
          <w:rFonts w:ascii="Arial" w:cs="Arial" w:eastAsia="Arial" w:hAnsi="Arial"/>
          <w:b/>
          <w:bCs/>
          <w:color w:val="111827"/>
          <w:sz w:val="28"/>
          <w:szCs w:val="28"/>
        </w:rPr>
        <w:t xml:space="preserve">1. Diagnosis (prevalence)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3426"/>
      </w:tblGrid>
      <w:tr>
        <w:trPr>
          <w:tblHeader/>
        </w:trPr>
        <w:tc>
          <w:tcPr>
            <w:tcW w:type="dxa" w:w="3900"/>
            <w:tcBorders>
              <w:top w:val="single" w:color="C9CBD0" w:sz="4"/>
              <w:left w:val="single" w:color="C9CBD0" w:sz="4"/>
              <w:bottom w:val="single" w:color="C9CBD0" w:sz="4"/>
              <w:right w:val="single" w:color="C9CBD0" w:sz="4"/>
            </w:tcBorders>
            <w:shd w:fill="E5E7EB" w:color="auto" w:val="clear"/>
            <w:tcMar>
              <w:top w:type="dxa" w:w="60"/>
              <w:left w:type="dxa" w:w="100"/>
              <w:bottom w:type="dxa" w:w="60"/>
              <w:right w:type="dxa" w:w="100"/>
            </w:tcMar>
          </w:tcPr>
          <w:p>
            <w:pPr>
              <w:spacing w:after="20"/>
            </w:pPr>
            <w:r>
              <w:rPr>
                <w:rFonts w:ascii="Arial" w:cs="Arial" w:eastAsia="Arial" w:hAnsi="Arial"/>
                <w:b/>
                <w:bCs/>
                <w:sz w:val="18"/>
                <w:szCs w:val="18"/>
              </w:rPr>
              <w:t xml:space="preserve">Measure</w:t>
            </w:r>
          </w:p>
        </w:tc>
        <w:tc>
          <w:tcPr>
            <w:tcW w:type="dxa" w:w="1700"/>
            <w:tcBorders>
              <w:top w:val="single" w:color="C9CBD0" w:sz="4"/>
              <w:left w:val="single" w:color="C9CBD0" w:sz="4"/>
              <w:bottom w:val="single" w:color="C9CBD0" w:sz="4"/>
              <w:right w:val="single" w:color="C9CBD0" w:sz="4"/>
            </w:tcBorders>
            <w:shd w:fill="E5E7EB" w:color="auto" w:val="clear"/>
            <w:tcMar>
              <w:top w:type="dxa" w:w="60"/>
              <w:left w:type="dxa" w:w="100"/>
              <w:bottom w:type="dxa" w:w="60"/>
              <w:right w:type="dxa" w:w="100"/>
            </w:tcMar>
          </w:tcPr>
          <w:p>
            <w:pPr>
              <w:spacing w:after="20"/>
            </w:pPr>
            <w:r>
              <w:rPr>
                <w:rFonts w:ascii="Arial" w:cs="Arial" w:eastAsia="Arial" w:hAnsi="Arial"/>
                <w:b/>
                <w:bCs/>
                <w:sz w:val="18"/>
                <w:szCs w:val="18"/>
              </w:rPr>
              <w:t xml:space="preserve">Figure</w:t>
            </w:r>
          </w:p>
        </w:tc>
        <w:tc>
          <w:tcPr>
            <w:tcW w:type="dxa" w:w="3426"/>
            <w:tcBorders>
              <w:top w:val="single" w:color="C9CBD0" w:sz="4"/>
              <w:left w:val="single" w:color="C9CBD0" w:sz="4"/>
              <w:bottom w:val="single" w:color="C9CBD0" w:sz="4"/>
              <w:right w:val="single" w:color="C9CBD0" w:sz="4"/>
            </w:tcBorders>
            <w:shd w:fill="E5E7EB" w:color="auto" w:val="clear"/>
            <w:tcMar>
              <w:top w:type="dxa" w:w="60"/>
              <w:left w:type="dxa" w:w="100"/>
              <w:bottom w:type="dxa" w:w="60"/>
              <w:right w:type="dxa" w:w="100"/>
            </w:tcMar>
          </w:tcPr>
          <w:p>
            <w:pPr>
              <w:spacing w:after="20"/>
            </w:pPr>
            <w:r>
              <w:rPr>
                <w:rFonts w:ascii="Arial" w:cs="Arial" w:eastAsia="Arial" w:hAnsi="Arial"/>
                <w:b/>
                <w:bCs/>
                <w:sz w:val="18"/>
                <w:szCs w:val="18"/>
              </w:rPr>
              <w:t xml:space="preserve">Source / note</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Children aged 3-17 with a current ADHD diagnosis</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About 7 million (11.7%)</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National Survey of Children's Health (NSCH) 2024, HRSA; national parent survey</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Boys</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13%</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2022-2023 estimates [1]</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Girls</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7%</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2022-2023 [1]</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Black children</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11%</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2022-2023 [1]</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White children</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11%</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2022-2023 [1]</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Asian children</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3%</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2022-2023 [1]</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American Indian / Alaska Native children</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8%</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Higher than Asian children [1]</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Native Hawaiian / Pacific Islander children</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About 6%</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Non-Hispanic children</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11%</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 2]</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Hispanic children</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8%</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 2]</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Children with moderate or severe ADHD</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About 6 in 10</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 severe ADHD was more common with co-occurring conditions</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"Ever" diagnosed, range across states</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6% to 17%</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State estimates, 2020-2023</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"Current" diagnosis, range across states</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6% to 15%</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State estimates, 2020-2023</w:t>
            </w:r>
          </w:p>
        </w:tc>
      </w:tr>
    </w:tbl>
    <w:p>
      <w:pPr>
        <w:pStyle w:val="Heading1"/>
        <w:spacing w:after="120" w:before="280"/>
      </w:pPr>
      <w:r>
        <w:rPr>
          <w:rFonts w:ascii="Arial" w:cs="Arial" w:eastAsia="Arial" w:hAnsi="Arial"/>
          <w:b/>
          <w:bCs/>
          <w:color w:val="111827"/>
          <w:sz w:val="28"/>
          <w:szCs w:val="28"/>
        </w:rPr>
        <w:t xml:space="preserve">2. Other concerns and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3426"/>
      </w:tblGrid>
      <w:tr>
        <w:trPr>
          <w:tblHeader/>
        </w:trPr>
        <w:tc>
          <w:tcPr>
            <w:tcW w:type="dxa" w:w="3900"/>
            <w:tcBorders>
              <w:top w:val="single" w:color="C9CBD0" w:sz="4"/>
              <w:left w:val="single" w:color="C9CBD0" w:sz="4"/>
              <w:bottom w:val="single" w:color="C9CBD0" w:sz="4"/>
              <w:right w:val="single" w:color="C9CBD0" w:sz="4"/>
            </w:tcBorders>
            <w:shd w:fill="E5E7EB" w:color="auto" w:val="clear"/>
            <w:tcMar>
              <w:top w:type="dxa" w:w="60"/>
              <w:left w:type="dxa" w:w="100"/>
              <w:bottom w:type="dxa" w:w="60"/>
              <w:right w:type="dxa" w:w="100"/>
            </w:tcMar>
          </w:tcPr>
          <w:p>
            <w:pPr>
              <w:spacing w:after="20"/>
            </w:pPr>
            <w:r>
              <w:rPr>
                <w:rFonts w:ascii="Arial" w:cs="Arial" w:eastAsia="Arial" w:hAnsi="Arial"/>
                <w:b/>
                <w:bCs/>
                <w:sz w:val="18"/>
                <w:szCs w:val="18"/>
              </w:rPr>
              <w:t xml:space="preserve">Measure</w:t>
            </w:r>
          </w:p>
        </w:tc>
        <w:tc>
          <w:tcPr>
            <w:tcW w:type="dxa" w:w="1700"/>
            <w:tcBorders>
              <w:top w:val="single" w:color="C9CBD0" w:sz="4"/>
              <w:left w:val="single" w:color="C9CBD0" w:sz="4"/>
              <w:bottom w:val="single" w:color="C9CBD0" w:sz="4"/>
              <w:right w:val="single" w:color="C9CBD0" w:sz="4"/>
            </w:tcBorders>
            <w:shd w:fill="E5E7EB" w:color="auto" w:val="clear"/>
            <w:tcMar>
              <w:top w:type="dxa" w:w="60"/>
              <w:left w:type="dxa" w:w="100"/>
              <w:bottom w:type="dxa" w:w="60"/>
              <w:right w:type="dxa" w:w="100"/>
            </w:tcMar>
          </w:tcPr>
          <w:p>
            <w:pPr>
              <w:spacing w:after="20"/>
            </w:pPr>
            <w:r>
              <w:rPr>
                <w:rFonts w:ascii="Arial" w:cs="Arial" w:eastAsia="Arial" w:hAnsi="Arial"/>
                <w:b/>
                <w:bCs/>
                <w:sz w:val="18"/>
                <w:szCs w:val="18"/>
              </w:rPr>
              <w:t xml:space="preserve">Figure</w:t>
            </w:r>
          </w:p>
        </w:tc>
        <w:tc>
          <w:tcPr>
            <w:tcW w:type="dxa" w:w="3426"/>
            <w:tcBorders>
              <w:top w:val="single" w:color="C9CBD0" w:sz="4"/>
              <w:left w:val="single" w:color="C9CBD0" w:sz="4"/>
              <w:bottom w:val="single" w:color="C9CBD0" w:sz="4"/>
              <w:right w:val="single" w:color="C9CBD0" w:sz="4"/>
            </w:tcBorders>
            <w:shd w:fill="E5E7EB" w:color="auto" w:val="clear"/>
            <w:tcMar>
              <w:top w:type="dxa" w:w="60"/>
              <w:left w:type="dxa" w:w="100"/>
              <w:bottom w:type="dxa" w:w="60"/>
              <w:right w:type="dxa" w:w="100"/>
            </w:tcMar>
          </w:tcPr>
          <w:p>
            <w:pPr>
              <w:spacing w:after="20"/>
            </w:pPr>
            <w:r>
              <w:rPr>
                <w:rFonts w:ascii="Arial" w:cs="Arial" w:eastAsia="Arial" w:hAnsi="Arial"/>
                <w:b/>
                <w:bCs/>
                <w:sz w:val="18"/>
                <w:szCs w:val="18"/>
              </w:rPr>
              <w:t xml:space="preserve">Source / note</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Children with ADHD who had at least one other condition</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Nearly 78%</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Had a behavior or conduct problem</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Almost half</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Had anxiety</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About 4 in 10</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Depression, autism spectrum disorder, Tourette syndrome</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Named, no figures</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Listed as conditions that can co-occur</w:t>
            </w:r>
          </w:p>
        </w:tc>
      </w:tr>
    </w:tbl>
    <w:p>
      <w:pPr>
        <w:pStyle w:val="Heading1"/>
        <w:spacing w:after="120" w:before="280"/>
      </w:pPr>
      <w:r>
        <w:rPr>
          <w:rFonts w:ascii="Arial" w:cs="Arial" w:eastAsia="Arial" w:hAnsi="Arial"/>
          <w:b/>
          <w:bCs/>
          <w:color w:val="111827"/>
          <w:sz w:val="28"/>
          <w:szCs w:val="28"/>
        </w:rPr>
        <w:t xml:space="preserve">3. Treatment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3426"/>
      </w:tblGrid>
      <w:tr>
        <w:trPr>
          <w:tblHeader/>
        </w:trPr>
        <w:tc>
          <w:tcPr>
            <w:tcW w:type="dxa" w:w="3900"/>
            <w:tcBorders>
              <w:top w:val="single" w:color="C9CBD0" w:sz="4"/>
              <w:left w:val="single" w:color="C9CBD0" w:sz="4"/>
              <w:bottom w:val="single" w:color="C9CBD0" w:sz="4"/>
              <w:right w:val="single" w:color="C9CBD0" w:sz="4"/>
            </w:tcBorders>
            <w:shd w:fill="E5E7EB" w:color="auto" w:val="clear"/>
            <w:tcMar>
              <w:top w:type="dxa" w:w="60"/>
              <w:left w:type="dxa" w:w="100"/>
              <w:bottom w:type="dxa" w:w="60"/>
              <w:right w:type="dxa" w:w="100"/>
            </w:tcMar>
          </w:tcPr>
          <w:p>
            <w:pPr>
              <w:spacing w:after="20"/>
            </w:pPr>
            <w:r>
              <w:rPr>
                <w:rFonts w:ascii="Arial" w:cs="Arial" w:eastAsia="Arial" w:hAnsi="Arial"/>
                <w:b/>
                <w:bCs/>
                <w:sz w:val="18"/>
                <w:szCs w:val="18"/>
              </w:rPr>
              <w:t xml:space="preserve">Measure</w:t>
            </w:r>
          </w:p>
        </w:tc>
        <w:tc>
          <w:tcPr>
            <w:tcW w:type="dxa" w:w="1700"/>
            <w:tcBorders>
              <w:top w:val="single" w:color="C9CBD0" w:sz="4"/>
              <w:left w:val="single" w:color="C9CBD0" w:sz="4"/>
              <w:bottom w:val="single" w:color="C9CBD0" w:sz="4"/>
              <w:right w:val="single" w:color="C9CBD0" w:sz="4"/>
            </w:tcBorders>
            <w:shd w:fill="E5E7EB" w:color="auto" w:val="clear"/>
            <w:tcMar>
              <w:top w:type="dxa" w:w="60"/>
              <w:left w:type="dxa" w:w="100"/>
              <w:bottom w:type="dxa" w:w="60"/>
              <w:right w:type="dxa" w:w="100"/>
            </w:tcMar>
          </w:tcPr>
          <w:p>
            <w:pPr>
              <w:spacing w:after="20"/>
            </w:pPr>
            <w:r>
              <w:rPr>
                <w:rFonts w:ascii="Arial" w:cs="Arial" w:eastAsia="Arial" w:hAnsi="Arial"/>
                <w:b/>
                <w:bCs/>
                <w:sz w:val="18"/>
                <w:szCs w:val="18"/>
              </w:rPr>
              <w:t xml:space="preserve">Figure</w:t>
            </w:r>
          </w:p>
        </w:tc>
        <w:tc>
          <w:tcPr>
            <w:tcW w:type="dxa" w:w="3426"/>
            <w:tcBorders>
              <w:top w:val="single" w:color="C9CBD0" w:sz="4"/>
              <w:left w:val="single" w:color="C9CBD0" w:sz="4"/>
              <w:bottom w:val="single" w:color="C9CBD0" w:sz="4"/>
              <w:right w:val="single" w:color="C9CBD0" w:sz="4"/>
            </w:tcBorders>
            <w:shd w:fill="E5E7EB" w:color="auto" w:val="clear"/>
            <w:tcMar>
              <w:top w:type="dxa" w:w="60"/>
              <w:left w:type="dxa" w:w="100"/>
              <w:bottom w:type="dxa" w:w="60"/>
              <w:right w:type="dxa" w:w="100"/>
            </w:tcMar>
          </w:tcPr>
          <w:p>
            <w:pPr>
              <w:spacing w:after="20"/>
            </w:pPr>
            <w:r>
              <w:rPr>
                <w:rFonts w:ascii="Arial" w:cs="Arial" w:eastAsia="Arial" w:hAnsi="Arial"/>
                <w:b/>
                <w:bCs/>
                <w:sz w:val="18"/>
                <w:szCs w:val="18"/>
              </w:rPr>
              <w:t xml:space="preserve">Source / note</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Children with ADHD not receiving ADHD-specific treatment, 2022</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Nearly 2 million</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 3]</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Received neither medication nor behavior treatment, 2022</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About 30%</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Compared with 23% in 2016 [2, 3]</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Received both medication and behavior treatment</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About 32%</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 3]</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Children receiving behavior treatment</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2.5 million (2016) to 2.8 million (2022)</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[2, 3]</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Any ADHD treatment among children with current ADHD, range across states</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58% to 80%</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State estimates, 2020-2023</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Behavior therapy, range across states</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36% to 57%</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State estimates, 2020-2023</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Medication, range across states</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38% to 72%</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State estimates, 2020-2023</w:t>
            </w:r>
          </w:p>
        </w:tc>
      </w:tr>
    </w:tbl>
    <w:p>
      <w:pPr>
        <w:pStyle w:val="Heading1"/>
        <w:spacing w:after="120" w:before="280"/>
      </w:pPr>
      <w:r>
        <w:rPr>
          <w:rFonts w:ascii="Arial" w:cs="Arial" w:eastAsia="Arial" w:hAnsi="Arial"/>
          <w:b/>
          <w:bCs/>
          <w:color w:val="111827"/>
          <w:sz w:val="28"/>
          <w:szCs w:val="28"/>
        </w:rPr>
        <w:t xml:space="preserve">4. Who provides care (claims data, 2021)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3426"/>
      </w:tblGrid>
      <w:tr>
        <w:trPr>
          <w:tblHeader/>
        </w:trPr>
        <w:tc>
          <w:tcPr>
            <w:tcW w:type="dxa" w:w="3900"/>
            <w:tcBorders>
              <w:top w:val="single" w:color="C9CBD0" w:sz="4"/>
              <w:left w:val="single" w:color="C9CBD0" w:sz="4"/>
              <w:bottom w:val="single" w:color="C9CBD0" w:sz="4"/>
              <w:right w:val="single" w:color="C9CBD0" w:sz="4"/>
            </w:tcBorders>
            <w:shd w:fill="E5E7EB" w:color="auto" w:val="clear"/>
            <w:tcMar>
              <w:top w:type="dxa" w:w="60"/>
              <w:left w:type="dxa" w:w="100"/>
              <w:bottom w:type="dxa" w:w="60"/>
              <w:right w:type="dxa" w:w="100"/>
            </w:tcMar>
          </w:tcPr>
          <w:p>
            <w:pPr>
              <w:spacing w:after="20"/>
            </w:pPr>
            <w:r>
              <w:rPr>
                <w:rFonts w:ascii="Arial" w:cs="Arial" w:eastAsia="Arial" w:hAnsi="Arial"/>
                <w:b/>
                <w:bCs/>
                <w:sz w:val="18"/>
                <w:szCs w:val="18"/>
              </w:rPr>
              <w:t xml:space="preserve">Measure</w:t>
            </w:r>
          </w:p>
        </w:tc>
        <w:tc>
          <w:tcPr>
            <w:tcW w:type="dxa" w:w="1700"/>
            <w:tcBorders>
              <w:top w:val="single" w:color="C9CBD0" w:sz="4"/>
              <w:left w:val="single" w:color="C9CBD0" w:sz="4"/>
              <w:bottom w:val="single" w:color="C9CBD0" w:sz="4"/>
              <w:right w:val="single" w:color="C9CBD0" w:sz="4"/>
            </w:tcBorders>
            <w:shd w:fill="E5E7EB" w:color="auto" w:val="clear"/>
            <w:tcMar>
              <w:top w:type="dxa" w:w="60"/>
              <w:left w:type="dxa" w:w="100"/>
              <w:bottom w:type="dxa" w:w="60"/>
              <w:right w:type="dxa" w:w="100"/>
            </w:tcMar>
          </w:tcPr>
          <w:p>
            <w:pPr>
              <w:spacing w:after="20"/>
            </w:pPr>
            <w:r>
              <w:rPr>
                <w:rFonts w:ascii="Arial" w:cs="Arial" w:eastAsia="Arial" w:hAnsi="Arial"/>
                <w:b/>
                <w:bCs/>
                <w:sz w:val="18"/>
                <w:szCs w:val="18"/>
              </w:rPr>
              <w:t xml:space="preserve">Figure</w:t>
            </w:r>
          </w:p>
        </w:tc>
        <w:tc>
          <w:tcPr>
            <w:tcW w:type="dxa" w:w="3426"/>
            <w:tcBorders>
              <w:top w:val="single" w:color="C9CBD0" w:sz="4"/>
              <w:left w:val="single" w:color="C9CBD0" w:sz="4"/>
              <w:bottom w:val="single" w:color="C9CBD0" w:sz="4"/>
              <w:right w:val="single" w:color="C9CBD0" w:sz="4"/>
            </w:tcBorders>
            <w:shd w:fill="E5E7EB" w:color="auto" w:val="clear"/>
            <w:tcMar>
              <w:top w:type="dxa" w:w="60"/>
              <w:left w:type="dxa" w:w="100"/>
              <w:bottom w:type="dxa" w:w="60"/>
              <w:right w:type="dxa" w:w="100"/>
            </w:tcMar>
          </w:tcPr>
          <w:p>
            <w:pPr>
              <w:spacing w:after="20"/>
            </w:pPr>
            <w:r>
              <w:rPr>
                <w:rFonts w:ascii="Arial" w:cs="Arial" w:eastAsia="Arial" w:hAnsi="Arial"/>
                <w:b/>
                <w:bCs/>
                <w:sz w:val="18"/>
                <w:szCs w:val="18"/>
              </w:rPr>
              <w:t xml:space="preserve">Source / note</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Privately insured children cared for by a pediatrician</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Almost half</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[4]</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Medicaid children cared for by a pediatrician</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About 1 in 4</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[4]</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Medicaid children cared for by nurse practitioners / psychiatric nurses</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Nearly 1 in 5</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[4]</w:t>
            </w:r>
          </w:p>
        </w:tc>
      </w:tr>
      <w:tr>
        <w:trPr>
          <w:cantSplit/>
        </w:trPr>
        <w:tc>
          <w:tcPr>
            <w:tcW w:type="dxa" w:w="39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Medicaid children seeing a psychologist or psychiatrist</w:t>
            </w:r>
          </w:p>
        </w:tc>
        <w:tc>
          <w:tcPr>
            <w:tcW w:type="dxa" w:w="1700"/>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bCs/>
                <w:sz w:val="18"/>
                <w:szCs w:val="18"/>
              </w:rPr>
              <w:t xml:space="preserve">Less likely than others</w:t>
            </w:r>
          </w:p>
        </w:tc>
        <w:tc>
          <w:tcPr>
            <w:tcW w:type="dxa" w:w="3426"/>
            <w:tcBorders>
              <w:top w:val="single" w:color="C9CBD0" w:sz="4"/>
              <w:left w:val="single" w:color="C9CBD0" w:sz="4"/>
              <w:bottom w:val="single" w:color="C9CBD0" w:sz="4"/>
              <w:right w:val="single" w:color="C9CBD0"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No figure given</w:t>
            </w:r>
          </w:p>
        </w:tc>
      </w:tr>
    </w:tbl>
    <w:p>
      <w:pPr>
        <w:pStyle w:val="Heading1"/>
        <w:spacing w:after="120" w:before="280"/>
      </w:pPr>
      <w:r>
        <w:rPr>
          <w:rFonts w:ascii="Arial" w:cs="Arial" w:eastAsia="Arial" w:hAnsi="Arial"/>
          <w:b/>
          <w:bCs/>
          <w:color w:val="111827"/>
          <w:sz w:val="28"/>
          <w:szCs w:val="28"/>
        </w:rPr>
        <w:t xml:space="preserve">5. References listed on the page</w:t>
      </w:r>
    </w:p>
    <w:p>
      <w:pPr>
        <w:spacing w:after="80"/>
        <w:ind w:left="480" w:hanging="480"/>
      </w:pPr>
      <w:r>
        <w:rPr>
          <w:rFonts w:ascii="Arial" w:cs="Arial" w:eastAsia="Arial" w:hAnsi="Arial"/>
          <w:b/>
          <w:bCs/>
          <w:sz w:val="18"/>
          <w:szCs w:val="18"/>
        </w:rPr>
        <w:t xml:space="preserve">[1]  </w:t>
      </w:r>
      <w:r>
        <w:rPr>
          <w:rFonts w:ascii="Arial" w:cs="Arial" w:eastAsia="Arial" w:hAnsi="Arial"/>
          <w:sz w:val="18"/>
          <w:szCs w:val="18"/>
        </w:rPr>
        <w:t xml:space="preserve">Katz SM, Claussen AH, Alberto CK, et al. Trends in Parent-Reported ADHD Diagnosis and Treatment Among U.S. Children, 2016-2023. J Clin Child Adolesc Psychol. Published online February 13, 2026.</w:t>
      </w:r>
    </w:p>
    <w:p>
      <w:pPr>
        <w:spacing w:after="80"/>
        <w:ind w:left="480" w:hanging="480"/>
      </w:pPr>
      <w:r>
        <w:rPr>
          <w:rFonts w:ascii="Arial" w:cs="Arial" w:eastAsia="Arial" w:hAnsi="Arial"/>
          <w:b/>
          <w:bCs/>
          <w:sz w:val="18"/>
          <w:szCs w:val="18"/>
        </w:rPr>
        <w:t xml:space="preserve">[2]  </w:t>
      </w:r>
      <w:r>
        <w:rPr>
          <w:rFonts w:ascii="Arial" w:cs="Arial" w:eastAsia="Arial" w:hAnsi="Arial"/>
          <w:sz w:val="18"/>
          <w:szCs w:val="18"/>
        </w:rPr>
        <w:t xml:space="preserve">Danielson ML, Claussen AH, Bitsko RH, et al. ADHD Prevalence Among U.S. Children and Adolescents in 2022. J Clin Child Adolesc Psychol. 2024;53(3):343-360.</w:t>
      </w:r>
    </w:p>
    <w:p>
      <w:pPr>
        <w:spacing w:after="80"/>
        <w:ind w:left="480" w:hanging="480"/>
      </w:pPr>
      <w:r>
        <w:rPr>
          <w:rFonts w:ascii="Arial" w:cs="Arial" w:eastAsia="Arial" w:hAnsi="Arial"/>
          <w:b/>
          <w:bCs/>
          <w:sz w:val="18"/>
          <w:szCs w:val="18"/>
        </w:rPr>
        <w:t xml:space="preserve">[3]  </w:t>
      </w:r>
      <w:r>
        <w:rPr>
          <w:rFonts w:ascii="Arial" w:cs="Arial" w:eastAsia="Arial" w:hAnsi="Arial"/>
          <w:sz w:val="18"/>
          <w:szCs w:val="18"/>
        </w:rPr>
        <w:t xml:space="preserve">Danielson ML, Holbrook JR, Bitsko RH, et al. State-Level Estimates of the Prevalence of Parent-Reported ADHD Diagnosis and Treatment Among U.S. Children and Adolescents, 2016 to 2019. J Atten Disord. 2022;26(13):1685-1697.</w:t>
      </w:r>
    </w:p>
    <w:p>
      <w:pPr>
        <w:spacing w:after="80"/>
        <w:ind w:left="480" w:hanging="480"/>
      </w:pPr>
      <w:r>
        <w:rPr>
          <w:rFonts w:ascii="Arial" w:cs="Arial" w:eastAsia="Arial" w:hAnsi="Arial"/>
          <w:b/>
          <w:bCs/>
          <w:sz w:val="18"/>
          <w:szCs w:val="18"/>
        </w:rPr>
        <w:t xml:space="preserve">[4]  </w:t>
      </w:r>
      <w:r>
        <w:rPr>
          <w:rFonts w:ascii="Arial" w:cs="Arial" w:eastAsia="Arial" w:hAnsi="Arial"/>
          <w:sz w:val="18"/>
          <w:szCs w:val="18"/>
        </w:rPr>
        <w:t xml:space="preserve">Danielson ML, Claussen AH, Arifkhanova A, Gonzalez MG, Surman C. Who Provides Outpatient Clinical Care for Adults With ADHD? Analysis of Healthcare Claims by Types of Providers Among Private Insurance and Medicaid Enrollees, 2021. J Atten Disord. 2024;28(8):1225-1235.</w:t>
      </w:r>
    </w:p>
    <w:p>
      <w:pPr>
        <w:spacing w:after="100" w:line="264"/>
      </w:pPr>
      <w:r>
        <w:rPr>
          <w:rFonts w:ascii="Arial" w:cs="Arial" w:eastAsia="Arial" w:hAnsi="Arial"/>
          <w:color w:val="6B7280"/>
          <w:sz w:val="18"/>
          <w:szCs w:val="18"/>
        </w:rPr>
        <w:t xml:space="preserve">Note: the title of reference [4] refers to adults, while the page uses it for children's claims data. Check this before citing.</w:t>
      </w:r>
    </w:p>
    <w:p>
      <w:pPr>
        <w:pStyle w:val="Heading1"/>
        <w:spacing w:after="120" w:before="280"/>
      </w:pPr>
      <w:r>
        <w:rPr>
          <w:rFonts w:ascii="Arial" w:cs="Arial" w:eastAsia="Arial" w:hAnsi="Arial"/>
          <w:b/>
          <w:bCs/>
          <w:color w:val="111827"/>
          <w:sz w:val="28"/>
          <w:szCs w:val="28"/>
        </w:rPr>
        <w:t xml:space="preserve">6. Pages with more data</w:t>
      </w:r>
    </w:p>
    <w:p>
      <w:pPr>
        <w:pStyle w:val="ListParagraph"/>
        <w:numPr>
          <w:ilvl w:val="0"/>
          <w:numId w:val="2"/>
        </w:numPr>
        <w:spacing w:after="70"/>
      </w:pPr>
      <w:r>
        <w:rPr>
          <w:rFonts w:ascii="Arial" w:cs="Arial" w:eastAsia="Arial" w:hAnsi="Arial"/>
          <w:sz w:val="20"/>
          <w:szCs w:val="20"/>
        </w:rPr>
        <w:t xml:space="preserve">Trends in ADHD among U.S. children: https://www.cdc.gov/adhd/data/trends-in-adhd-US-children.html</w:t>
      </w:r>
    </w:p>
    <w:p>
      <w:pPr>
        <w:pStyle w:val="ListParagraph"/>
        <w:numPr>
          <w:ilvl w:val="0"/>
          <w:numId w:val="2"/>
        </w:numPr>
        <w:spacing w:after="70"/>
      </w:pPr>
      <w:r>
        <w:rPr>
          <w:rFonts w:ascii="Arial" w:cs="Arial" w:eastAsia="Arial" w:hAnsi="Arial"/>
          <w:sz w:val="20"/>
          <w:szCs w:val="20"/>
        </w:rPr>
        <w:t xml:space="preserve">Data on ADHD in adults: https://www.cdc.gov/adhd/data/adhd-in-adults.html</w:t>
      </w:r>
    </w:p>
    <w:p>
      <w:pPr>
        <w:pStyle w:val="ListParagraph"/>
        <w:numPr>
          <w:ilvl w:val="0"/>
          <w:numId w:val="2"/>
        </w:numPr>
        <w:spacing w:after="70"/>
      </w:pPr>
      <w:r>
        <w:rPr>
          <w:rFonts w:ascii="Arial" w:cs="Arial" w:eastAsia="Arial" w:hAnsi="Arial"/>
          <w:sz w:val="20"/>
          <w:szCs w:val="20"/>
        </w:rPr>
        <w:t xml:space="preserve">State and territory data: https://www.cdc.gov/adhd/data/state-territory-data.html</w:t>
      </w:r>
    </w:p>
    <w:p>
      <w:pPr>
        <w:pStyle w:val="ListParagraph"/>
        <w:numPr>
          <w:ilvl w:val="0"/>
          <w:numId w:val="2"/>
        </w:numPr>
        <w:spacing w:after="70"/>
      </w:pPr>
      <w:r>
        <w:rPr>
          <w:rFonts w:ascii="Arial" w:cs="Arial" w:eastAsia="Arial" w:hAnsi="Arial"/>
          <w:sz w:val="20"/>
          <w:szCs w:val="20"/>
        </w:rPr>
        <w:t xml:space="preserve">Other concerns and conditions: https://www.cdc.gov/adhd/other-topics/other-concerns-conditions.html</w:t>
      </w:r>
    </w:p>
    <w:p>
      <w:pPr>
        <w:pStyle w:val="ListParagraph"/>
        <w:numPr>
          <w:ilvl w:val="0"/>
          <w:numId w:val="2"/>
        </w:numPr>
        <w:spacing w:after="70"/>
      </w:pPr>
      <w:r>
        <w:rPr>
          <w:rFonts w:ascii="Arial" w:cs="Arial" w:eastAsia="Arial" w:hAnsi="Arial"/>
          <w:sz w:val="20"/>
          <w:szCs w:val="20"/>
        </w:rPr>
        <w:t xml:space="preserve">Treatment: https://www.cdc.gov/adhd/treatment/index.html</w:t>
      </w:r>
    </w:p>
    <w:p>
      <w:pPr>
        <w:pStyle w:val="ListParagraph"/>
        <w:numPr>
          <w:ilvl w:val="0"/>
          <w:numId w:val="2"/>
        </w:numPr>
        <w:spacing w:after="70"/>
      </w:pPr>
      <w:r>
        <w:rPr>
          <w:rFonts w:ascii="Arial" w:cs="Arial" w:eastAsia="Arial" w:hAnsi="Arial"/>
          <w:sz w:val="20"/>
          <w:szCs w:val="20"/>
        </w:rPr>
        <w:t xml:space="preserve">NSCH (HRSA): https://mchb.hrsa.gov/data-research/national-survey-childrens-health</w:t>
      </w:r>
    </w:p>
    <w:p>
      <w:pPr>
        <w:spacing w:after="100" w:line="264"/>
      </w:pPr>
      <w:r>
        <w:rPr>
          <w:rFonts w:ascii="Arial" w:cs="Arial" w:eastAsia="Arial" w:hAnsi="Arial"/>
          <w:color w:val="6B7280"/>
          <w:sz w:val="18"/>
          <w:szCs w:val="18"/>
        </w:rPr>
        <w:t xml:space="preserve">The page also links interactive charts on co-occurring conditions and treatment. I could not capture that chart data from the page text.</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CDC ADHD data, extracted figures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2026-10-09T02:06:15.183Z</dcterms:created>
  <dcterms:modified xsi:type="dcterms:W3CDTF">2026-10-09T02:06:15.191Z</dcterms:modified>
</cp:coreProperties>
</file>

<file path=docProps/custom.xml><?xml version="1.0" encoding="utf-8"?>
<Properties xmlns="http://schemas.openxmlformats.org/officeDocument/2006/custom-properties" xmlns:vt="http://schemas.openxmlformats.org/officeDocument/2006/docPropsVTypes"/>
</file>