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ED35" w14:textId="77777777" w:rsidR="00ED238F" w:rsidRDefault="00ED238F">
      <w:pPr>
        <w:spacing w:after="240"/>
      </w:pPr>
    </w:p>
    <w:p w14:paraId="021EEBF7" w14:textId="77777777" w:rsidR="00ED238F" w:rsidRDefault="00000000">
      <w:pPr>
        <w:spacing w:after="80"/>
      </w:pPr>
      <w:r>
        <w:rPr>
          <w:b/>
          <w:bCs/>
          <w:color w:val="1B2A4A"/>
          <w:sz w:val="40"/>
          <w:szCs w:val="40"/>
        </w:rPr>
        <w:t>IMPLIED TWD RATE</w:t>
      </w:r>
    </w:p>
    <w:p w14:paraId="774F10CF" w14:textId="77777777" w:rsidR="00ED238F" w:rsidRDefault="00000000">
      <w:pPr>
        <w:spacing w:after="60"/>
      </w:pPr>
      <w:r>
        <w:rPr>
          <w:i/>
          <w:iCs/>
          <w:color w:val="006B6B"/>
          <w:sz w:val="21"/>
          <w:szCs w:val="21"/>
        </w:rPr>
        <w:t>Technical Documentation — Covered Interest Rate Parity via NDF Market</w:t>
      </w:r>
    </w:p>
    <w:p w14:paraId="2F44CA3E" w14:textId="77777777" w:rsidR="00ED238F" w:rsidRDefault="00ED238F">
      <w:pPr>
        <w:pBdr>
          <w:bottom w:val="single" w:sz="16" w:space="0" w:color="006B6B"/>
        </w:pBdr>
      </w:pPr>
    </w:p>
    <w:p w14:paraId="7D0F6C6F" w14:textId="77777777" w:rsidR="00ED238F" w:rsidRDefault="00ED238F">
      <w:pPr>
        <w:spacing w:after="200"/>
      </w:pPr>
    </w:p>
    <w:p w14:paraId="53BFDC34" w14:textId="77777777" w:rsidR="00ED238F" w:rsidRDefault="00000000">
      <w:pPr>
        <w:pStyle w:val="Heading1"/>
        <w:pBdr>
          <w:bottom w:val="single" w:sz="8" w:space="4" w:color="006B6B"/>
        </w:pBdr>
      </w:pPr>
      <w:r>
        <w:t>1. Overview</w:t>
      </w:r>
    </w:p>
    <w:p w14:paraId="026F96BA" w14:textId="77777777" w:rsidR="00ED238F" w:rsidRDefault="00000000">
      <w:pPr>
        <w:spacing w:before="60" w:after="100"/>
      </w:pPr>
      <w:r>
        <w:t>The Implied TWD Rate column reverse-engineers the Taiwan Dollar interest rate that the foreign exchange forward market is implying at each tenor. It uses Covered Interest Rate Parity (</w:t>
      </w:r>
      <w:proofErr w:type="gramStart"/>
      <w:r>
        <w:t>CIP) —</w:t>
      </w:r>
      <w:proofErr w:type="gramEnd"/>
      <w:r>
        <w:t xml:space="preserve"> the no-arbitrage condition linking spot rates, forward rates, and interest rate differentials between two currencies.</w:t>
      </w:r>
    </w:p>
    <w:p w14:paraId="0DF61D43" w14:textId="77777777" w:rsidR="00ED238F" w:rsidRDefault="00ED23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200"/>
        <w:gridCol w:w="8160"/>
      </w:tblGrid>
      <w:tr w:rsidR="00ED238F" w14:paraId="133A7A2F" w14:textId="77777777">
        <w:tc>
          <w:tcPr>
            <w:tcW w:w="1200" w:type="dxa"/>
            <w:tcBorders>
              <w:top w:val="none" w:sz="0" w:space="0" w:color="FFFFFF"/>
              <w:left w:val="none" w:sz="0" w:space="0" w:color="FFFFFF"/>
              <w:bottom w:val="none" w:sz="0" w:space="0" w:color="FFFFFF"/>
              <w:right w:val="none" w:sz="0" w:space="0" w:color="FFFFFF"/>
            </w:tcBorders>
            <w:shd w:val="clear" w:color="auto" w:fill="006B6B"/>
            <w:tcMar>
              <w:top w:w="120" w:type="dxa"/>
              <w:left w:w="160" w:type="dxa"/>
              <w:bottom w:w="120" w:type="dxa"/>
              <w:right w:w="160" w:type="dxa"/>
            </w:tcMar>
            <w:vAlign w:val="center"/>
          </w:tcPr>
          <w:p w14:paraId="35CD55F4" w14:textId="77777777" w:rsidR="00ED238F" w:rsidRDefault="00000000">
            <w:pPr>
              <w:jc w:val="center"/>
            </w:pPr>
            <w:r>
              <w:rPr>
                <w:b/>
                <w:bCs/>
                <w:color w:val="FFFFFF"/>
                <w:sz w:val="18"/>
                <w:szCs w:val="18"/>
              </w:rPr>
              <w:t>WHY THIS MATTERS</w:t>
            </w:r>
          </w:p>
        </w:tc>
        <w:tc>
          <w:tcPr>
            <w:tcW w:w="8160" w:type="dxa"/>
            <w:tcBorders>
              <w:top w:val="none" w:sz="0" w:space="0" w:color="FFFFFF"/>
              <w:left w:val="none" w:sz="0" w:space="0" w:color="FFFFFF"/>
              <w:bottom w:val="none" w:sz="0" w:space="0" w:color="FFFFFF"/>
              <w:right w:val="none" w:sz="0" w:space="0" w:color="FFFFFF"/>
            </w:tcBorders>
            <w:shd w:val="clear" w:color="auto" w:fill="E8F5F5"/>
            <w:tcMar>
              <w:top w:w="120" w:type="dxa"/>
              <w:left w:w="200" w:type="dxa"/>
              <w:bottom w:w="120" w:type="dxa"/>
              <w:right w:w="160" w:type="dxa"/>
            </w:tcMar>
          </w:tcPr>
          <w:p w14:paraId="21674E7B" w14:textId="77777777" w:rsidR="00ED238F" w:rsidRDefault="00000000">
            <w:r>
              <w:rPr>
                <w:sz w:val="19"/>
                <w:szCs w:val="19"/>
              </w:rPr>
              <w:t>The implied TWD rate feeds directly into pricing the FX component of the Wiwynn CLZCB (ISIN XS2853493117). The bond's fixed NTD 32.576 conversion rate creates an embedded long-NTD / short-USD exposure. Accurate forward rate assumptions and hedging costs across the bond's 5-year life depend on correctly calibrating the implied TWD rate at each tenor.</w:t>
            </w:r>
          </w:p>
        </w:tc>
      </w:tr>
    </w:tbl>
    <w:p w14:paraId="456E2B13" w14:textId="77777777" w:rsidR="00ED238F" w:rsidRDefault="00ED238F">
      <w:pPr>
        <w:spacing w:after="160"/>
      </w:pPr>
    </w:p>
    <w:p w14:paraId="2E77551D" w14:textId="77777777" w:rsidR="00ED238F" w:rsidRDefault="00000000">
      <w:pPr>
        <w:pStyle w:val="Heading1"/>
        <w:pBdr>
          <w:bottom w:val="single" w:sz="8" w:space="4" w:color="006B6B"/>
        </w:pBdr>
      </w:pPr>
      <w:r>
        <w:t>2. The Covered Interest Rate Parity Framework</w:t>
      </w:r>
    </w:p>
    <w:p w14:paraId="330911E0" w14:textId="77777777" w:rsidR="00ED238F" w:rsidRDefault="00000000">
      <w:pPr>
        <w:pStyle w:val="Heading2"/>
      </w:pPr>
      <w:r>
        <w:t>2.1 The Core No-Arbitrage Condition</w:t>
      </w:r>
    </w:p>
    <w:p w14:paraId="7DFF9E21" w14:textId="77777777" w:rsidR="00ED238F" w:rsidRDefault="00000000">
      <w:pPr>
        <w:spacing w:before="60" w:after="100"/>
      </w:pPr>
      <w:r>
        <w:t>Covered Interest Rate Parity states that the ratio of the forward rate to the spot rate must equal the ratio of the two countries' interest rates. If this relationship breaks down, risk-free arbitrage becomes possible.</w:t>
      </w:r>
    </w:p>
    <w:p w14:paraId="52625D6F" w14:textId="77777777" w:rsidR="00ED238F" w:rsidRDefault="00ED238F">
      <w:pPr>
        <w:spacing w:after="80"/>
      </w:pPr>
    </w:p>
    <w:p w14:paraId="22A7587F" w14:textId="77777777" w:rsidR="00ED238F" w:rsidRDefault="00000000">
      <w:pPr>
        <w:pBdr>
          <w:left w:val="single" w:sz="16" w:space="0" w:color="006B6B"/>
        </w:pBdr>
        <w:shd w:val="clear" w:color="auto" w:fill="F2F4F7"/>
        <w:spacing w:before="160" w:after="160"/>
        <w:ind w:left="400" w:right="400"/>
        <w:jc w:val="center"/>
      </w:pPr>
      <w:r>
        <w:rPr>
          <w:rFonts w:ascii="Cambria Math" w:eastAsia="Cambria Math" w:hAnsi="Cambria Math" w:cs="Cambria Math"/>
          <w:b/>
          <w:bCs/>
          <w:color w:val="1B2A4A"/>
          <w:sz w:val="22"/>
          <w:szCs w:val="22"/>
        </w:rPr>
        <w:t xml:space="preserve">NDF / </w:t>
      </w:r>
      <w:proofErr w:type="gramStart"/>
      <w:r>
        <w:rPr>
          <w:rFonts w:ascii="Cambria Math" w:eastAsia="Cambria Math" w:hAnsi="Cambria Math" w:cs="Cambria Math"/>
          <w:b/>
          <w:bCs/>
          <w:color w:val="1B2A4A"/>
          <w:sz w:val="22"/>
          <w:szCs w:val="22"/>
        </w:rPr>
        <w:t>Spot  =</w:t>
      </w:r>
      <w:proofErr w:type="gramEnd"/>
      <w:r>
        <w:rPr>
          <w:rFonts w:ascii="Cambria Math" w:eastAsia="Cambria Math" w:hAnsi="Cambria Math" w:cs="Cambria Math"/>
          <w:b/>
          <w:bCs/>
          <w:color w:val="1B2A4A"/>
          <w:sz w:val="22"/>
          <w:szCs w:val="22"/>
        </w:rPr>
        <w:t xml:space="preserve">  (1 + </w:t>
      </w:r>
      <w:proofErr w:type="spellStart"/>
      <w:r>
        <w:rPr>
          <w:rFonts w:ascii="Cambria Math" w:eastAsia="Cambria Math" w:hAnsi="Cambria Math" w:cs="Cambria Math"/>
          <w:b/>
          <w:bCs/>
          <w:color w:val="1B2A4A"/>
          <w:sz w:val="22"/>
          <w:szCs w:val="22"/>
        </w:rPr>
        <w:t>r_TWD</w:t>
      </w:r>
      <w:proofErr w:type="spellEnd"/>
      <w:r>
        <w:rPr>
          <w:rFonts w:ascii="Cambria Math" w:eastAsia="Cambria Math" w:hAnsi="Cambria Math" w:cs="Cambria Math"/>
          <w:b/>
          <w:bCs/>
          <w:color w:val="1B2A4A"/>
          <w:sz w:val="22"/>
          <w:szCs w:val="22"/>
        </w:rPr>
        <w:t xml:space="preserve"> × </w:t>
      </w:r>
      <w:proofErr w:type="gramStart"/>
      <w:r>
        <w:rPr>
          <w:rFonts w:ascii="Cambria Math" w:eastAsia="Cambria Math" w:hAnsi="Cambria Math" w:cs="Cambria Math"/>
          <w:b/>
          <w:bCs/>
          <w:color w:val="1B2A4A"/>
          <w:sz w:val="22"/>
          <w:szCs w:val="22"/>
        </w:rPr>
        <w:t>T)  /</w:t>
      </w:r>
      <w:proofErr w:type="gramEnd"/>
      <w:r>
        <w:rPr>
          <w:rFonts w:ascii="Cambria Math" w:eastAsia="Cambria Math" w:hAnsi="Cambria Math" w:cs="Cambria Math"/>
          <w:b/>
          <w:bCs/>
          <w:color w:val="1B2A4A"/>
          <w:sz w:val="22"/>
          <w:szCs w:val="22"/>
        </w:rPr>
        <w:t xml:space="preserve">  (1 + </w:t>
      </w:r>
      <w:proofErr w:type="spellStart"/>
      <w:r>
        <w:rPr>
          <w:rFonts w:ascii="Cambria Math" w:eastAsia="Cambria Math" w:hAnsi="Cambria Math" w:cs="Cambria Math"/>
          <w:b/>
          <w:bCs/>
          <w:color w:val="1B2A4A"/>
          <w:sz w:val="22"/>
          <w:szCs w:val="22"/>
        </w:rPr>
        <w:t>r_USD</w:t>
      </w:r>
      <w:proofErr w:type="spellEnd"/>
      <w:r>
        <w:rPr>
          <w:rFonts w:ascii="Cambria Math" w:eastAsia="Cambria Math" w:hAnsi="Cambria Math" w:cs="Cambria Math"/>
          <w:b/>
          <w:bCs/>
          <w:color w:val="1B2A4A"/>
          <w:sz w:val="22"/>
          <w:szCs w:val="22"/>
        </w:rPr>
        <w:t xml:space="preserve"> × T)</w:t>
      </w:r>
    </w:p>
    <w:p w14:paraId="08FACC91" w14:textId="77777777" w:rsidR="00ED238F" w:rsidRDefault="00ED238F">
      <w:pPr>
        <w:spacing w:after="40"/>
      </w:pPr>
    </w:p>
    <w:p w14:paraId="188694A5" w14:textId="77777777" w:rsidR="00ED238F" w:rsidRDefault="00000000">
      <w:pPr>
        <w:spacing w:before="60" w:after="100"/>
      </w:pPr>
      <w:r>
        <w:rPr>
          <w:b/>
          <w:bCs/>
          <w:color w:val="475467"/>
        </w:rPr>
        <w:t>Where:</w:t>
      </w:r>
    </w:p>
    <w:p w14:paraId="7E0139BB" w14:textId="77777777" w:rsidR="00ED238F" w:rsidRDefault="00000000">
      <w:pPr>
        <w:pStyle w:val="ListParagraph"/>
        <w:numPr>
          <w:ilvl w:val="0"/>
          <w:numId w:val="2"/>
        </w:numPr>
        <w:spacing w:before="40" w:after="60"/>
      </w:pPr>
      <w:r>
        <w:t>NDF = Non-Deliverable Forward rate for USDTWD at tenor T</w:t>
      </w:r>
    </w:p>
    <w:p w14:paraId="1010B931" w14:textId="77777777" w:rsidR="00ED238F" w:rsidRDefault="00000000">
      <w:pPr>
        <w:pStyle w:val="ListParagraph"/>
        <w:numPr>
          <w:ilvl w:val="0"/>
          <w:numId w:val="2"/>
        </w:numPr>
        <w:spacing w:before="40" w:after="60"/>
      </w:pPr>
      <w:r>
        <w:t>Spot = Current USDTWD spot exchange rate</w:t>
      </w:r>
    </w:p>
    <w:p w14:paraId="6C9D42D2" w14:textId="77777777" w:rsidR="00ED238F" w:rsidRDefault="00000000">
      <w:pPr>
        <w:pStyle w:val="ListParagraph"/>
        <w:numPr>
          <w:ilvl w:val="0"/>
          <w:numId w:val="2"/>
        </w:numPr>
        <w:spacing w:before="40" w:after="60"/>
      </w:pPr>
      <w:proofErr w:type="spellStart"/>
      <w:r>
        <w:lastRenderedPageBreak/>
        <w:t>r_TWD</w:t>
      </w:r>
      <w:proofErr w:type="spellEnd"/>
      <w:r>
        <w:t xml:space="preserve"> = </w:t>
      </w:r>
      <w:r w:rsidRPr="00F10BBE">
        <w:rPr>
          <w:highlight w:val="blue"/>
        </w:rPr>
        <w:t>Implied Taiwan Dollar interest rate</w:t>
      </w:r>
      <w:r>
        <w:t xml:space="preserve"> (what we are solving for)</w:t>
      </w:r>
    </w:p>
    <w:p w14:paraId="68197111" w14:textId="77777777" w:rsidR="00ED238F" w:rsidRDefault="00000000">
      <w:pPr>
        <w:pStyle w:val="ListParagraph"/>
        <w:numPr>
          <w:ilvl w:val="0"/>
          <w:numId w:val="2"/>
        </w:numPr>
        <w:spacing w:before="40" w:after="60"/>
      </w:pPr>
      <w:proofErr w:type="spellStart"/>
      <w:r>
        <w:t>r_USD</w:t>
      </w:r>
      <w:proofErr w:type="spellEnd"/>
      <w:r>
        <w:t xml:space="preserve"> = </w:t>
      </w:r>
      <w:r w:rsidRPr="00F10BBE">
        <w:rPr>
          <w:highlight w:val="blue"/>
        </w:rPr>
        <w:t>US Treasury rate</w:t>
      </w:r>
      <w:r>
        <w:t xml:space="preserve"> at the matching tenor</w:t>
      </w:r>
    </w:p>
    <w:p w14:paraId="33137FE7" w14:textId="77777777" w:rsidR="00ED238F" w:rsidRDefault="00000000">
      <w:pPr>
        <w:pStyle w:val="ListParagraph"/>
        <w:numPr>
          <w:ilvl w:val="0"/>
          <w:numId w:val="2"/>
        </w:numPr>
        <w:spacing w:before="40" w:after="60"/>
      </w:pPr>
      <w:r>
        <w:t xml:space="preserve">T = Time period in years (e.g. </w:t>
      </w:r>
      <w:r w:rsidRPr="00F10BBE">
        <w:rPr>
          <w:highlight w:val="blue"/>
        </w:rPr>
        <w:t>1 month = 1/12</w:t>
      </w:r>
      <w:r>
        <w:t>)</w:t>
      </w:r>
    </w:p>
    <w:p w14:paraId="0E1E9BE2" w14:textId="77777777" w:rsidR="00ED238F" w:rsidRDefault="00ED238F">
      <w:pPr>
        <w:spacing w:after="100"/>
      </w:pPr>
    </w:p>
    <w:p w14:paraId="474EF435" w14:textId="77777777" w:rsidR="00ED238F" w:rsidRDefault="00000000">
      <w:pPr>
        <w:pStyle w:val="Heading2"/>
      </w:pPr>
      <w:r>
        <w:t xml:space="preserve">2.2 </w:t>
      </w:r>
      <w:proofErr w:type="gramStart"/>
      <w:r>
        <w:t>Solving for</w:t>
      </w:r>
      <w:proofErr w:type="gramEnd"/>
      <w:r>
        <w:t xml:space="preserve"> the Implied TWD Rate</w:t>
      </w:r>
    </w:p>
    <w:p w14:paraId="3AFB7D8E" w14:textId="77777777" w:rsidR="00ED238F" w:rsidRDefault="00000000">
      <w:pPr>
        <w:spacing w:before="60" w:after="100"/>
      </w:pPr>
      <w:r>
        <w:t xml:space="preserve">Rearranging the CIP formula to isolate </w:t>
      </w:r>
      <w:proofErr w:type="spellStart"/>
      <w:r>
        <w:t>r_TWD</w:t>
      </w:r>
      <w:proofErr w:type="spellEnd"/>
      <w:r>
        <w:t xml:space="preserve"> gives the simple </w:t>
      </w:r>
      <w:proofErr w:type="gramStart"/>
      <w:r>
        <w:t>interest</w:t>
      </w:r>
      <w:proofErr w:type="gramEnd"/>
      <w:r>
        <w:t xml:space="preserve"> version:</w:t>
      </w:r>
    </w:p>
    <w:p w14:paraId="5D0C846E" w14:textId="77777777" w:rsidR="00ED238F" w:rsidRDefault="00000000">
      <w:pPr>
        <w:pBdr>
          <w:left w:val="single" w:sz="16" w:space="0" w:color="006B6B"/>
        </w:pBdr>
        <w:shd w:val="clear" w:color="auto" w:fill="F2F4F7"/>
        <w:spacing w:before="160" w:after="160"/>
        <w:ind w:left="400" w:right="400"/>
        <w:jc w:val="center"/>
      </w:pPr>
      <w:proofErr w:type="spellStart"/>
      <w:r>
        <w:rPr>
          <w:rFonts w:ascii="Cambria Math" w:eastAsia="Cambria Math" w:hAnsi="Cambria Math" w:cs="Cambria Math"/>
          <w:b/>
          <w:bCs/>
          <w:color w:val="1B2A4A"/>
          <w:sz w:val="22"/>
          <w:szCs w:val="22"/>
        </w:rPr>
        <w:t>r_</w:t>
      </w:r>
      <w:proofErr w:type="gramStart"/>
      <w:r>
        <w:rPr>
          <w:rFonts w:ascii="Cambria Math" w:eastAsia="Cambria Math" w:hAnsi="Cambria Math" w:cs="Cambria Math"/>
          <w:b/>
          <w:bCs/>
          <w:color w:val="1B2A4A"/>
          <w:sz w:val="22"/>
          <w:szCs w:val="22"/>
        </w:rPr>
        <w:t>TWD</w:t>
      </w:r>
      <w:proofErr w:type="spellEnd"/>
      <w:r>
        <w:rPr>
          <w:rFonts w:ascii="Cambria Math" w:eastAsia="Cambria Math" w:hAnsi="Cambria Math" w:cs="Cambria Math"/>
          <w:b/>
          <w:bCs/>
          <w:color w:val="1B2A4A"/>
          <w:sz w:val="22"/>
          <w:szCs w:val="22"/>
        </w:rPr>
        <w:t xml:space="preserve">  =</w:t>
      </w:r>
      <w:proofErr w:type="gramEnd"/>
      <w:r>
        <w:rPr>
          <w:rFonts w:ascii="Cambria Math" w:eastAsia="Cambria Math" w:hAnsi="Cambria Math" w:cs="Cambria Math"/>
          <w:b/>
          <w:bCs/>
          <w:color w:val="1B2A4A"/>
          <w:sz w:val="22"/>
          <w:szCs w:val="22"/>
        </w:rPr>
        <w:t xml:space="preserve">  [ (NDF / Spot) × (1 + </w:t>
      </w:r>
      <w:proofErr w:type="spellStart"/>
      <w:r>
        <w:rPr>
          <w:rFonts w:ascii="Cambria Math" w:eastAsia="Cambria Math" w:hAnsi="Cambria Math" w:cs="Cambria Math"/>
          <w:b/>
          <w:bCs/>
          <w:color w:val="1B2A4A"/>
          <w:sz w:val="22"/>
          <w:szCs w:val="22"/>
        </w:rPr>
        <w:t>r_USD</w:t>
      </w:r>
      <w:proofErr w:type="spellEnd"/>
      <w:r>
        <w:rPr>
          <w:rFonts w:ascii="Cambria Math" w:eastAsia="Cambria Math" w:hAnsi="Cambria Math" w:cs="Cambria Math"/>
          <w:b/>
          <w:bCs/>
          <w:color w:val="1B2A4A"/>
          <w:sz w:val="22"/>
          <w:szCs w:val="22"/>
        </w:rPr>
        <w:t xml:space="preserve"> × T) − </w:t>
      </w:r>
      <w:proofErr w:type="gramStart"/>
      <w:r>
        <w:rPr>
          <w:rFonts w:ascii="Cambria Math" w:eastAsia="Cambria Math" w:hAnsi="Cambria Math" w:cs="Cambria Math"/>
          <w:b/>
          <w:bCs/>
          <w:color w:val="1B2A4A"/>
          <w:sz w:val="22"/>
          <w:szCs w:val="22"/>
        </w:rPr>
        <w:t>1 ]</w:t>
      </w:r>
      <w:proofErr w:type="gramEnd"/>
      <w:r>
        <w:rPr>
          <w:rFonts w:ascii="Cambria Math" w:eastAsia="Cambria Math" w:hAnsi="Cambria Math" w:cs="Cambria Math"/>
          <w:b/>
          <w:bCs/>
          <w:color w:val="1B2A4A"/>
          <w:sz w:val="22"/>
          <w:szCs w:val="22"/>
        </w:rPr>
        <w:t xml:space="preserve">  </w:t>
      </w:r>
      <w:proofErr w:type="gramStart"/>
      <w:r>
        <w:rPr>
          <w:rFonts w:ascii="Cambria Math" w:eastAsia="Cambria Math" w:hAnsi="Cambria Math" w:cs="Cambria Math"/>
          <w:b/>
          <w:bCs/>
          <w:color w:val="1B2A4A"/>
          <w:sz w:val="22"/>
          <w:szCs w:val="22"/>
        </w:rPr>
        <w:t>/  T</w:t>
      </w:r>
      <w:proofErr w:type="gramEnd"/>
    </w:p>
    <w:p w14:paraId="4441539E" w14:textId="77777777" w:rsidR="00ED238F" w:rsidRDefault="00ED238F">
      <w:pPr>
        <w:spacing w:after="80"/>
      </w:pPr>
    </w:p>
    <w:p w14:paraId="19319E35" w14:textId="77777777" w:rsidR="00ED238F" w:rsidRDefault="00000000">
      <w:pPr>
        <w:spacing w:before="60" w:after="100"/>
      </w:pPr>
      <w:r>
        <w:t>In plain English: given where the NDF is trading relative to spot, and knowing the USD interest rate, what TWD interest rate makes this forward price arbitrage-free?</w:t>
      </w:r>
    </w:p>
    <w:p w14:paraId="1F8F0783" w14:textId="77777777" w:rsidR="00ED238F" w:rsidRDefault="00ED238F">
      <w:pPr>
        <w:spacing w:after="160"/>
      </w:pPr>
    </w:p>
    <w:p w14:paraId="4D1FDF2A" w14:textId="77777777" w:rsidR="00ED238F" w:rsidRDefault="00000000">
      <w:pPr>
        <w:pStyle w:val="Heading1"/>
        <w:pBdr>
          <w:bottom w:val="single" w:sz="8" w:space="4" w:color="006B6B"/>
        </w:pBdr>
      </w:pPr>
      <w:r>
        <w:t>3. Excel Formula Implementation</w:t>
      </w:r>
    </w:p>
    <w:p w14:paraId="5AC13F66" w14:textId="77777777" w:rsidR="00ED238F" w:rsidRDefault="00000000">
      <w:pPr>
        <w:pStyle w:val="Heading2"/>
      </w:pPr>
      <w:r>
        <w:t>3.1 The Cell Formula</w:t>
      </w:r>
    </w:p>
    <w:p w14:paraId="42AA1089" w14:textId="77777777" w:rsidR="00ED238F" w:rsidRDefault="00000000">
      <w:pPr>
        <w:spacing w:before="60" w:after="100"/>
      </w:pPr>
      <w:r>
        <w:t>The spreadsheet implements a compounded (</w:t>
      </w:r>
      <w:proofErr w:type="spellStart"/>
      <w:r>
        <w:t>annualised</w:t>
      </w:r>
      <w:proofErr w:type="spellEnd"/>
      <w:r>
        <w:t>) version of the CIP formula rather than simple interest:</w:t>
      </w:r>
    </w:p>
    <w:p w14:paraId="11492181" w14:textId="77777777" w:rsidR="00ED238F" w:rsidRDefault="00ED238F">
      <w:pPr>
        <w:spacing w:after="80"/>
      </w:pPr>
    </w:p>
    <w:p w14:paraId="3D96FB26" w14:textId="77777777" w:rsidR="00ED238F" w:rsidRDefault="00000000">
      <w:pPr>
        <w:shd w:val="clear" w:color="auto" w:fill="1B2A4A"/>
        <w:spacing w:before="120" w:after="120"/>
        <w:ind w:left="400" w:right="400"/>
        <w:jc w:val="center"/>
      </w:pPr>
      <w:r>
        <w:rPr>
          <w:rFonts w:ascii="Courier New" w:eastAsia="Courier New" w:hAnsi="Courier New" w:cs="Courier New"/>
          <w:b/>
          <w:bCs/>
          <w:color w:val="00E5E5"/>
          <w:sz w:val="22"/>
          <w:szCs w:val="22"/>
        </w:rPr>
        <w:t xml:space="preserve">= </w:t>
      </w:r>
      <w:proofErr w:type="gramStart"/>
      <w:r>
        <w:rPr>
          <w:rFonts w:ascii="Courier New" w:eastAsia="Courier New" w:hAnsi="Courier New" w:cs="Courier New"/>
          <w:b/>
          <w:bCs/>
          <w:color w:val="00E5E5"/>
          <w:sz w:val="22"/>
          <w:szCs w:val="22"/>
        </w:rPr>
        <w:t>( I</w:t>
      </w:r>
      <w:proofErr w:type="gramEnd"/>
      <w:r>
        <w:rPr>
          <w:rFonts w:ascii="Courier New" w:eastAsia="Courier New" w:hAnsi="Courier New" w:cs="Courier New"/>
          <w:b/>
          <w:bCs/>
          <w:color w:val="00E5E5"/>
          <w:sz w:val="22"/>
          <w:szCs w:val="22"/>
        </w:rPr>
        <w:t>3 / $B$4 * (1 + K3/</w:t>
      </w:r>
      <w:proofErr w:type="gramStart"/>
      <w:r>
        <w:rPr>
          <w:rFonts w:ascii="Courier New" w:eastAsia="Courier New" w:hAnsi="Courier New" w:cs="Courier New"/>
          <w:b/>
          <w:bCs/>
          <w:color w:val="00E5E5"/>
          <w:sz w:val="22"/>
          <w:szCs w:val="22"/>
        </w:rPr>
        <w:t>100)^</w:t>
      </w:r>
      <w:proofErr w:type="gramEnd"/>
      <w:r>
        <w:rPr>
          <w:rFonts w:ascii="Courier New" w:eastAsia="Courier New" w:hAnsi="Courier New" w:cs="Courier New"/>
          <w:b/>
          <w:bCs/>
          <w:color w:val="00E5E5"/>
          <w:sz w:val="22"/>
          <w:szCs w:val="22"/>
        </w:rPr>
        <w:t>(1/12</w:t>
      </w:r>
      <w:proofErr w:type="gramStart"/>
      <w:r>
        <w:rPr>
          <w:rFonts w:ascii="Courier New" w:eastAsia="Courier New" w:hAnsi="Courier New" w:cs="Courier New"/>
          <w:b/>
          <w:bCs/>
          <w:color w:val="00E5E5"/>
          <w:sz w:val="22"/>
          <w:szCs w:val="22"/>
        </w:rPr>
        <w:t>) )</w:t>
      </w:r>
      <w:proofErr w:type="gramEnd"/>
      <w:r>
        <w:rPr>
          <w:rFonts w:ascii="Courier New" w:eastAsia="Courier New" w:hAnsi="Courier New" w:cs="Courier New"/>
          <w:b/>
          <w:bCs/>
          <w:color w:val="00E5E5"/>
          <w:sz w:val="22"/>
          <w:szCs w:val="22"/>
        </w:rPr>
        <w:t>^12 - 1</w:t>
      </w:r>
    </w:p>
    <w:p w14:paraId="642DBDDD" w14:textId="77777777" w:rsidR="00ED238F" w:rsidRDefault="00ED238F">
      <w:pPr>
        <w:spacing w:after="80"/>
      </w:pPr>
    </w:p>
    <w:p w14:paraId="49D9B80D" w14:textId="77777777" w:rsidR="00ED238F" w:rsidRDefault="00000000">
      <w:pPr>
        <w:pStyle w:val="Heading2"/>
      </w:pPr>
      <w:r>
        <w:t>3.2 Formula Inputs — Column Reference</w:t>
      </w:r>
    </w:p>
    <w:p w14:paraId="4076B2B9" w14:textId="77777777" w:rsidR="00ED238F" w:rsidRDefault="00ED23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D238F" w14:paraId="3C259900" w14:textId="77777777">
        <w:tblPrEx>
          <w:tblCellMar>
            <w:top w:w="0" w:type="dxa"/>
            <w:bottom w:w="0" w:type="dxa"/>
          </w:tblCellMar>
        </w:tblPrEx>
        <w:trPr>
          <w:tblHeader/>
        </w:trPr>
        <w:tc>
          <w:tcPr>
            <w:tcW w:w="220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24B3418B" w14:textId="77777777" w:rsidR="00ED238F" w:rsidRDefault="00000000">
            <w:r>
              <w:rPr>
                <w:b/>
                <w:bCs/>
                <w:color w:val="FFFFFF"/>
                <w:sz w:val="18"/>
                <w:szCs w:val="18"/>
              </w:rPr>
              <w:t>Input</w:t>
            </w:r>
          </w:p>
        </w:tc>
        <w:tc>
          <w:tcPr>
            <w:tcW w:w="220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0BE63F46" w14:textId="77777777" w:rsidR="00ED238F" w:rsidRDefault="00000000">
            <w:r>
              <w:rPr>
                <w:b/>
                <w:bCs/>
                <w:color w:val="FFFFFF"/>
                <w:sz w:val="18"/>
                <w:szCs w:val="18"/>
              </w:rPr>
              <w:t>Source</w:t>
            </w:r>
          </w:p>
        </w:tc>
        <w:tc>
          <w:tcPr>
            <w:tcW w:w="496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1B1628BD" w14:textId="77777777" w:rsidR="00ED238F" w:rsidRDefault="00000000">
            <w:r>
              <w:rPr>
                <w:b/>
                <w:bCs/>
                <w:color w:val="FFFFFF"/>
                <w:sz w:val="18"/>
                <w:szCs w:val="18"/>
              </w:rPr>
              <w:t>Purpose</w:t>
            </w:r>
          </w:p>
        </w:tc>
      </w:tr>
      <w:tr w:rsidR="00ED238F" w14:paraId="36276ADA" w14:textId="77777777">
        <w:tblPrEx>
          <w:tblCellMar>
            <w:top w:w="0" w:type="dxa"/>
            <w:bottom w:w="0" w:type="dxa"/>
          </w:tblCellMar>
        </w:tblPrEx>
        <w:tc>
          <w:tcPr>
            <w:tcW w:w="22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096B73A3" w14:textId="77777777" w:rsidR="00ED238F" w:rsidRDefault="00000000">
            <w:r>
              <w:rPr>
                <w:sz w:val="18"/>
                <w:szCs w:val="18"/>
              </w:rPr>
              <w:t>USDTWD Spot</w:t>
            </w:r>
          </w:p>
        </w:tc>
        <w:tc>
          <w:tcPr>
            <w:tcW w:w="22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7A3FF77F" w14:textId="77777777" w:rsidR="00ED238F" w:rsidRDefault="00000000">
            <w:r>
              <w:rPr>
                <w:sz w:val="18"/>
                <w:szCs w:val="18"/>
              </w:rPr>
              <w:t>Bloomberg: $B$4</w:t>
            </w:r>
          </w:p>
        </w:tc>
        <w:tc>
          <w:tcPr>
            <w:tcW w:w="49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0306C7B0" w14:textId="77777777" w:rsidR="00ED238F" w:rsidRDefault="00000000">
            <w:r>
              <w:rPr>
                <w:sz w:val="18"/>
                <w:szCs w:val="18"/>
              </w:rPr>
              <w:t>Current market exchange rate — the anchor for all forward calculations</w:t>
            </w:r>
          </w:p>
        </w:tc>
      </w:tr>
      <w:tr w:rsidR="00ED238F" w14:paraId="2A71AD00" w14:textId="77777777">
        <w:tblPrEx>
          <w:tblCellMar>
            <w:top w:w="0" w:type="dxa"/>
            <w:bottom w:w="0" w:type="dxa"/>
          </w:tblCellMar>
        </w:tblPrEx>
        <w:tc>
          <w:tcPr>
            <w:tcW w:w="22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213B04B7" w14:textId="77777777" w:rsidR="00ED238F" w:rsidRDefault="00000000">
            <w:r>
              <w:rPr>
                <w:sz w:val="18"/>
                <w:szCs w:val="18"/>
              </w:rPr>
              <w:t>USDTWD NDF</w:t>
            </w:r>
          </w:p>
        </w:tc>
        <w:tc>
          <w:tcPr>
            <w:tcW w:w="22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7030B0F3" w14:textId="77777777" w:rsidR="00ED238F" w:rsidRDefault="00000000">
            <w:r>
              <w:rPr>
                <w:sz w:val="18"/>
                <w:szCs w:val="18"/>
              </w:rPr>
              <w:t>Bloomberg: I3, J3…</w:t>
            </w:r>
          </w:p>
        </w:tc>
        <w:tc>
          <w:tcPr>
            <w:tcW w:w="496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17015DA1" w14:textId="77777777" w:rsidR="00ED238F" w:rsidRDefault="00000000">
            <w:r>
              <w:rPr>
                <w:sz w:val="18"/>
                <w:szCs w:val="18"/>
              </w:rPr>
              <w:t>Non-deliverable forward rate at each tenor (1M, 3M, 12M, 24M, 36M)</w:t>
            </w:r>
          </w:p>
        </w:tc>
      </w:tr>
      <w:tr w:rsidR="00ED238F" w14:paraId="4A10DE51" w14:textId="77777777">
        <w:tblPrEx>
          <w:tblCellMar>
            <w:top w:w="0" w:type="dxa"/>
            <w:bottom w:w="0" w:type="dxa"/>
          </w:tblCellMar>
        </w:tblPrEx>
        <w:tc>
          <w:tcPr>
            <w:tcW w:w="22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6606A5B9" w14:textId="77777777" w:rsidR="00ED238F" w:rsidRDefault="00000000">
            <w:r>
              <w:rPr>
                <w:sz w:val="18"/>
                <w:szCs w:val="18"/>
              </w:rPr>
              <w:t>USGG Yield</w:t>
            </w:r>
          </w:p>
        </w:tc>
        <w:tc>
          <w:tcPr>
            <w:tcW w:w="22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2810AA69" w14:textId="77777777" w:rsidR="00ED238F" w:rsidRDefault="00000000">
            <w:r>
              <w:rPr>
                <w:sz w:val="18"/>
                <w:szCs w:val="18"/>
              </w:rPr>
              <w:t>Bloomberg: K3, L3…</w:t>
            </w:r>
          </w:p>
        </w:tc>
        <w:tc>
          <w:tcPr>
            <w:tcW w:w="49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22664FD2" w14:textId="77777777" w:rsidR="00ED238F" w:rsidRDefault="00000000">
            <w:r>
              <w:rPr>
                <w:sz w:val="18"/>
                <w:szCs w:val="18"/>
              </w:rPr>
              <w:t>US Treasury rate matched to the same tenor as the NDF</w:t>
            </w:r>
          </w:p>
        </w:tc>
      </w:tr>
      <w:tr w:rsidR="00ED238F" w14:paraId="5475FC80" w14:textId="77777777">
        <w:tblPrEx>
          <w:tblCellMar>
            <w:top w:w="0" w:type="dxa"/>
            <w:bottom w:w="0" w:type="dxa"/>
          </w:tblCellMar>
        </w:tblPrEx>
        <w:tc>
          <w:tcPr>
            <w:tcW w:w="22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042D97A8" w14:textId="77777777" w:rsidR="00ED238F" w:rsidRDefault="00000000">
            <w:r>
              <w:rPr>
                <w:sz w:val="18"/>
                <w:szCs w:val="18"/>
              </w:rPr>
              <w:t>Tenor (T)</w:t>
            </w:r>
          </w:p>
        </w:tc>
        <w:tc>
          <w:tcPr>
            <w:tcW w:w="22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641FAD6B" w14:textId="77777777" w:rsidR="00ED238F" w:rsidRDefault="00000000">
            <w:r>
              <w:rPr>
                <w:sz w:val="18"/>
                <w:szCs w:val="18"/>
              </w:rPr>
              <w:t>Derived from column</w:t>
            </w:r>
          </w:p>
        </w:tc>
        <w:tc>
          <w:tcPr>
            <w:tcW w:w="496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2E4CD437" w14:textId="77777777" w:rsidR="00ED238F" w:rsidRDefault="00000000">
            <w:r>
              <w:rPr>
                <w:sz w:val="18"/>
                <w:szCs w:val="18"/>
              </w:rPr>
              <w:t>Time period expressed in fraction of year (e.g. 1M = 1/12)</w:t>
            </w:r>
          </w:p>
        </w:tc>
      </w:tr>
    </w:tbl>
    <w:p w14:paraId="4D648F05" w14:textId="77777777" w:rsidR="00ED238F" w:rsidRDefault="00ED238F">
      <w:pPr>
        <w:spacing w:after="140"/>
      </w:pPr>
    </w:p>
    <w:p w14:paraId="25CF8876" w14:textId="77777777" w:rsidR="00ED238F" w:rsidRDefault="00000000">
      <w:pPr>
        <w:pStyle w:val="Heading2"/>
      </w:pPr>
      <w:r>
        <w:t>3.3 Step-by-Step Breakdown</w:t>
      </w:r>
    </w:p>
    <w:p w14:paraId="25B2E1F3" w14:textId="77777777" w:rsidR="00ED238F" w:rsidRDefault="00ED23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D238F" w14:paraId="359DE9C7" w14:textId="77777777">
        <w:tblPrEx>
          <w:tblCellMar>
            <w:top w:w="0" w:type="dxa"/>
            <w:bottom w:w="0" w:type="dxa"/>
          </w:tblCellMar>
        </w:tblPrEx>
        <w:trPr>
          <w:tblHeader/>
        </w:trPr>
        <w:tc>
          <w:tcPr>
            <w:tcW w:w="220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5A92DAE7" w14:textId="77777777" w:rsidR="00ED238F" w:rsidRDefault="00000000">
            <w:r>
              <w:rPr>
                <w:b/>
                <w:bCs/>
                <w:color w:val="FFFFFF"/>
                <w:sz w:val="18"/>
                <w:szCs w:val="18"/>
              </w:rPr>
              <w:t>Part</w:t>
            </w:r>
          </w:p>
        </w:tc>
        <w:tc>
          <w:tcPr>
            <w:tcW w:w="220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4EE4AF87" w14:textId="77777777" w:rsidR="00ED238F" w:rsidRDefault="00000000">
            <w:r>
              <w:rPr>
                <w:b/>
                <w:bCs/>
                <w:color w:val="FFFFFF"/>
                <w:sz w:val="18"/>
                <w:szCs w:val="18"/>
              </w:rPr>
              <w:t>Cell Reference</w:t>
            </w:r>
          </w:p>
        </w:tc>
        <w:tc>
          <w:tcPr>
            <w:tcW w:w="496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362E9F31" w14:textId="77777777" w:rsidR="00ED238F" w:rsidRDefault="00000000">
            <w:r>
              <w:rPr>
                <w:b/>
                <w:bCs/>
                <w:color w:val="FFFFFF"/>
                <w:sz w:val="18"/>
                <w:szCs w:val="18"/>
              </w:rPr>
              <w:t>Meaning</w:t>
            </w:r>
          </w:p>
        </w:tc>
      </w:tr>
      <w:tr w:rsidR="00ED238F" w14:paraId="791D0815" w14:textId="77777777">
        <w:tblPrEx>
          <w:tblCellMar>
            <w:top w:w="0" w:type="dxa"/>
            <w:bottom w:w="0" w:type="dxa"/>
          </w:tblCellMar>
        </w:tblPrEx>
        <w:tc>
          <w:tcPr>
            <w:tcW w:w="22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061E3C02" w14:textId="77777777" w:rsidR="00ED238F" w:rsidRDefault="00000000">
            <w:r>
              <w:rPr>
                <w:sz w:val="18"/>
                <w:szCs w:val="18"/>
              </w:rPr>
              <w:t>NDF / Spot</w:t>
            </w:r>
          </w:p>
        </w:tc>
        <w:tc>
          <w:tcPr>
            <w:tcW w:w="22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50F0BB7E" w14:textId="77777777" w:rsidR="00ED238F" w:rsidRDefault="00000000">
            <w:r>
              <w:rPr>
                <w:sz w:val="18"/>
                <w:szCs w:val="18"/>
              </w:rPr>
              <w:t>I3 / $B$4</w:t>
            </w:r>
          </w:p>
        </w:tc>
        <w:tc>
          <w:tcPr>
            <w:tcW w:w="49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3E55B567" w14:textId="77777777" w:rsidR="00ED238F" w:rsidRDefault="00000000">
            <w:r>
              <w:rPr>
                <w:sz w:val="18"/>
                <w:szCs w:val="18"/>
              </w:rPr>
              <w:t xml:space="preserve">Forward-to-spot </w:t>
            </w:r>
            <w:proofErr w:type="gramStart"/>
            <w:r>
              <w:rPr>
                <w:sz w:val="18"/>
                <w:szCs w:val="18"/>
              </w:rPr>
              <w:t>ratio:</w:t>
            </w:r>
            <w:proofErr w:type="gramEnd"/>
            <w:r>
              <w:rPr>
                <w:sz w:val="18"/>
                <w:szCs w:val="18"/>
              </w:rPr>
              <w:t xml:space="preserve"> captures the implied forward premium or discount on TWD vs USD</w:t>
            </w:r>
          </w:p>
        </w:tc>
      </w:tr>
      <w:tr w:rsidR="00ED238F" w14:paraId="777840C4" w14:textId="77777777">
        <w:tblPrEx>
          <w:tblCellMar>
            <w:top w:w="0" w:type="dxa"/>
            <w:bottom w:w="0" w:type="dxa"/>
          </w:tblCellMar>
        </w:tblPrEx>
        <w:tc>
          <w:tcPr>
            <w:tcW w:w="22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69CBFB66" w14:textId="77777777" w:rsidR="00ED238F" w:rsidRDefault="00000000">
            <w:r>
              <w:rPr>
                <w:sz w:val="18"/>
                <w:szCs w:val="18"/>
              </w:rPr>
              <w:t xml:space="preserve">× (1 + </w:t>
            </w:r>
            <w:proofErr w:type="spellStart"/>
            <w:r>
              <w:rPr>
                <w:sz w:val="18"/>
                <w:szCs w:val="18"/>
              </w:rPr>
              <w:t>r_</w:t>
            </w:r>
            <w:proofErr w:type="gramStart"/>
            <w:r>
              <w:rPr>
                <w:sz w:val="18"/>
                <w:szCs w:val="18"/>
              </w:rPr>
              <w:t>USD</w:t>
            </w:r>
            <w:proofErr w:type="spellEnd"/>
            <w:r>
              <w:rPr>
                <w:sz w:val="18"/>
                <w:szCs w:val="18"/>
              </w:rPr>
              <w:t>)^</w:t>
            </w:r>
            <w:proofErr w:type="gramEnd"/>
            <w:r>
              <w:rPr>
                <w:sz w:val="18"/>
                <w:szCs w:val="18"/>
              </w:rPr>
              <w:t>(1/12)</w:t>
            </w:r>
          </w:p>
        </w:tc>
        <w:tc>
          <w:tcPr>
            <w:tcW w:w="22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517855F0" w14:textId="77777777" w:rsidR="00ED238F" w:rsidRDefault="00000000">
            <w:r>
              <w:rPr>
                <w:sz w:val="18"/>
                <w:szCs w:val="18"/>
              </w:rPr>
              <w:t>K3/100</w:t>
            </w:r>
          </w:p>
        </w:tc>
        <w:tc>
          <w:tcPr>
            <w:tcW w:w="496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1085C8E2" w14:textId="77777777" w:rsidR="00ED238F" w:rsidRDefault="00000000">
            <w:r>
              <w:rPr>
                <w:sz w:val="18"/>
                <w:szCs w:val="18"/>
              </w:rPr>
              <w:t>Applies one month of US Treasury return to adjust for USD interest earned over the period</w:t>
            </w:r>
          </w:p>
        </w:tc>
      </w:tr>
      <w:tr w:rsidR="00ED238F" w14:paraId="3E0373BB" w14:textId="77777777">
        <w:tblPrEx>
          <w:tblCellMar>
            <w:top w:w="0" w:type="dxa"/>
            <w:bottom w:w="0" w:type="dxa"/>
          </w:tblCellMar>
        </w:tblPrEx>
        <w:tc>
          <w:tcPr>
            <w:tcW w:w="22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5B59A805" w14:textId="77777777" w:rsidR="00ED238F" w:rsidRDefault="00000000">
            <w:r>
              <w:rPr>
                <w:sz w:val="18"/>
                <w:szCs w:val="18"/>
              </w:rPr>
              <w:t>(...)^12 − 1</w:t>
            </w:r>
          </w:p>
        </w:tc>
        <w:tc>
          <w:tcPr>
            <w:tcW w:w="22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198FBBBC" w14:textId="77777777" w:rsidR="00ED238F" w:rsidRDefault="00000000">
            <w:r>
              <w:rPr>
                <w:sz w:val="18"/>
                <w:szCs w:val="18"/>
              </w:rPr>
              <w:t>Exponent</w:t>
            </w:r>
          </w:p>
        </w:tc>
        <w:tc>
          <w:tcPr>
            <w:tcW w:w="49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3A21CEB3" w14:textId="77777777" w:rsidR="00ED238F" w:rsidRDefault="00000000">
            <w:proofErr w:type="spellStart"/>
            <w:r>
              <w:rPr>
                <w:sz w:val="18"/>
                <w:szCs w:val="18"/>
              </w:rPr>
              <w:t>Annualises</w:t>
            </w:r>
            <w:proofErr w:type="spellEnd"/>
            <w:r>
              <w:rPr>
                <w:sz w:val="18"/>
                <w:szCs w:val="18"/>
              </w:rPr>
              <w:t xml:space="preserve"> the compounded monthly rate back to a standard annual percentage figure</w:t>
            </w:r>
          </w:p>
        </w:tc>
      </w:tr>
    </w:tbl>
    <w:p w14:paraId="257BAA72" w14:textId="77777777" w:rsidR="00ED238F" w:rsidRDefault="00ED238F">
      <w:pPr>
        <w:spacing w:after="120"/>
      </w:pPr>
    </w:p>
    <w:p w14:paraId="1446A544" w14:textId="77777777" w:rsidR="00ED238F" w:rsidRDefault="00000000">
      <w:pPr>
        <w:pStyle w:val="Heading2"/>
      </w:pPr>
      <w:r>
        <w:t>3.4 The Compounded Annual Form</w:t>
      </w:r>
    </w:p>
    <w:p w14:paraId="753EF0F9" w14:textId="77777777" w:rsidR="00ED238F" w:rsidRDefault="00000000">
      <w:pPr>
        <w:spacing w:before="60" w:after="100"/>
      </w:pPr>
      <w:r>
        <w:t xml:space="preserve">The formula uses </w:t>
      </w:r>
      <w:r w:rsidRPr="00F10BBE">
        <w:rPr>
          <w:highlight w:val="blue"/>
        </w:rPr>
        <w:t>compounded rather than simple interest</w:t>
      </w:r>
      <w:r>
        <w:t>. The mathematical relationship is:</w:t>
      </w:r>
    </w:p>
    <w:p w14:paraId="0AAF8768" w14:textId="77777777" w:rsidR="00ED238F" w:rsidRDefault="00000000">
      <w:pPr>
        <w:pBdr>
          <w:left w:val="single" w:sz="16" w:space="0" w:color="006B6B"/>
        </w:pBdr>
        <w:shd w:val="clear" w:color="auto" w:fill="F2F4F7"/>
        <w:spacing w:before="160" w:after="160"/>
        <w:ind w:left="400" w:right="400"/>
        <w:jc w:val="center"/>
      </w:pPr>
      <w:proofErr w:type="spellStart"/>
      <w:r>
        <w:rPr>
          <w:rFonts w:ascii="Cambria Math" w:eastAsia="Cambria Math" w:hAnsi="Cambria Math" w:cs="Cambria Math"/>
          <w:b/>
          <w:bCs/>
          <w:color w:val="1B2A4A"/>
          <w:sz w:val="22"/>
          <w:szCs w:val="22"/>
        </w:rPr>
        <w:t>r_</w:t>
      </w:r>
      <w:proofErr w:type="gramStart"/>
      <w:r>
        <w:rPr>
          <w:rFonts w:ascii="Cambria Math" w:eastAsia="Cambria Math" w:hAnsi="Cambria Math" w:cs="Cambria Math"/>
          <w:b/>
          <w:bCs/>
          <w:color w:val="1B2A4A"/>
          <w:sz w:val="22"/>
          <w:szCs w:val="22"/>
        </w:rPr>
        <w:t>TWD</w:t>
      </w:r>
      <w:proofErr w:type="spellEnd"/>
      <w:r>
        <w:rPr>
          <w:rFonts w:ascii="Cambria Math" w:eastAsia="Cambria Math" w:hAnsi="Cambria Math" w:cs="Cambria Math"/>
          <w:b/>
          <w:bCs/>
          <w:color w:val="1B2A4A"/>
          <w:sz w:val="22"/>
          <w:szCs w:val="22"/>
        </w:rPr>
        <w:t xml:space="preserve">  =</w:t>
      </w:r>
      <w:proofErr w:type="gramEnd"/>
      <w:r>
        <w:rPr>
          <w:rFonts w:ascii="Cambria Math" w:eastAsia="Cambria Math" w:hAnsi="Cambria Math" w:cs="Cambria Math"/>
          <w:b/>
          <w:bCs/>
          <w:color w:val="1B2A4A"/>
          <w:sz w:val="22"/>
          <w:szCs w:val="22"/>
        </w:rPr>
        <w:t xml:space="preserve">  </w:t>
      </w:r>
      <w:proofErr w:type="gramStart"/>
      <w:r>
        <w:rPr>
          <w:rFonts w:ascii="Cambria Math" w:eastAsia="Cambria Math" w:hAnsi="Cambria Math" w:cs="Cambria Math"/>
          <w:b/>
          <w:bCs/>
          <w:color w:val="1B2A4A"/>
          <w:sz w:val="22"/>
          <w:szCs w:val="22"/>
        </w:rPr>
        <w:t>( (</w:t>
      </w:r>
      <w:proofErr w:type="gramEnd"/>
      <w:r>
        <w:rPr>
          <w:rFonts w:ascii="Cambria Math" w:eastAsia="Cambria Math" w:hAnsi="Cambria Math" w:cs="Cambria Math"/>
          <w:b/>
          <w:bCs/>
          <w:color w:val="1B2A4A"/>
          <w:sz w:val="22"/>
          <w:szCs w:val="22"/>
        </w:rPr>
        <w:t xml:space="preserve">NDF / Spot) × (1 + </w:t>
      </w:r>
      <w:proofErr w:type="spellStart"/>
      <w:r>
        <w:rPr>
          <w:rFonts w:ascii="Cambria Math" w:eastAsia="Cambria Math" w:hAnsi="Cambria Math" w:cs="Cambria Math"/>
          <w:b/>
          <w:bCs/>
          <w:color w:val="1B2A4A"/>
          <w:sz w:val="22"/>
          <w:szCs w:val="22"/>
        </w:rPr>
        <w:t>r_</w:t>
      </w:r>
      <w:proofErr w:type="gramStart"/>
      <w:r>
        <w:rPr>
          <w:rFonts w:ascii="Cambria Math" w:eastAsia="Cambria Math" w:hAnsi="Cambria Math" w:cs="Cambria Math"/>
          <w:b/>
          <w:bCs/>
          <w:color w:val="1B2A4A"/>
          <w:sz w:val="22"/>
          <w:szCs w:val="22"/>
        </w:rPr>
        <w:t>USD</w:t>
      </w:r>
      <w:proofErr w:type="spellEnd"/>
      <w:r>
        <w:rPr>
          <w:rFonts w:ascii="Cambria Math" w:eastAsia="Cambria Math" w:hAnsi="Cambria Math" w:cs="Cambria Math"/>
          <w:b/>
          <w:bCs/>
          <w:color w:val="1B2A4A"/>
          <w:sz w:val="22"/>
          <w:szCs w:val="22"/>
        </w:rPr>
        <w:t>)^</w:t>
      </w:r>
      <w:proofErr w:type="gramEnd"/>
      <w:r>
        <w:rPr>
          <w:rFonts w:ascii="Cambria Math" w:eastAsia="Cambria Math" w:hAnsi="Cambria Math" w:cs="Cambria Math"/>
          <w:b/>
          <w:bCs/>
          <w:color w:val="1B2A4A"/>
          <w:sz w:val="22"/>
          <w:szCs w:val="22"/>
        </w:rPr>
        <w:t>(1/12</w:t>
      </w:r>
      <w:proofErr w:type="gramStart"/>
      <w:r>
        <w:rPr>
          <w:rFonts w:ascii="Cambria Math" w:eastAsia="Cambria Math" w:hAnsi="Cambria Math" w:cs="Cambria Math"/>
          <w:b/>
          <w:bCs/>
          <w:color w:val="1B2A4A"/>
          <w:sz w:val="22"/>
          <w:szCs w:val="22"/>
        </w:rPr>
        <w:t>) )</w:t>
      </w:r>
      <w:proofErr w:type="gramEnd"/>
      <w:r>
        <w:rPr>
          <w:rFonts w:ascii="Cambria Math" w:eastAsia="Cambria Math" w:hAnsi="Cambria Math" w:cs="Cambria Math"/>
          <w:b/>
          <w:bCs/>
          <w:color w:val="1B2A4A"/>
          <w:sz w:val="22"/>
          <w:szCs w:val="22"/>
        </w:rPr>
        <w:t>^</w:t>
      </w:r>
      <w:proofErr w:type="gramStart"/>
      <w:r>
        <w:rPr>
          <w:rFonts w:ascii="Cambria Math" w:eastAsia="Cambria Math" w:hAnsi="Cambria Math" w:cs="Cambria Math"/>
          <w:b/>
          <w:bCs/>
          <w:color w:val="1B2A4A"/>
          <w:sz w:val="22"/>
          <w:szCs w:val="22"/>
        </w:rPr>
        <w:t>12  −</w:t>
      </w:r>
      <w:proofErr w:type="gramEnd"/>
      <w:r>
        <w:rPr>
          <w:rFonts w:ascii="Cambria Math" w:eastAsia="Cambria Math" w:hAnsi="Cambria Math" w:cs="Cambria Math"/>
          <w:b/>
          <w:bCs/>
          <w:color w:val="1B2A4A"/>
          <w:sz w:val="22"/>
          <w:szCs w:val="22"/>
        </w:rPr>
        <w:t xml:space="preserve">  1</w:t>
      </w:r>
    </w:p>
    <w:p w14:paraId="0AEA5981" w14:textId="77777777" w:rsidR="00ED238F" w:rsidRDefault="00ED238F">
      <w:pPr>
        <w:spacing w:after="40"/>
      </w:pPr>
    </w:p>
    <w:p w14:paraId="5B787098" w14:textId="77777777" w:rsidR="00ED238F" w:rsidRDefault="00000000">
      <w:pPr>
        <w:spacing w:before="60" w:after="100"/>
      </w:pPr>
      <w:r>
        <w:t>Breaking down each component:</w:t>
      </w:r>
    </w:p>
    <w:p w14:paraId="3684630B" w14:textId="77777777" w:rsidR="00ED238F" w:rsidRDefault="00000000">
      <w:pPr>
        <w:pStyle w:val="ListParagraph"/>
        <w:numPr>
          <w:ilvl w:val="0"/>
          <w:numId w:val="2"/>
        </w:numPr>
        <w:spacing w:before="40" w:after="60"/>
      </w:pPr>
      <w:r>
        <w:t xml:space="preserve">NDF / Spot — Gives the </w:t>
      </w:r>
      <w:r w:rsidRPr="00F10BBE">
        <w:rPr>
          <w:highlight w:val="blue"/>
        </w:rPr>
        <w:t>forward premium or discount ratio</w:t>
      </w:r>
      <w:r>
        <w:t xml:space="preserve"> of TWD vs USD</w:t>
      </w:r>
    </w:p>
    <w:p w14:paraId="0FD85F16" w14:textId="77777777" w:rsidR="00ED238F" w:rsidRDefault="00000000">
      <w:pPr>
        <w:pStyle w:val="ListParagraph"/>
        <w:numPr>
          <w:ilvl w:val="0"/>
          <w:numId w:val="2"/>
        </w:numPr>
        <w:spacing w:before="40" w:after="60"/>
      </w:pPr>
      <w:r>
        <w:t xml:space="preserve">× (1 + </w:t>
      </w:r>
      <w:proofErr w:type="spellStart"/>
      <w:r>
        <w:t>r_</w:t>
      </w:r>
      <w:proofErr w:type="gramStart"/>
      <w:r>
        <w:t>USD</w:t>
      </w:r>
      <w:proofErr w:type="spellEnd"/>
      <w:r>
        <w:t>)^</w:t>
      </w:r>
      <w:proofErr w:type="gramEnd"/>
      <w:r>
        <w:t>(1/</w:t>
      </w:r>
      <w:proofErr w:type="gramStart"/>
      <w:r>
        <w:t>12) —</w:t>
      </w:r>
      <w:proofErr w:type="gramEnd"/>
      <w:r>
        <w:t xml:space="preserve"> Applies one month of compounded US interest earned over the period</w:t>
      </w:r>
    </w:p>
    <w:p w14:paraId="7AC48A68" w14:textId="77777777" w:rsidR="00ED238F" w:rsidRDefault="00000000">
      <w:pPr>
        <w:pStyle w:val="ListParagraph"/>
        <w:numPr>
          <w:ilvl w:val="0"/>
          <w:numId w:val="2"/>
        </w:numPr>
        <w:spacing w:before="40" w:after="60"/>
      </w:pPr>
      <w:r>
        <w:t xml:space="preserve">(...)^12 − 1 — </w:t>
      </w:r>
      <w:proofErr w:type="spellStart"/>
      <w:r>
        <w:t>Annualises</w:t>
      </w:r>
      <w:proofErr w:type="spellEnd"/>
      <w:r>
        <w:t xml:space="preserve"> the monthly implied rate to a standard annual figure</w:t>
      </w:r>
    </w:p>
    <w:p w14:paraId="60FEB98E" w14:textId="77777777" w:rsidR="00ED238F" w:rsidRDefault="00ED23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200"/>
        <w:gridCol w:w="8160"/>
      </w:tblGrid>
      <w:tr w:rsidR="00ED238F" w14:paraId="74DA47C7" w14:textId="77777777">
        <w:tc>
          <w:tcPr>
            <w:tcW w:w="1200" w:type="dxa"/>
            <w:tcBorders>
              <w:top w:val="none" w:sz="0" w:space="0" w:color="FFFFFF"/>
              <w:left w:val="none" w:sz="0" w:space="0" w:color="FFFFFF"/>
              <w:bottom w:val="none" w:sz="0" w:space="0" w:color="FFFFFF"/>
              <w:right w:val="none" w:sz="0" w:space="0" w:color="FFFFFF"/>
            </w:tcBorders>
            <w:shd w:val="clear" w:color="auto" w:fill="B45309"/>
            <w:tcMar>
              <w:top w:w="120" w:type="dxa"/>
              <w:left w:w="160" w:type="dxa"/>
              <w:bottom w:w="120" w:type="dxa"/>
              <w:right w:w="160" w:type="dxa"/>
            </w:tcMar>
            <w:vAlign w:val="center"/>
          </w:tcPr>
          <w:p w14:paraId="27216D81" w14:textId="77777777" w:rsidR="00ED238F" w:rsidRDefault="00000000">
            <w:pPr>
              <w:jc w:val="center"/>
            </w:pPr>
            <w:r>
              <w:rPr>
                <w:b/>
                <w:bCs/>
                <w:color w:val="FFFFFF"/>
                <w:sz w:val="18"/>
                <w:szCs w:val="18"/>
              </w:rPr>
              <w:t>NOTE</w:t>
            </w:r>
          </w:p>
        </w:tc>
        <w:tc>
          <w:tcPr>
            <w:tcW w:w="816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160" w:type="dxa"/>
            </w:tcMar>
          </w:tcPr>
          <w:p w14:paraId="4872BD70" w14:textId="77777777" w:rsidR="00ED238F" w:rsidRDefault="00000000">
            <w:r>
              <w:rPr>
                <w:sz w:val="19"/>
                <w:szCs w:val="19"/>
              </w:rPr>
              <w:t>This is Covered Interest Rate Parity expressed in compounded annual form rather than simple interest. The result is a continuously re-investable annual rate consistent with standard money market conventions.</w:t>
            </w:r>
          </w:p>
        </w:tc>
      </w:tr>
    </w:tbl>
    <w:p w14:paraId="7500922E" w14:textId="77777777" w:rsidR="00ED238F" w:rsidRDefault="00ED238F">
      <w:pPr>
        <w:spacing w:after="160"/>
      </w:pPr>
    </w:p>
    <w:p w14:paraId="31F4D657" w14:textId="77777777" w:rsidR="00ED238F" w:rsidRDefault="00000000">
      <w:pPr>
        <w:pStyle w:val="Heading1"/>
        <w:pBdr>
          <w:bottom w:val="single" w:sz="8" w:space="4" w:color="006B6B"/>
        </w:pBdr>
      </w:pPr>
      <w:r>
        <w:t>4. Troubleshooting — Why #VALUE! Errors Appear</w:t>
      </w:r>
    </w:p>
    <w:p w14:paraId="18CF832D" w14:textId="77777777" w:rsidR="00ED238F" w:rsidRDefault="00000000">
      <w:pPr>
        <w:pStyle w:val="Heading2"/>
      </w:pPr>
      <w:r>
        <w:t>4.1 Root Cause</w:t>
      </w:r>
    </w:p>
    <w:p w14:paraId="6BE81855" w14:textId="77777777" w:rsidR="00ED238F" w:rsidRDefault="00000000">
      <w:pPr>
        <w:spacing w:before="60" w:after="100"/>
      </w:pPr>
      <w:r>
        <w:t xml:space="preserve">All #VALUE! errors across the Implied TWD Rate columns cascade from a single upstream failure: the Bloomberg data feed is not connected. The spreadsheet </w:t>
      </w:r>
      <w:proofErr w:type="gramStart"/>
      <w:r>
        <w:t>shows "#</w:t>
      </w:r>
      <w:proofErr w:type="gramEnd"/>
      <w:r>
        <w:t>N/A Requesting Data..." across the Spot, NDF, and USGG Yield input cells.</w:t>
      </w:r>
    </w:p>
    <w:p w14:paraId="41FA5D8E" w14:textId="77777777" w:rsidR="00ED238F" w:rsidRDefault="00ED23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200"/>
        <w:gridCol w:w="8160"/>
      </w:tblGrid>
      <w:tr w:rsidR="00ED238F" w14:paraId="2A84F73C" w14:textId="77777777">
        <w:tc>
          <w:tcPr>
            <w:tcW w:w="1200" w:type="dxa"/>
            <w:tcBorders>
              <w:top w:val="none" w:sz="0" w:space="0" w:color="FFFFFF"/>
              <w:left w:val="none" w:sz="0" w:space="0" w:color="FFFFFF"/>
              <w:bottom w:val="none" w:sz="0" w:space="0" w:color="FFFFFF"/>
              <w:right w:val="none" w:sz="0" w:space="0" w:color="FFFFFF"/>
            </w:tcBorders>
            <w:shd w:val="clear" w:color="auto" w:fill="9B1C1C"/>
            <w:tcMar>
              <w:top w:w="120" w:type="dxa"/>
              <w:left w:w="160" w:type="dxa"/>
              <w:bottom w:w="120" w:type="dxa"/>
              <w:right w:w="160" w:type="dxa"/>
            </w:tcMar>
            <w:vAlign w:val="center"/>
          </w:tcPr>
          <w:p w14:paraId="3CE3E0FC" w14:textId="77777777" w:rsidR="00ED238F" w:rsidRDefault="00000000">
            <w:pPr>
              <w:jc w:val="center"/>
            </w:pPr>
            <w:r>
              <w:rPr>
                <w:b/>
                <w:bCs/>
                <w:color w:val="FFFFFF"/>
                <w:sz w:val="18"/>
                <w:szCs w:val="18"/>
              </w:rPr>
              <w:t>ROOT CAUSE</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20" w:type="dxa"/>
              <w:left w:w="200" w:type="dxa"/>
              <w:bottom w:w="120" w:type="dxa"/>
              <w:right w:w="160" w:type="dxa"/>
            </w:tcMar>
          </w:tcPr>
          <w:p w14:paraId="0D3AF991" w14:textId="77777777" w:rsidR="00ED238F" w:rsidRDefault="00000000">
            <w:r>
              <w:rPr>
                <w:sz w:val="19"/>
                <w:szCs w:val="19"/>
              </w:rPr>
              <w:t>Bloomberg terminal is not connected or the BDP/BDH formula is not refreshed. Without live inputs for Spot ($B$4), NDF (I3), and USGG Yield (K3), every calculation downstream returns #VALUE! or #N/A.</w:t>
            </w:r>
          </w:p>
        </w:tc>
      </w:tr>
    </w:tbl>
    <w:p w14:paraId="4A0D7E2E" w14:textId="77777777" w:rsidR="00ED238F" w:rsidRDefault="00ED238F">
      <w:pPr>
        <w:spacing w:after="120"/>
      </w:pPr>
    </w:p>
    <w:p w14:paraId="02AE8C32" w14:textId="77777777" w:rsidR="00ED238F" w:rsidRDefault="00000000">
      <w:pPr>
        <w:pStyle w:val="Heading2"/>
      </w:pPr>
      <w:r>
        <w:lastRenderedPageBreak/>
        <w:t>4.2 Error Propagation Chain</w:t>
      </w:r>
    </w:p>
    <w:p w14:paraId="7D4519B3" w14:textId="77777777" w:rsidR="00ED238F" w:rsidRDefault="00000000">
      <w:pPr>
        <w:spacing w:before="60" w:after="100"/>
      </w:pPr>
      <w:r>
        <w:t>The failure cascades in strict order:</w:t>
      </w:r>
    </w:p>
    <w:p w14:paraId="5EF7E96E" w14:textId="77777777" w:rsidR="00ED238F" w:rsidRDefault="00000000">
      <w:pPr>
        <w:pStyle w:val="ListParagraph"/>
        <w:numPr>
          <w:ilvl w:val="0"/>
          <w:numId w:val="2"/>
        </w:numPr>
        <w:spacing w:before="40" w:after="60"/>
      </w:pPr>
      <w:r>
        <w:t xml:space="preserve">Step 1: Bloomberg feed disconnected — Spot, NDF, and Yield cells </w:t>
      </w:r>
      <w:proofErr w:type="gramStart"/>
      <w:r>
        <w:t>show #N</w:t>
      </w:r>
      <w:proofErr w:type="gramEnd"/>
      <w:r>
        <w:t>/A</w:t>
      </w:r>
    </w:p>
    <w:p w14:paraId="67C30609" w14:textId="77777777" w:rsidR="00ED238F" w:rsidRDefault="00000000">
      <w:pPr>
        <w:pStyle w:val="ListParagraph"/>
        <w:numPr>
          <w:ilvl w:val="0"/>
          <w:numId w:val="2"/>
        </w:numPr>
        <w:spacing w:before="40" w:after="60"/>
      </w:pPr>
      <w:r>
        <w:t>Step 2: NDF / Spot ratio becomes #N/A / number → #VALUE!</w:t>
      </w:r>
    </w:p>
    <w:p w14:paraId="3FCB88BF" w14:textId="77777777" w:rsidR="00ED238F" w:rsidRDefault="00000000">
      <w:pPr>
        <w:pStyle w:val="ListParagraph"/>
        <w:numPr>
          <w:ilvl w:val="0"/>
          <w:numId w:val="2"/>
        </w:numPr>
        <w:spacing w:before="40" w:after="60"/>
      </w:pPr>
      <w:r>
        <w:t xml:space="preserve">Step 3: Multiplication by (1 + </w:t>
      </w:r>
      <w:proofErr w:type="spellStart"/>
      <w:r>
        <w:t>r_</w:t>
      </w:r>
      <w:proofErr w:type="gramStart"/>
      <w:r>
        <w:t>USD</w:t>
      </w:r>
      <w:proofErr w:type="spellEnd"/>
      <w:r>
        <w:t>)^</w:t>
      </w:r>
      <w:proofErr w:type="gramEnd"/>
      <w:r>
        <w:t>(1/12) propagates the error</w:t>
      </w:r>
    </w:p>
    <w:p w14:paraId="7E49DC6D" w14:textId="77777777" w:rsidR="00ED238F" w:rsidRDefault="00000000">
      <w:pPr>
        <w:pStyle w:val="ListParagraph"/>
        <w:numPr>
          <w:ilvl w:val="0"/>
          <w:numId w:val="2"/>
        </w:numPr>
        <w:spacing w:before="40" w:after="60"/>
      </w:pPr>
      <w:r>
        <w:t xml:space="preserve">Step 4: The outer ^12 − 1 </w:t>
      </w:r>
      <w:proofErr w:type="spellStart"/>
      <w:r>
        <w:t>annualisation</w:t>
      </w:r>
      <w:proofErr w:type="spellEnd"/>
      <w:r>
        <w:t xml:space="preserve"> step returns #VALUE!</w:t>
      </w:r>
    </w:p>
    <w:p w14:paraId="729A4804" w14:textId="77777777" w:rsidR="00ED238F" w:rsidRDefault="00000000">
      <w:pPr>
        <w:pStyle w:val="ListParagraph"/>
        <w:numPr>
          <w:ilvl w:val="0"/>
          <w:numId w:val="2"/>
        </w:numPr>
        <w:spacing w:before="40" w:after="60"/>
      </w:pPr>
      <w:r>
        <w:t>Step 5: All downstream CB pricing cells that reference Implied TWD also break</w:t>
      </w:r>
    </w:p>
    <w:p w14:paraId="23C9BC90" w14:textId="77777777" w:rsidR="00ED238F" w:rsidRDefault="00ED238F">
      <w:pPr>
        <w:spacing w:after="120"/>
      </w:pPr>
    </w:p>
    <w:p w14:paraId="0D53A493" w14:textId="77777777" w:rsidR="00ED238F" w:rsidRDefault="00000000">
      <w:pPr>
        <w:pStyle w:val="Heading2"/>
      </w:pPr>
      <w:r>
        <w:t>4.3 Resolution Steps</w:t>
      </w:r>
    </w:p>
    <w:p w14:paraId="5CDD6116" w14:textId="77777777" w:rsidR="00ED238F" w:rsidRDefault="00000000">
      <w:pPr>
        <w:pStyle w:val="ListParagraph"/>
        <w:numPr>
          <w:ilvl w:val="0"/>
          <w:numId w:val="2"/>
        </w:numPr>
        <w:spacing w:before="40" w:after="60"/>
      </w:pPr>
      <w:r>
        <w:t>Confirm Bloomberg Terminal is open and logged in</w:t>
      </w:r>
    </w:p>
    <w:p w14:paraId="33E25FFC" w14:textId="77777777" w:rsidR="00ED238F" w:rsidRDefault="00000000">
      <w:pPr>
        <w:pStyle w:val="ListParagraph"/>
        <w:numPr>
          <w:ilvl w:val="0"/>
          <w:numId w:val="2"/>
        </w:numPr>
        <w:spacing w:before="40" w:after="60"/>
      </w:pPr>
      <w:r>
        <w:t>Press F9 (or Ctrl + Alt + F9) to force a full workbook recalculation</w:t>
      </w:r>
    </w:p>
    <w:p w14:paraId="0E891BF8" w14:textId="77777777" w:rsidR="00ED238F" w:rsidRDefault="00000000">
      <w:pPr>
        <w:pStyle w:val="ListParagraph"/>
        <w:numPr>
          <w:ilvl w:val="0"/>
          <w:numId w:val="2"/>
        </w:numPr>
        <w:spacing w:before="40" w:after="60"/>
      </w:pPr>
      <w:r>
        <w:t>Check that the Bloomberg Add-in is enabled: File → Options → Add-ins → Bloomberg</w:t>
      </w:r>
    </w:p>
    <w:p w14:paraId="3D02AF44" w14:textId="77777777" w:rsidR="00ED238F" w:rsidRDefault="00000000">
      <w:pPr>
        <w:pStyle w:val="ListParagraph"/>
        <w:numPr>
          <w:ilvl w:val="0"/>
          <w:numId w:val="2"/>
        </w:numPr>
        <w:spacing w:before="40" w:after="60"/>
      </w:pPr>
      <w:r>
        <w:t>If #N/A persists on specific cells, right-click and select Bloomberg → Refresh</w:t>
      </w:r>
    </w:p>
    <w:p w14:paraId="2B0AAA0F" w14:textId="77777777" w:rsidR="00ED238F" w:rsidRDefault="00000000">
      <w:pPr>
        <w:pStyle w:val="ListParagraph"/>
        <w:numPr>
          <w:ilvl w:val="0"/>
          <w:numId w:val="2"/>
        </w:numPr>
        <w:spacing w:before="40" w:after="60"/>
      </w:pPr>
      <w:r>
        <w:t xml:space="preserve">Verify ticker symbols: USDTWD </w:t>
      </w:r>
      <w:proofErr w:type="spellStart"/>
      <w:r>
        <w:t>Curncy</w:t>
      </w:r>
      <w:proofErr w:type="spellEnd"/>
      <w:r>
        <w:t xml:space="preserve"> (Spot), USDTWD1M </w:t>
      </w:r>
      <w:proofErr w:type="spellStart"/>
      <w:r>
        <w:t>Curncy</w:t>
      </w:r>
      <w:proofErr w:type="spellEnd"/>
      <w:r>
        <w:t xml:space="preserve"> (1M NDF), USGG10YR Index (10Y Treasury)</w:t>
      </w:r>
    </w:p>
    <w:p w14:paraId="532AB992" w14:textId="77777777" w:rsidR="00ED238F" w:rsidRDefault="00000000">
      <w:pPr>
        <w:pStyle w:val="ListParagraph"/>
        <w:numPr>
          <w:ilvl w:val="0"/>
          <w:numId w:val="2"/>
        </w:numPr>
        <w:spacing w:before="40" w:after="60"/>
      </w:pPr>
      <w:r>
        <w:t>If working offline: manually enter spot rate in $B$4 and NDF rates in I3:M3 for static analysis</w:t>
      </w:r>
    </w:p>
    <w:p w14:paraId="291DF1C1" w14:textId="77777777" w:rsidR="00ED238F" w:rsidRDefault="00ED23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200"/>
        <w:gridCol w:w="8160"/>
      </w:tblGrid>
      <w:tr w:rsidR="00ED238F" w14:paraId="1C118837" w14:textId="77777777">
        <w:tc>
          <w:tcPr>
            <w:tcW w:w="1200" w:type="dxa"/>
            <w:tcBorders>
              <w:top w:val="none" w:sz="0" w:space="0" w:color="FFFFFF"/>
              <w:left w:val="none" w:sz="0" w:space="0" w:color="FFFFFF"/>
              <w:bottom w:val="none" w:sz="0" w:space="0" w:color="FFFFFF"/>
              <w:right w:val="none" w:sz="0" w:space="0" w:color="FFFFFF"/>
            </w:tcBorders>
            <w:shd w:val="clear" w:color="auto" w:fill="065F46"/>
            <w:tcMar>
              <w:top w:w="120" w:type="dxa"/>
              <w:left w:w="160" w:type="dxa"/>
              <w:bottom w:w="120" w:type="dxa"/>
              <w:right w:w="160" w:type="dxa"/>
            </w:tcMar>
            <w:vAlign w:val="center"/>
          </w:tcPr>
          <w:p w14:paraId="7CD0392C" w14:textId="77777777" w:rsidR="00ED238F" w:rsidRDefault="00000000">
            <w:pPr>
              <w:jc w:val="center"/>
            </w:pPr>
            <w:r>
              <w:rPr>
                <w:b/>
                <w:bCs/>
                <w:color w:val="FFFFFF"/>
                <w:sz w:val="18"/>
                <w:szCs w:val="18"/>
              </w:rPr>
              <w:t>TIP</w:t>
            </w:r>
          </w:p>
        </w:tc>
        <w:tc>
          <w:tcPr>
            <w:tcW w:w="8160" w:type="dxa"/>
            <w:tcBorders>
              <w:top w:val="none" w:sz="0" w:space="0" w:color="FFFFFF"/>
              <w:left w:val="none" w:sz="0" w:space="0" w:color="FFFFFF"/>
              <w:bottom w:val="none" w:sz="0" w:space="0" w:color="FFFFFF"/>
              <w:right w:val="none" w:sz="0" w:space="0" w:color="FFFFFF"/>
            </w:tcBorders>
            <w:shd w:val="clear" w:color="auto" w:fill="ECFDF5"/>
            <w:tcMar>
              <w:top w:w="120" w:type="dxa"/>
              <w:left w:w="200" w:type="dxa"/>
              <w:bottom w:w="120" w:type="dxa"/>
              <w:right w:w="160" w:type="dxa"/>
            </w:tcMar>
          </w:tcPr>
          <w:p w14:paraId="5B2E58CD" w14:textId="77777777" w:rsidR="00ED238F" w:rsidRDefault="00000000">
            <w:r>
              <w:rPr>
                <w:sz w:val="19"/>
                <w:szCs w:val="19"/>
              </w:rPr>
              <w:t xml:space="preserve">For offline scenario analysis, hardcode the spot rate in $B$4 and NDF rates in each tenor column. This allows CB FX component pricing without a live Bloomberg </w:t>
            </w:r>
            <w:proofErr w:type="gramStart"/>
            <w:r>
              <w:rPr>
                <w:sz w:val="19"/>
                <w:szCs w:val="19"/>
              </w:rPr>
              <w:t>connection — useful</w:t>
            </w:r>
            <w:proofErr w:type="gramEnd"/>
            <w:r>
              <w:rPr>
                <w:sz w:val="19"/>
                <w:szCs w:val="19"/>
              </w:rPr>
              <w:t xml:space="preserve"> for pre-meeting preparation.</w:t>
            </w:r>
          </w:p>
        </w:tc>
      </w:tr>
    </w:tbl>
    <w:p w14:paraId="67A3745A" w14:textId="77777777" w:rsidR="00ED238F" w:rsidRDefault="00ED238F">
      <w:pPr>
        <w:spacing w:after="160"/>
      </w:pPr>
    </w:p>
    <w:p w14:paraId="04B3A0C0" w14:textId="77777777" w:rsidR="00ED238F" w:rsidRDefault="00000000">
      <w:pPr>
        <w:pStyle w:val="Heading1"/>
        <w:pBdr>
          <w:bottom w:val="single" w:sz="8" w:space="4" w:color="006B6B"/>
        </w:pBdr>
      </w:pPr>
      <w:r>
        <w:t>5. Application to the Wiwynn CLZCB</w:t>
      </w:r>
    </w:p>
    <w:p w14:paraId="7A2AA97B" w14:textId="77777777" w:rsidR="00ED238F" w:rsidRDefault="00000000">
      <w:pPr>
        <w:pStyle w:val="Heading2"/>
      </w:pPr>
      <w:r>
        <w:t>5.1 Why TWD Rates Are Critical for This Bond</w:t>
      </w:r>
    </w:p>
    <w:p w14:paraId="51B4DBAD" w14:textId="77777777" w:rsidR="00ED238F" w:rsidRDefault="00000000">
      <w:pPr>
        <w:spacing w:before="60" w:after="100"/>
      </w:pPr>
      <w:r w:rsidRPr="00F10BBE">
        <w:rPr>
          <w:highlight w:val="blue"/>
        </w:rPr>
        <w:t xml:space="preserve">The Wiwynn Currency-Linked </w:t>
      </w:r>
      <w:proofErr w:type="gramStart"/>
      <w:r w:rsidRPr="00F10BBE">
        <w:rPr>
          <w:highlight w:val="blue"/>
        </w:rPr>
        <w:t>Zero Coupon</w:t>
      </w:r>
      <w:proofErr w:type="gramEnd"/>
      <w:r w:rsidRPr="00F10BBE">
        <w:rPr>
          <w:highlight w:val="blue"/>
        </w:rPr>
        <w:t xml:space="preserve"> Convertible Bond (ISIN XS2853493117)</w:t>
      </w:r>
      <w:r>
        <w:t xml:space="preserve"> has a structural feature that makes </w:t>
      </w:r>
      <w:r w:rsidRPr="00F10BBE">
        <w:rPr>
          <w:highlight w:val="blue"/>
        </w:rPr>
        <w:t>the implied TWD rate directly material to its valuation</w:t>
      </w:r>
      <w:r>
        <w:t xml:space="preserve">: </w:t>
      </w:r>
      <w:r w:rsidRPr="00F10BBE">
        <w:rPr>
          <w:highlight w:val="blue"/>
        </w:rPr>
        <w:t>the conversion ratio is fixed in NTD terms at a locked FX rate of NTD 32.576 per USD, regardless of the spot rate at conversion</w:t>
      </w:r>
      <w:r>
        <w:t>.</w:t>
      </w:r>
    </w:p>
    <w:p w14:paraId="225C6FC4" w14:textId="77777777" w:rsidR="00ED238F" w:rsidRDefault="00ED238F">
      <w:pPr>
        <w:spacing w:after="80"/>
      </w:pPr>
    </w:p>
    <w:p w14:paraId="4F38659A" w14:textId="77777777" w:rsidR="00ED238F" w:rsidRDefault="00000000">
      <w:pPr>
        <w:spacing w:before="60" w:after="100"/>
      </w:pPr>
      <w:r>
        <w:t xml:space="preserve">This creates </w:t>
      </w:r>
      <w:r w:rsidRPr="00F10BBE">
        <w:rPr>
          <w:highlight w:val="blue"/>
        </w:rPr>
        <w:t>three FX-sensitive exposures</w:t>
      </w:r>
      <w:r>
        <w:t xml:space="preserve"> that depend on </w:t>
      </w:r>
      <w:r w:rsidRPr="00F10BBE">
        <w:rPr>
          <w:highlight w:val="blue"/>
        </w:rPr>
        <w:t>the TWD rate term structure</w:t>
      </w:r>
      <w:r>
        <w:t>:</w:t>
      </w:r>
    </w:p>
    <w:p w14:paraId="419EB603" w14:textId="77777777" w:rsidR="00ED238F" w:rsidRPr="00EA7F81" w:rsidRDefault="00000000">
      <w:pPr>
        <w:pStyle w:val="ListParagraph"/>
        <w:numPr>
          <w:ilvl w:val="0"/>
          <w:numId w:val="2"/>
        </w:numPr>
        <w:spacing w:before="40" w:after="60"/>
        <w:rPr>
          <w:highlight w:val="blue"/>
        </w:rPr>
      </w:pPr>
      <w:r w:rsidRPr="00EA7F81">
        <w:rPr>
          <w:highlight w:val="blue"/>
        </w:rPr>
        <w:t>Forward rate assumptions: The theoretical fair value of the embedded FX option depends on NTD/USD forward rates implied by CIP</w:t>
      </w:r>
    </w:p>
    <w:p w14:paraId="00B96E9B" w14:textId="77777777" w:rsidR="00ED238F" w:rsidRPr="00EA7F81" w:rsidRDefault="00000000">
      <w:pPr>
        <w:pStyle w:val="ListParagraph"/>
        <w:numPr>
          <w:ilvl w:val="0"/>
          <w:numId w:val="2"/>
        </w:numPr>
        <w:spacing w:before="40" w:after="60"/>
        <w:rPr>
          <w:highlight w:val="blue"/>
        </w:rPr>
      </w:pPr>
      <w:r w:rsidRPr="00EA7F81">
        <w:rPr>
          <w:highlight w:val="blue"/>
        </w:rPr>
        <w:t>Hedging cost: The cost of hedging the NTD exposure back to USD using NDFs is a direct function of the implied TWD rate differential</w:t>
      </w:r>
    </w:p>
    <w:p w14:paraId="64D4D7CB" w14:textId="77777777" w:rsidR="00ED238F" w:rsidRPr="00EA7F81" w:rsidRDefault="00000000">
      <w:pPr>
        <w:pStyle w:val="ListParagraph"/>
        <w:numPr>
          <w:ilvl w:val="0"/>
          <w:numId w:val="2"/>
        </w:numPr>
        <w:spacing w:before="40" w:after="60"/>
        <w:rPr>
          <w:highlight w:val="blue"/>
        </w:rPr>
      </w:pPr>
      <w:r w:rsidRPr="00EA7F81">
        <w:rPr>
          <w:highlight w:val="blue"/>
        </w:rPr>
        <w:t>Carry component: Any difference between the implied TWD rate and actual CBC policy rates represents a carry opportunity or cost</w:t>
      </w:r>
    </w:p>
    <w:p w14:paraId="54677C62" w14:textId="77777777" w:rsidR="00ED238F" w:rsidRDefault="00ED238F">
      <w:pPr>
        <w:spacing w:after="120"/>
      </w:pPr>
    </w:p>
    <w:p w14:paraId="211BA7A6" w14:textId="77777777" w:rsidR="00ED238F" w:rsidRDefault="00000000">
      <w:pPr>
        <w:pStyle w:val="Heading2"/>
      </w:pPr>
      <w:r>
        <w:t>5.2 Tenor Coverage</w:t>
      </w:r>
    </w:p>
    <w:p w14:paraId="3CFB624C" w14:textId="77777777" w:rsidR="00ED238F" w:rsidRDefault="00000000">
      <w:pPr>
        <w:spacing w:before="60" w:after="100"/>
      </w:pPr>
      <w:r>
        <w:t xml:space="preserve">The spreadsheet computes the implied TWD rate at </w:t>
      </w:r>
      <w:r w:rsidRPr="00125D65">
        <w:rPr>
          <w:highlight w:val="blue"/>
        </w:rPr>
        <w:t>five tenors</w:t>
      </w:r>
      <w:r>
        <w:t xml:space="preserve"> matching typical NDF market liquidity:</w:t>
      </w:r>
    </w:p>
    <w:p w14:paraId="12F6D308" w14:textId="77777777" w:rsidR="00ED238F" w:rsidRDefault="00ED23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ED238F" w14:paraId="5557D5D0" w14:textId="77777777">
        <w:tblPrEx>
          <w:tblCellMar>
            <w:top w:w="0" w:type="dxa"/>
            <w:bottom w:w="0" w:type="dxa"/>
          </w:tblCellMar>
        </w:tblPrEx>
        <w:trPr>
          <w:tblHeader/>
        </w:trPr>
        <w:tc>
          <w:tcPr>
            <w:tcW w:w="180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220A9015" w14:textId="77777777" w:rsidR="00ED238F" w:rsidRDefault="00000000">
            <w:r>
              <w:rPr>
                <w:b/>
                <w:bCs/>
                <w:color w:val="FFFFFF"/>
                <w:sz w:val="18"/>
                <w:szCs w:val="18"/>
              </w:rPr>
              <w:t>Tenor</w:t>
            </w:r>
          </w:p>
        </w:tc>
        <w:tc>
          <w:tcPr>
            <w:tcW w:w="180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0A46359F" w14:textId="77777777" w:rsidR="00ED238F" w:rsidRDefault="00000000">
            <w:r>
              <w:rPr>
                <w:b/>
                <w:bCs/>
                <w:color w:val="FFFFFF"/>
                <w:sz w:val="18"/>
                <w:szCs w:val="18"/>
              </w:rPr>
              <w:t>Column</w:t>
            </w:r>
          </w:p>
        </w:tc>
        <w:tc>
          <w:tcPr>
            <w:tcW w:w="576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4283CCE2" w14:textId="77777777" w:rsidR="00ED238F" w:rsidRDefault="00000000">
            <w:r>
              <w:rPr>
                <w:b/>
                <w:bCs/>
                <w:color w:val="FFFFFF"/>
                <w:sz w:val="18"/>
                <w:szCs w:val="18"/>
              </w:rPr>
              <w:t>Bond Relevance</w:t>
            </w:r>
          </w:p>
        </w:tc>
      </w:tr>
      <w:tr w:rsidR="00ED238F" w14:paraId="57A355AD" w14:textId="77777777">
        <w:tblPrEx>
          <w:tblCellMar>
            <w:top w:w="0" w:type="dxa"/>
            <w:bottom w:w="0" w:type="dxa"/>
          </w:tblCellMar>
        </w:tblPrEx>
        <w:tc>
          <w:tcPr>
            <w:tcW w:w="18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25B272FE" w14:textId="77777777" w:rsidR="00ED238F" w:rsidRDefault="00000000">
            <w:r>
              <w:rPr>
                <w:sz w:val="18"/>
                <w:szCs w:val="18"/>
              </w:rPr>
              <w:t>1 Month</w:t>
            </w:r>
          </w:p>
        </w:tc>
        <w:tc>
          <w:tcPr>
            <w:tcW w:w="18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49F2395D" w14:textId="77777777" w:rsidR="00ED238F" w:rsidRDefault="00000000">
            <w:r>
              <w:rPr>
                <w:sz w:val="18"/>
                <w:szCs w:val="18"/>
              </w:rPr>
              <w:t>I3 / K3</w:t>
            </w:r>
          </w:p>
        </w:tc>
        <w:tc>
          <w:tcPr>
            <w:tcW w:w="57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6C8F7C60" w14:textId="77777777" w:rsidR="00ED238F" w:rsidRDefault="00000000">
            <w:r>
              <w:rPr>
                <w:sz w:val="18"/>
                <w:szCs w:val="18"/>
              </w:rPr>
              <w:t>Short-term hedge rolling; monthly mark-to-market</w:t>
            </w:r>
          </w:p>
        </w:tc>
      </w:tr>
      <w:tr w:rsidR="00ED238F" w14:paraId="73F5D7EF" w14:textId="77777777">
        <w:tblPrEx>
          <w:tblCellMar>
            <w:top w:w="0" w:type="dxa"/>
            <w:bottom w:w="0" w:type="dxa"/>
          </w:tblCellMar>
        </w:tblPrEx>
        <w:tc>
          <w:tcPr>
            <w:tcW w:w="18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301AAFC8" w14:textId="77777777" w:rsidR="00ED238F" w:rsidRDefault="00000000">
            <w:r>
              <w:rPr>
                <w:sz w:val="18"/>
                <w:szCs w:val="18"/>
              </w:rPr>
              <w:t>3 Month</w:t>
            </w:r>
          </w:p>
        </w:tc>
        <w:tc>
          <w:tcPr>
            <w:tcW w:w="18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0AD64EA5" w14:textId="77777777" w:rsidR="00ED238F" w:rsidRDefault="00000000">
            <w:r>
              <w:rPr>
                <w:sz w:val="18"/>
                <w:szCs w:val="18"/>
              </w:rPr>
              <w:t>J3 / L3</w:t>
            </w:r>
          </w:p>
        </w:tc>
        <w:tc>
          <w:tcPr>
            <w:tcW w:w="576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5A93D240" w14:textId="77777777" w:rsidR="00ED238F" w:rsidRDefault="00000000">
            <w:r>
              <w:rPr>
                <w:sz w:val="18"/>
                <w:szCs w:val="18"/>
              </w:rPr>
              <w:t>Quarterly earnings event hedging; CBC meeting cycle</w:t>
            </w:r>
          </w:p>
        </w:tc>
      </w:tr>
      <w:tr w:rsidR="00ED238F" w14:paraId="26C29C6E" w14:textId="77777777">
        <w:tblPrEx>
          <w:tblCellMar>
            <w:top w:w="0" w:type="dxa"/>
            <w:bottom w:w="0" w:type="dxa"/>
          </w:tblCellMar>
        </w:tblPrEx>
        <w:tc>
          <w:tcPr>
            <w:tcW w:w="18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3969E13D" w14:textId="77777777" w:rsidR="00ED238F" w:rsidRDefault="00000000">
            <w:r>
              <w:rPr>
                <w:sz w:val="18"/>
                <w:szCs w:val="18"/>
              </w:rPr>
              <w:t>12 Month</w:t>
            </w:r>
          </w:p>
        </w:tc>
        <w:tc>
          <w:tcPr>
            <w:tcW w:w="18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2DF2ACEA" w14:textId="77777777" w:rsidR="00ED238F" w:rsidRDefault="00000000">
            <w:r>
              <w:rPr>
                <w:sz w:val="18"/>
                <w:szCs w:val="18"/>
              </w:rPr>
              <w:t>...</w:t>
            </w:r>
          </w:p>
        </w:tc>
        <w:tc>
          <w:tcPr>
            <w:tcW w:w="57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51E058FC" w14:textId="77777777" w:rsidR="00ED238F" w:rsidRDefault="00000000">
            <w:r>
              <w:rPr>
                <w:sz w:val="18"/>
                <w:szCs w:val="18"/>
              </w:rPr>
              <w:t>Annual coupon-equivalent hedging reference</w:t>
            </w:r>
          </w:p>
        </w:tc>
      </w:tr>
      <w:tr w:rsidR="00ED238F" w14:paraId="243A2E36" w14:textId="77777777">
        <w:tblPrEx>
          <w:tblCellMar>
            <w:top w:w="0" w:type="dxa"/>
            <w:bottom w:w="0" w:type="dxa"/>
          </w:tblCellMar>
        </w:tblPrEx>
        <w:tc>
          <w:tcPr>
            <w:tcW w:w="18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12F7FC7C" w14:textId="77777777" w:rsidR="00ED238F" w:rsidRDefault="00000000">
            <w:r>
              <w:rPr>
                <w:sz w:val="18"/>
                <w:szCs w:val="18"/>
              </w:rPr>
              <w:t>24 Month</w:t>
            </w:r>
          </w:p>
        </w:tc>
        <w:tc>
          <w:tcPr>
            <w:tcW w:w="18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4E9DD053" w14:textId="77777777" w:rsidR="00ED238F" w:rsidRDefault="00000000">
            <w:r>
              <w:rPr>
                <w:sz w:val="18"/>
                <w:szCs w:val="18"/>
              </w:rPr>
              <w:t>...</w:t>
            </w:r>
          </w:p>
        </w:tc>
        <w:tc>
          <w:tcPr>
            <w:tcW w:w="576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174DF199" w14:textId="77777777" w:rsidR="00ED238F" w:rsidRDefault="00000000">
            <w:r>
              <w:rPr>
                <w:sz w:val="18"/>
                <w:szCs w:val="18"/>
              </w:rPr>
              <w:t>Mid-life bond hedging; Delta hedge tenor matching</w:t>
            </w:r>
          </w:p>
        </w:tc>
      </w:tr>
      <w:tr w:rsidR="00ED238F" w14:paraId="5AFDA0AE" w14:textId="77777777">
        <w:tblPrEx>
          <w:tblCellMar>
            <w:top w:w="0" w:type="dxa"/>
            <w:bottom w:w="0" w:type="dxa"/>
          </w:tblCellMar>
        </w:tblPrEx>
        <w:tc>
          <w:tcPr>
            <w:tcW w:w="18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670B86DC" w14:textId="77777777" w:rsidR="00ED238F" w:rsidRDefault="00000000">
            <w:r>
              <w:rPr>
                <w:sz w:val="18"/>
                <w:szCs w:val="18"/>
              </w:rPr>
              <w:t>36 Month</w:t>
            </w:r>
          </w:p>
        </w:tc>
        <w:tc>
          <w:tcPr>
            <w:tcW w:w="18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40419D6F" w14:textId="77777777" w:rsidR="00ED238F" w:rsidRDefault="00000000">
            <w:r>
              <w:rPr>
                <w:sz w:val="18"/>
                <w:szCs w:val="18"/>
              </w:rPr>
              <w:t>...</w:t>
            </w:r>
          </w:p>
        </w:tc>
        <w:tc>
          <w:tcPr>
            <w:tcW w:w="57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30417A4D" w14:textId="77777777" w:rsidR="00ED238F" w:rsidRDefault="00000000">
            <w:r>
              <w:rPr>
                <w:sz w:val="18"/>
                <w:szCs w:val="18"/>
              </w:rPr>
              <w:t>Long-dated FX exposure; CBC structural rate view</w:t>
            </w:r>
          </w:p>
        </w:tc>
      </w:tr>
    </w:tbl>
    <w:p w14:paraId="4F0A22B4" w14:textId="77777777" w:rsidR="00ED238F" w:rsidRDefault="00ED238F">
      <w:pPr>
        <w:spacing w:after="120"/>
      </w:pPr>
    </w:p>
    <w:p w14:paraId="52E23805" w14:textId="77777777" w:rsidR="00ED238F" w:rsidRDefault="00000000">
      <w:pPr>
        <w:pStyle w:val="Heading2"/>
      </w:pPr>
      <w:r>
        <w:t>5.3 Relationship to the Bond Floor and Conversion Value</w:t>
      </w:r>
    </w:p>
    <w:p w14:paraId="4B8BEF7B" w14:textId="77777777" w:rsidR="00ED238F" w:rsidRDefault="00000000">
      <w:pPr>
        <w:spacing w:before="60" w:after="100"/>
      </w:pPr>
      <w:r>
        <w:t xml:space="preserve">When the </w:t>
      </w:r>
      <w:r w:rsidRPr="00125D65">
        <w:rPr>
          <w:highlight w:val="blue"/>
        </w:rPr>
        <w:t>implied TWD rate exceeds the USD rate</w:t>
      </w:r>
      <w:r>
        <w:t xml:space="preserve">, </w:t>
      </w:r>
      <w:r w:rsidRPr="00125D65">
        <w:rPr>
          <w:highlight w:val="blue"/>
        </w:rPr>
        <w:t>NTD is at a forward discount (USD/NTD forward &gt; spot)</w:t>
      </w:r>
      <w:r>
        <w:t>. This has two effects on the CLZCB:</w:t>
      </w:r>
    </w:p>
    <w:p w14:paraId="526F2F74" w14:textId="77777777" w:rsidR="00ED238F" w:rsidRDefault="00000000">
      <w:pPr>
        <w:pStyle w:val="ListParagraph"/>
        <w:numPr>
          <w:ilvl w:val="0"/>
          <w:numId w:val="2"/>
        </w:numPr>
        <w:spacing w:before="40" w:after="60"/>
      </w:pPr>
      <w:r>
        <w:t xml:space="preserve">It increases </w:t>
      </w:r>
      <w:r w:rsidRPr="00125D65">
        <w:rPr>
          <w:highlight w:val="blue"/>
        </w:rPr>
        <w:t>the theoretical cost of holding unhedged NTD exposure</w:t>
      </w:r>
      <w:r>
        <w:t xml:space="preserve"> — relevant when sizing FX delta hedge using NDFs</w:t>
      </w:r>
    </w:p>
    <w:p w14:paraId="0E7C52F4" w14:textId="77777777" w:rsidR="00ED238F" w:rsidRDefault="00000000">
      <w:pPr>
        <w:pStyle w:val="ListParagraph"/>
        <w:numPr>
          <w:ilvl w:val="0"/>
          <w:numId w:val="2"/>
        </w:numPr>
        <w:spacing w:before="40" w:after="60"/>
      </w:pPr>
      <w:r>
        <w:t xml:space="preserve">It affects the present value of the bond floor: the </w:t>
      </w:r>
      <w:proofErr w:type="gramStart"/>
      <w:r>
        <w:t>zero coupon</w:t>
      </w:r>
      <w:proofErr w:type="gramEnd"/>
      <w:r>
        <w:t xml:space="preserve"> component is discounted at USD </w:t>
      </w:r>
      <w:proofErr w:type="gramStart"/>
      <w:r>
        <w:t>rates</w:t>
      </w:r>
      <w:proofErr w:type="gramEnd"/>
      <w:r>
        <w:t xml:space="preserve"> but the equity conversion payout is valued in NTD, creating an FX basis that must be bridged by the implied rate</w:t>
      </w:r>
    </w:p>
    <w:p w14:paraId="52871E00" w14:textId="77777777" w:rsidR="00ED238F" w:rsidRDefault="00ED238F">
      <w:pPr>
        <w:spacing w:after="80"/>
      </w:pPr>
    </w:p>
    <w:p w14:paraId="2496CB28" w14:textId="77777777" w:rsidR="00ED238F" w:rsidRDefault="00000000">
      <w:pPr>
        <w:spacing w:before="60" w:after="100"/>
      </w:pPr>
      <w:r w:rsidRPr="00EA7F81">
        <w:rPr>
          <w:highlight w:val="blue"/>
        </w:rPr>
        <w:lastRenderedPageBreak/>
        <w:t>Conversely, if the implied TWD rate is below USD rates — NTD at a forward premium</w:t>
      </w:r>
      <w:r>
        <w:t xml:space="preserve"> — the FX component of the conversion is worth more in USD terms, </w:t>
      </w:r>
      <w:r w:rsidRPr="00EA7F81">
        <w:rPr>
          <w:highlight w:val="blue"/>
        </w:rPr>
        <w:t>increasing the bond's theoretical value</w:t>
      </w:r>
      <w:r>
        <w:t xml:space="preserve"> above a pure equity optionality model.</w:t>
      </w:r>
    </w:p>
    <w:p w14:paraId="47FC7940" w14:textId="77777777" w:rsidR="00ED238F" w:rsidRDefault="00ED238F">
      <w:pPr>
        <w:spacing w:after="160"/>
      </w:pPr>
    </w:p>
    <w:p w14:paraId="3BC45D2C" w14:textId="77777777" w:rsidR="00ED238F" w:rsidRDefault="00000000">
      <w:pPr>
        <w:pStyle w:val="Heading1"/>
        <w:pBdr>
          <w:bottom w:val="single" w:sz="8" w:space="4" w:color="006B6B"/>
        </w:pBdr>
      </w:pPr>
      <w:r>
        <w:t>6. Quick Reference Summary</w:t>
      </w:r>
    </w:p>
    <w:p w14:paraId="7737416A" w14:textId="77777777" w:rsidR="00ED238F" w:rsidRDefault="00ED23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238F" w14:paraId="52608B4E" w14:textId="77777777">
        <w:tblPrEx>
          <w:tblCellMar>
            <w:top w:w="0" w:type="dxa"/>
            <w:bottom w:w="0" w:type="dxa"/>
          </w:tblCellMar>
        </w:tblPrEx>
        <w:trPr>
          <w:tblHeader/>
        </w:trPr>
        <w:tc>
          <w:tcPr>
            <w:tcW w:w="360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1DD576F2" w14:textId="77777777" w:rsidR="00ED238F" w:rsidRDefault="00000000">
            <w:r>
              <w:rPr>
                <w:b/>
                <w:bCs/>
                <w:color w:val="FFFFFF"/>
                <w:sz w:val="18"/>
                <w:szCs w:val="18"/>
              </w:rPr>
              <w:t>Item</w:t>
            </w:r>
          </w:p>
        </w:tc>
        <w:tc>
          <w:tcPr>
            <w:tcW w:w="5760" w:type="dxa"/>
            <w:tcBorders>
              <w:top w:val="none" w:sz="0" w:space="0" w:color="FFFFFF"/>
              <w:left w:val="none" w:sz="0" w:space="0" w:color="FFFFFF"/>
              <w:bottom w:val="single" w:sz="6" w:space="0" w:color="D0D5DD"/>
              <w:right w:val="none" w:sz="0" w:space="0" w:color="FFFFFF"/>
            </w:tcBorders>
            <w:shd w:val="clear" w:color="auto" w:fill="1B2A4A"/>
            <w:tcMar>
              <w:top w:w="100" w:type="dxa"/>
              <w:left w:w="160" w:type="dxa"/>
              <w:bottom w:w="100" w:type="dxa"/>
              <w:right w:w="160" w:type="dxa"/>
            </w:tcMar>
          </w:tcPr>
          <w:p w14:paraId="2140EA12" w14:textId="77777777" w:rsidR="00ED238F" w:rsidRDefault="00000000">
            <w:r>
              <w:rPr>
                <w:b/>
                <w:bCs/>
                <w:color w:val="FFFFFF"/>
                <w:sz w:val="18"/>
                <w:szCs w:val="18"/>
              </w:rPr>
              <w:t>Detail</w:t>
            </w:r>
          </w:p>
        </w:tc>
      </w:tr>
      <w:tr w:rsidR="00ED238F" w14:paraId="4005F32E" w14:textId="77777777">
        <w:tblPrEx>
          <w:tblCellMar>
            <w:top w:w="0" w:type="dxa"/>
            <w:bottom w:w="0" w:type="dxa"/>
          </w:tblCellMar>
        </w:tblPrEx>
        <w:tc>
          <w:tcPr>
            <w:tcW w:w="36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5CCD1636" w14:textId="77777777" w:rsidR="00ED238F" w:rsidRDefault="00000000">
            <w:r>
              <w:rPr>
                <w:sz w:val="18"/>
                <w:szCs w:val="18"/>
              </w:rPr>
              <w:t>Formula (Simple)</w:t>
            </w:r>
          </w:p>
        </w:tc>
        <w:tc>
          <w:tcPr>
            <w:tcW w:w="57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42D9FE84" w14:textId="77777777" w:rsidR="00ED238F" w:rsidRDefault="00000000">
            <w:proofErr w:type="spellStart"/>
            <w:r>
              <w:rPr>
                <w:sz w:val="18"/>
                <w:szCs w:val="18"/>
              </w:rPr>
              <w:t>r_TWD</w:t>
            </w:r>
            <w:proofErr w:type="spellEnd"/>
            <w:r>
              <w:rPr>
                <w:sz w:val="18"/>
                <w:szCs w:val="18"/>
              </w:rPr>
              <w:t xml:space="preserve"> = </w:t>
            </w:r>
            <w:proofErr w:type="gramStart"/>
            <w:r>
              <w:rPr>
                <w:sz w:val="18"/>
                <w:szCs w:val="18"/>
              </w:rPr>
              <w:t>[ (</w:t>
            </w:r>
            <w:proofErr w:type="gramEnd"/>
            <w:r>
              <w:rPr>
                <w:sz w:val="18"/>
                <w:szCs w:val="18"/>
              </w:rPr>
              <w:t xml:space="preserve">NDF/Spot) × (1 + </w:t>
            </w:r>
            <w:proofErr w:type="spellStart"/>
            <w:r>
              <w:rPr>
                <w:sz w:val="18"/>
                <w:szCs w:val="18"/>
              </w:rPr>
              <w:t>r_USD</w:t>
            </w:r>
            <w:proofErr w:type="spellEnd"/>
            <w:r>
              <w:rPr>
                <w:sz w:val="18"/>
                <w:szCs w:val="18"/>
              </w:rPr>
              <w:t xml:space="preserve"> × T) − </w:t>
            </w:r>
            <w:proofErr w:type="gramStart"/>
            <w:r>
              <w:rPr>
                <w:sz w:val="18"/>
                <w:szCs w:val="18"/>
              </w:rPr>
              <w:t>1 ]</w:t>
            </w:r>
            <w:proofErr w:type="gramEnd"/>
            <w:r>
              <w:rPr>
                <w:sz w:val="18"/>
                <w:szCs w:val="18"/>
              </w:rPr>
              <w:t xml:space="preserve"> / T</w:t>
            </w:r>
          </w:p>
        </w:tc>
      </w:tr>
      <w:tr w:rsidR="00ED238F" w14:paraId="3901F963" w14:textId="77777777">
        <w:tblPrEx>
          <w:tblCellMar>
            <w:top w:w="0" w:type="dxa"/>
            <w:bottom w:w="0" w:type="dxa"/>
          </w:tblCellMar>
        </w:tblPrEx>
        <w:tc>
          <w:tcPr>
            <w:tcW w:w="36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3F4F14C3" w14:textId="77777777" w:rsidR="00ED238F" w:rsidRDefault="00000000">
            <w:r>
              <w:rPr>
                <w:sz w:val="18"/>
                <w:szCs w:val="18"/>
              </w:rPr>
              <w:t>Formula (Compounded)</w:t>
            </w:r>
          </w:p>
        </w:tc>
        <w:tc>
          <w:tcPr>
            <w:tcW w:w="576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57DC49A4" w14:textId="77777777" w:rsidR="00ED238F" w:rsidRDefault="00000000">
            <w:proofErr w:type="spellStart"/>
            <w:r>
              <w:rPr>
                <w:sz w:val="18"/>
                <w:szCs w:val="18"/>
              </w:rPr>
              <w:t>r_TWD</w:t>
            </w:r>
            <w:proofErr w:type="spellEnd"/>
            <w:r>
              <w:rPr>
                <w:sz w:val="18"/>
                <w:szCs w:val="18"/>
              </w:rPr>
              <w:t xml:space="preserve"> = </w:t>
            </w:r>
            <w:proofErr w:type="gramStart"/>
            <w:r>
              <w:rPr>
                <w:sz w:val="18"/>
                <w:szCs w:val="18"/>
              </w:rPr>
              <w:t>( (</w:t>
            </w:r>
            <w:proofErr w:type="gramEnd"/>
            <w:r>
              <w:rPr>
                <w:sz w:val="18"/>
                <w:szCs w:val="18"/>
              </w:rPr>
              <w:t xml:space="preserve">NDF/Spot) × (1 + </w:t>
            </w:r>
            <w:proofErr w:type="spellStart"/>
            <w:r>
              <w:rPr>
                <w:sz w:val="18"/>
                <w:szCs w:val="18"/>
              </w:rPr>
              <w:t>r_</w:t>
            </w:r>
            <w:proofErr w:type="gramStart"/>
            <w:r>
              <w:rPr>
                <w:sz w:val="18"/>
                <w:szCs w:val="18"/>
              </w:rPr>
              <w:t>USD</w:t>
            </w:r>
            <w:proofErr w:type="spellEnd"/>
            <w:r>
              <w:rPr>
                <w:sz w:val="18"/>
                <w:szCs w:val="18"/>
              </w:rPr>
              <w:t>)^</w:t>
            </w:r>
            <w:proofErr w:type="gramEnd"/>
            <w:r>
              <w:rPr>
                <w:sz w:val="18"/>
                <w:szCs w:val="18"/>
              </w:rPr>
              <w:t>(1/12</w:t>
            </w:r>
            <w:proofErr w:type="gramStart"/>
            <w:r>
              <w:rPr>
                <w:sz w:val="18"/>
                <w:szCs w:val="18"/>
              </w:rPr>
              <w:t>) )</w:t>
            </w:r>
            <w:proofErr w:type="gramEnd"/>
            <w:r>
              <w:rPr>
                <w:sz w:val="18"/>
                <w:szCs w:val="18"/>
              </w:rPr>
              <w:t>^12 − 1</w:t>
            </w:r>
          </w:p>
        </w:tc>
      </w:tr>
      <w:tr w:rsidR="00ED238F" w14:paraId="7D84B28B" w14:textId="77777777">
        <w:tblPrEx>
          <w:tblCellMar>
            <w:top w:w="0" w:type="dxa"/>
            <w:bottom w:w="0" w:type="dxa"/>
          </w:tblCellMar>
        </w:tblPrEx>
        <w:tc>
          <w:tcPr>
            <w:tcW w:w="36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1BC91885" w14:textId="77777777" w:rsidR="00ED238F" w:rsidRDefault="00000000">
            <w:r>
              <w:rPr>
                <w:sz w:val="18"/>
                <w:szCs w:val="18"/>
              </w:rPr>
              <w:t>Excel Cell Formula</w:t>
            </w:r>
          </w:p>
        </w:tc>
        <w:tc>
          <w:tcPr>
            <w:tcW w:w="57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0CBE59B8" w14:textId="77777777" w:rsidR="00ED238F" w:rsidRDefault="00000000">
            <w:r>
              <w:rPr>
                <w:sz w:val="18"/>
                <w:szCs w:val="18"/>
              </w:rPr>
              <w:t xml:space="preserve">= </w:t>
            </w:r>
            <w:proofErr w:type="gramStart"/>
            <w:r>
              <w:rPr>
                <w:sz w:val="18"/>
                <w:szCs w:val="18"/>
              </w:rPr>
              <w:t>( I</w:t>
            </w:r>
            <w:proofErr w:type="gramEnd"/>
            <w:r>
              <w:rPr>
                <w:sz w:val="18"/>
                <w:szCs w:val="18"/>
              </w:rPr>
              <w:t>3 / $B$4 * (1 + K3/</w:t>
            </w:r>
            <w:proofErr w:type="gramStart"/>
            <w:r>
              <w:rPr>
                <w:sz w:val="18"/>
                <w:szCs w:val="18"/>
              </w:rPr>
              <w:t>100)^</w:t>
            </w:r>
            <w:proofErr w:type="gramEnd"/>
            <w:r>
              <w:rPr>
                <w:sz w:val="18"/>
                <w:szCs w:val="18"/>
              </w:rPr>
              <w:t>(1/12</w:t>
            </w:r>
            <w:proofErr w:type="gramStart"/>
            <w:r>
              <w:rPr>
                <w:sz w:val="18"/>
                <w:szCs w:val="18"/>
              </w:rPr>
              <w:t>) )</w:t>
            </w:r>
            <w:proofErr w:type="gramEnd"/>
            <w:r>
              <w:rPr>
                <w:sz w:val="18"/>
                <w:szCs w:val="18"/>
              </w:rPr>
              <w:t>^12 - 1</w:t>
            </w:r>
          </w:p>
        </w:tc>
      </w:tr>
      <w:tr w:rsidR="00ED238F" w14:paraId="3E1B730F" w14:textId="77777777">
        <w:tblPrEx>
          <w:tblCellMar>
            <w:top w:w="0" w:type="dxa"/>
            <w:bottom w:w="0" w:type="dxa"/>
          </w:tblCellMar>
        </w:tblPrEx>
        <w:tc>
          <w:tcPr>
            <w:tcW w:w="36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66C2825E" w14:textId="77777777" w:rsidR="00ED238F" w:rsidRDefault="00000000">
            <w:r>
              <w:rPr>
                <w:sz w:val="18"/>
                <w:szCs w:val="18"/>
              </w:rPr>
              <w:t>Spot Rate Cell</w:t>
            </w:r>
          </w:p>
        </w:tc>
        <w:tc>
          <w:tcPr>
            <w:tcW w:w="576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4F10445D" w14:textId="77777777" w:rsidR="00ED238F" w:rsidRDefault="00000000">
            <w:r>
              <w:rPr>
                <w:sz w:val="18"/>
                <w:szCs w:val="18"/>
              </w:rPr>
              <w:t>$B$4 — anchored absolute reference (USDTWD Spot)</w:t>
            </w:r>
          </w:p>
        </w:tc>
      </w:tr>
      <w:tr w:rsidR="00ED238F" w14:paraId="40B38323" w14:textId="77777777">
        <w:tblPrEx>
          <w:tblCellMar>
            <w:top w:w="0" w:type="dxa"/>
            <w:bottom w:w="0" w:type="dxa"/>
          </w:tblCellMar>
        </w:tblPrEx>
        <w:tc>
          <w:tcPr>
            <w:tcW w:w="36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3E19E708" w14:textId="77777777" w:rsidR="00ED238F" w:rsidRDefault="00000000">
            <w:r>
              <w:rPr>
                <w:sz w:val="18"/>
                <w:szCs w:val="18"/>
              </w:rPr>
              <w:t>NDF Cells</w:t>
            </w:r>
          </w:p>
        </w:tc>
        <w:tc>
          <w:tcPr>
            <w:tcW w:w="57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02C0FCEB" w14:textId="77777777" w:rsidR="00ED238F" w:rsidRDefault="00000000">
            <w:r>
              <w:rPr>
                <w:sz w:val="18"/>
                <w:szCs w:val="18"/>
              </w:rPr>
              <w:t>I3, J3, K3, L3, M3 — one per tenor (1M, 3M, 12M, 24M, 36M)</w:t>
            </w:r>
          </w:p>
        </w:tc>
      </w:tr>
      <w:tr w:rsidR="00ED238F" w14:paraId="0FB8EF64" w14:textId="77777777">
        <w:tblPrEx>
          <w:tblCellMar>
            <w:top w:w="0" w:type="dxa"/>
            <w:bottom w:w="0" w:type="dxa"/>
          </w:tblCellMar>
        </w:tblPrEx>
        <w:tc>
          <w:tcPr>
            <w:tcW w:w="36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41BA9F4C" w14:textId="77777777" w:rsidR="00ED238F" w:rsidRDefault="00000000">
            <w:r>
              <w:rPr>
                <w:sz w:val="18"/>
                <w:szCs w:val="18"/>
              </w:rPr>
              <w:t>USD Rate Cells</w:t>
            </w:r>
          </w:p>
        </w:tc>
        <w:tc>
          <w:tcPr>
            <w:tcW w:w="576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2F7DFF53" w14:textId="77777777" w:rsidR="00ED238F" w:rsidRDefault="00000000">
            <w:r>
              <w:rPr>
                <w:sz w:val="18"/>
                <w:szCs w:val="18"/>
              </w:rPr>
              <w:t>K3 row — USGG Treasury yields, divided by 100 in formula</w:t>
            </w:r>
          </w:p>
        </w:tc>
      </w:tr>
      <w:tr w:rsidR="00ED238F" w14:paraId="44D4530D" w14:textId="77777777">
        <w:tblPrEx>
          <w:tblCellMar>
            <w:top w:w="0" w:type="dxa"/>
            <w:bottom w:w="0" w:type="dxa"/>
          </w:tblCellMar>
        </w:tblPrEx>
        <w:tc>
          <w:tcPr>
            <w:tcW w:w="360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44C499CF" w14:textId="77777777" w:rsidR="00ED238F" w:rsidRDefault="00000000">
            <w:r>
              <w:rPr>
                <w:sz w:val="18"/>
                <w:szCs w:val="18"/>
              </w:rPr>
              <w:t>#VALUE! Cause</w:t>
            </w:r>
          </w:p>
        </w:tc>
        <w:tc>
          <w:tcPr>
            <w:tcW w:w="5760" w:type="dxa"/>
            <w:tcBorders>
              <w:top w:val="none" w:sz="0" w:space="0" w:color="FFFFFF"/>
              <w:left w:val="none" w:sz="0" w:space="0" w:color="FFFFFF"/>
              <w:bottom w:val="single" w:sz="6" w:space="0" w:color="D0D5DD"/>
              <w:right w:val="none" w:sz="0" w:space="0" w:color="FFFFFF"/>
            </w:tcBorders>
            <w:shd w:val="clear" w:color="auto" w:fill="FFFFFF"/>
            <w:tcMar>
              <w:top w:w="80" w:type="dxa"/>
              <w:left w:w="160" w:type="dxa"/>
              <w:bottom w:w="80" w:type="dxa"/>
              <w:right w:w="160" w:type="dxa"/>
            </w:tcMar>
          </w:tcPr>
          <w:p w14:paraId="454D62CE" w14:textId="77777777" w:rsidR="00ED238F" w:rsidRDefault="00000000">
            <w:r>
              <w:rPr>
                <w:sz w:val="18"/>
                <w:szCs w:val="18"/>
              </w:rPr>
              <w:t>Bloomberg feed disconnected — refresh or enter data manually</w:t>
            </w:r>
          </w:p>
        </w:tc>
      </w:tr>
      <w:tr w:rsidR="00ED238F" w14:paraId="5FFE91FE" w14:textId="77777777">
        <w:tblPrEx>
          <w:tblCellMar>
            <w:top w:w="0" w:type="dxa"/>
            <w:bottom w:w="0" w:type="dxa"/>
          </w:tblCellMar>
        </w:tblPrEx>
        <w:tc>
          <w:tcPr>
            <w:tcW w:w="360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2082E7E0" w14:textId="77777777" w:rsidR="00ED238F" w:rsidRDefault="00000000">
            <w:r>
              <w:rPr>
                <w:sz w:val="18"/>
                <w:szCs w:val="18"/>
              </w:rPr>
              <w:t>Bond Reference</w:t>
            </w:r>
          </w:p>
        </w:tc>
        <w:tc>
          <w:tcPr>
            <w:tcW w:w="5760" w:type="dxa"/>
            <w:tcBorders>
              <w:top w:val="none" w:sz="0" w:space="0" w:color="FFFFFF"/>
              <w:left w:val="none" w:sz="0" w:space="0" w:color="FFFFFF"/>
              <w:bottom w:val="single" w:sz="6" w:space="0" w:color="D0D5DD"/>
              <w:right w:val="none" w:sz="0" w:space="0" w:color="FFFFFF"/>
            </w:tcBorders>
            <w:shd w:val="clear" w:color="auto" w:fill="F2F4F7"/>
            <w:tcMar>
              <w:top w:w="80" w:type="dxa"/>
              <w:left w:w="160" w:type="dxa"/>
              <w:bottom w:w="80" w:type="dxa"/>
              <w:right w:w="160" w:type="dxa"/>
            </w:tcMar>
          </w:tcPr>
          <w:p w14:paraId="59064128" w14:textId="77777777" w:rsidR="00ED238F" w:rsidRDefault="00000000">
            <w:r>
              <w:rPr>
                <w:sz w:val="18"/>
                <w:szCs w:val="18"/>
              </w:rPr>
              <w:t>Wiwynn CLZCB XS2853493117 — Fixed FX NTD 32.576</w:t>
            </w:r>
          </w:p>
        </w:tc>
      </w:tr>
    </w:tbl>
    <w:p w14:paraId="44339DC8" w14:textId="77777777" w:rsidR="00ED238F" w:rsidRDefault="00ED238F">
      <w:pPr>
        <w:spacing w:after="240"/>
      </w:pPr>
    </w:p>
    <w:p w14:paraId="0B38D9B3" w14:textId="77777777" w:rsidR="00ED238F" w:rsidRDefault="00000000">
      <w:pPr>
        <w:pBdr>
          <w:top w:val="single" w:sz="6" w:space="0" w:color="D0D5DD"/>
        </w:pBdr>
        <w:spacing w:before="200"/>
      </w:pPr>
      <w:r>
        <w:rPr>
          <w:i/>
          <w:iCs/>
          <w:color w:val="475467"/>
          <w:sz w:val="16"/>
          <w:szCs w:val="16"/>
        </w:rPr>
        <w:t>Covered Interest Rate Parity framework. Internal use only. All Bloomberg data subject to license restrictions.</w:t>
      </w:r>
    </w:p>
    <w:sectPr w:rsidR="00ED238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E796" w14:textId="77777777" w:rsidR="0047165D" w:rsidRDefault="0047165D">
      <w:r>
        <w:separator/>
      </w:r>
    </w:p>
  </w:endnote>
  <w:endnote w:type="continuationSeparator" w:id="0">
    <w:p w14:paraId="0FB693C1" w14:textId="77777777" w:rsidR="0047165D" w:rsidRDefault="00471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079" w14:textId="77777777" w:rsidR="00ED238F" w:rsidRDefault="00000000">
    <w:pPr>
      <w:pBdr>
        <w:top w:val="single" w:sz="6" w:space="4" w:color="D0D5DD"/>
      </w:pBdr>
      <w:tabs>
        <w:tab w:val="right" w:pos="9360"/>
      </w:tabs>
    </w:pPr>
    <w:r>
      <w:rPr>
        <w:color w:val="475467"/>
        <w:sz w:val="16"/>
        <w:szCs w:val="16"/>
      </w:rPr>
      <w:t>Internal Use Only — Convertible Bond Portfolio</w:t>
    </w:r>
    <w:r>
      <w:rPr>
        <w:color w:val="475467"/>
        <w:sz w:val="16"/>
        <w:szCs w:val="16"/>
      </w:rPr>
      <w:tab/>
      <w:t xml:space="preserve">Page </w:t>
    </w:r>
    <w:r>
      <w:rPr>
        <w:color w:val="475467"/>
        <w:sz w:val="16"/>
        <w:szCs w:val="16"/>
      </w:rPr>
      <w:fldChar w:fldCharType="begin"/>
    </w:r>
    <w:r>
      <w:rPr>
        <w:color w:val="475467"/>
        <w:sz w:val="16"/>
        <w:szCs w:val="16"/>
      </w:rPr>
      <w:instrText>PAGE</w:instrText>
    </w:r>
    <w:r>
      <w:rPr>
        <w:color w:val="475467"/>
        <w:sz w:val="16"/>
        <w:szCs w:val="16"/>
      </w:rPr>
      <w:fldChar w:fldCharType="separate"/>
    </w:r>
    <w:r w:rsidR="00F10BBE">
      <w:rPr>
        <w:noProof/>
        <w:color w:val="475467"/>
        <w:sz w:val="16"/>
        <w:szCs w:val="16"/>
      </w:rPr>
      <w:t>1</w:t>
    </w:r>
    <w:r>
      <w:rPr>
        <w:color w:val="47546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2D17" w14:textId="77777777" w:rsidR="0047165D" w:rsidRDefault="0047165D">
      <w:r>
        <w:separator/>
      </w:r>
    </w:p>
  </w:footnote>
  <w:footnote w:type="continuationSeparator" w:id="0">
    <w:p w14:paraId="6AFCE9C2" w14:textId="77777777" w:rsidR="0047165D" w:rsidRDefault="00471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86C7" w14:textId="77777777" w:rsidR="00ED238F" w:rsidRDefault="00000000">
    <w:pPr>
      <w:pBdr>
        <w:bottom w:val="single" w:sz="6" w:space="4" w:color="006B6B"/>
      </w:pBdr>
    </w:pPr>
    <w:r>
      <w:rPr>
        <w:color w:val="475467"/>
        <w:sz w:val="16"/>
        <w:szCs w:val="16"/>
      </w:rPr>
      <w:t>Wiwynn CLZCB — FX Analytics</w:t>
    </w:r>
    <w:r>
      <w:rPr>
        <w:color w:val="D0D5DD"/>
        <w:sz w:val="16"/>
        <w:szCs w:val="16"/>
      </w:rPr>
      <w:t xml:space="preserve">   |   Implied TWD Rate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16109"/>
    <w:multiLevelType w:val="hybridMultilevel"/>
    <w:tmpl w:val="E162F740"/>
    <w:lvl w:ilvl="0" w:tplc="DFB60968">
      <w:start w:val="1"/>
      <w:numFmt w:val="bullet"/>
      <w:lvlText w:val="●"/>
      <w:lvlJc w:val="left"/>
      <w:pPr>
        <w:ind w:left="720" w:hanging="360"/>
      </w:pPr>
    </w:lvl>
    <w:lvl w:ilvl="1" w:tplc="317A9632">
      <w:start w:val="1"/>
      <w:numFmt w:val="bullet"/>
      <w:lvlText w:val="○"/>
      <w:lvlJc w:val="left"/>
      <w:pPr>
        <w:ind w:left="1440" w:hanging="360"/>
      </w:pPr>
    </w:lvl>
    <w:lvl w:ilvl="2" w:tplc="84FC30D6">
      <w:start w:val="1"/>
      <w:numFmt w:val="bullet"/>
      <w:lvlText w:val="■"/>
      <w:lvlJc w:val="left"/>
      <w:pPr>
        <w:ind w:left="2160" w:hanging="360"/>
      </w:pPr>
    </w:lvl>
    <w:lvl w:ilvl="3" w:tplc="058E82D8">
      <w:start w:val="1"/>
      <w:numFmt w:val="bullet"/>
      <w:lvlText w:val="●"/>
      <w:lvlJc w:val="left"/>
      <w:pPr>
        <w:ind w:left="2880" w:hanging="360"/>
      </w:pPr>
    </w:lvl>
    <w:lvl w:ilvl="4" w:tplc="3EE40AB6">
      <w:start w:val="1"/>
      <w:numFmt w:val="bullet"/>
      <w:lvlText w:val="○"/>
      <w:lvlJc w:val="left"/>
      <w:pPr>
        <w:ind w:left="3600" w:hanging="360"/>
      </w:pPr>
    </w:lvl>
    <w:lvl w:ilvl="5" w:tplc="4594CE88">
      <w:start w:val="1"/>
      <w:numFmt w:val="bullet"/>
      <w:lvlText w:val="■"/>
      <w:lvlJc w:val="left"/>
      <w:pPr>
        <w:ind w:left="4320" w:hanging="360"/>
      </w:pPr>
    </w:lvl>
    <w:lvl w:ilvl="6" w:tplc="C636B7EE">
      <w:start w:val="1"/>
      <w:numFmt w:val="bullet"/>
      <w:lvlText w:val="●"/>
      <w:lvlJc w:val="left"/>
      <w:pPr>
        <w:ind w:left="5040" w:hanging="360"/>
      </w:pPr>
    </w:lvl>
    <w:lvl w:ilvl="7" w:tplc="948C2D12">
      <w:start w:val="1"/>
      <w:numFmt w:val="bullet"/>
      <w:lvlText w:val="●"/>
      <w:lvlJc w:val="left"/>
      <w:pPr>
        <w:ind w:left="5760" w:hanging="360"/>
      </w:pPr>
    </w:lvl>
    <w:lvl w:ilvl="8" w:tplc="6D0AB18E">
      <w:start w:val="1"/>
      <w:numFmt w:val="bullet"/>
      <w:lvlText w:val="●"/>
      <w:lvlJc w:val="left"/>
      <w:pPr>
        <w:ind w:left="6480" w:hanging="360"/>
      </w:pPr>
    </w:lvl>
  </w:abstractNum>
  <w:abstractNum w:abstractNumId="1" w15:restartNumberingAfterBreak="0">
    <w:nsid w:val="3FC23327"/>
    <w:multiLevelType w:val="hybridMultilevel"/>
    <w:tmpl w:val="3C24A2D0"/>
    <w:lvl w:ilvl="0" w:tplc="723CCCEC">
      <w:start w:val="1"/>
      <w:numFmt w:val="bullet"/>
      <w:lvlText w:val="•"/>
      <w:lvlJc w:val="left"/>
      <w:pPr>
        <w:ind w:left="720" w:hanging="360"/>
      </w:pPr>
    </w:lvl>
    <w:lvl w:ilvl="1" w:tplc="F13E9D82">
      <w:start w:val="1"/>
      <w:numFmt w:val="bullet"/>
      <w:lvlText w:val="◦"/>
      <w:lvlJc w:val="left"/>
      <w:pPr>
        <w:ind w:left="1080" w:hanging="360"/>
      </w:pPr>
    </w:lvl>
    <w:lvl w:ilvl="2" w:tplc="2AF8D5DA">
      <w:numFmt w:val="decimal"/>
      <w:lvlText w:val=""/>
      <w:lvlJc w:val="left"/>
    </w:lvl>
    <w:lvl w:ilvl="3" w:tplc="CC6615E8">
      <w:numFmt w:val="decimal"/>
      <w:lvlText w:val=""/>
      <w:lvlJc w:val="left"/>
    </w:lvl>
    <w:lvl w:ilvl="4" w:tplc="E2EC0738">
      <w:numFmt w:val="decimal"/>
      <w:lvlText w:val=""/>
      <w:lvlJc w:val="left"/>
    </w:lvl>
    <w:lvl w:ilvl="5" w:tplc="3B8A8D0C">
      <w:numFmt w:val="decimal"/>
      <w:lvlText w:val=""/>
      <w:lvlJc w:val="left"/>
    </w:lvl>
    <w:lvl w:ilvl="6" w:tplc="AA80A33A">
      <w:numFmt w:val="decimal"/>
      <w:lvlText w:val=""/>
      <w:lvlJc w:val="left"/>
    </w:lvl>
    <w:lvl w:ilvl="7" w:tplc="7D22060A">
      <w:numFmt w:val="decimal"/>
      <w:lvlText w:val=""/>
      <w:lvlJc w:val="left"/>
    </w:lvl>
    <w:lvl w:ilvl="8" w:tplc="ED16E714">
      <w:numFmt w:val="decimal"/>
      <w:lvlText w:val=""/>
      <w:lvlJc w:val="left"/>
    </w:lvl>
  </w:abstractNum>
  <w:num w:numId="1" w16cid:durableId="1447045507">
    <w:abstractNumId w:val="0"/>
    <w:lvlOverride w:ilvl="0">
      <w:startOverride w:val="1"/>
    </w:lvlOverride>
  </w:num>
  <w:num w:numId="2" w16cid:durableId="5848502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38F"/>
    <w:rsid w:val="00000355"/>
    <w:rsid w:val="00125D65"/>
    <w:rsid w:val="0047165D"/>
    <w:rsid w:val="00551094"/>
    <w:rsid w:val="00EA7F81"/>
    <w:rsid w:val="00ED238F"/>
    <w:rsid w:val="00F10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467DD56"/>
  <w15:docId w15:val="{7E3199C0-4190-4EF7-872E-F9284848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0182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28"/>
      <w:szCs w:val="28"/>
    </w:rPr>
  </w:style>
  <w:style w:type="paragraph" w:styleId="Heading2">
    <w:name w:val="heading 2"/>
    <w:uiPriority w:val="9"/>
    <w:unhideWhenUsed/>
    <w:qFormat/>
    <w:pPr>
      <w:spacing w:before="280" w:after="120"/>
      <w:outlineLvl w:val="1"/>
    </w:pPr>
    <w:rPr>
      <w:b/>
      <w:bCs/>
      <w:color w:val="006B6B"/>
      <w:sz w:val="22"/>
      <w:szCs w:val="22"/>
    </w:rPr>
  </w:style>
  <w:style w:type="paragraph" w:styleId="Heading3">
    <w:name w:val="heading 3"/>
    <w:uiPriority w:val="9"/>
    <w:semiHidden/>
    <w:unhideWhenUsed/>
    <w:qFormat/>
    <w:pPr>
      <w:spacing w:before="200" w:after="8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1304</Words>
  <Characters>6549</Characters>
  <Application>Microsoft Office Word</Application>
  <DocSecurity>0</DocSecurity>
  <Lines>284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 Young Bang</cp:lastModifiedBy>
  <cp:revision>2</cp:revision>
  <dcterms:created xsi:type="dcterms:W3CDTF">2026-03-08T11:48:00Z</dcterms:created>
  <dcterms:modified xsi:type="dcterms:W3CDTF">2026-03-08T11:48:00Z</dcterms:modified>
</cp:coreProperties>
</file>