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 hynix Inc. (000660 KS)</w:t>
      </w:r>
    </w:p>
    <w:p>
      <w:pPr>
        <w:pStyle w:val="Heading1"/>
      </w:pPr>
      <w:r>
        <w:t>Convertible Bond Term Sheet Analysis</w:t>
      </w:r>
    </w:p>
    <w:p/>
    <w:p>
      <w:r>
        <w:t>USD 1,500 million 1.25 – 1.75% Coupon Convertible Bonds Due 2030</w:t>
      </w:r>
    </w:p>
    <w:p>
      <w:r>
        <w:t>Bookrunner: BofA Securities</w:t>
      </w:r>
    </w:p>
    <w:p>
      <w:r>
        <w:t>Analysis Date: March 2026</w:t>
      </w:r>
    </w:p>
    <w:p>
      <w:r>
        <w:br w:type="page"/>
      </w:r>
    </w:p>
    <w:p>
      <w:pPr>
        <w:pStyle w:val="Heading1"/>
      </w:pPr>
      <w:r>
        <w:t>1. Deal Summary</w:t>
      </w:r>
    </w:p>
    <w:tbl>
      <w:tblPr>
        <w:tblStyle w:val="LightList-Accent1"/>
        <w:tblW w:type="auto" w:w="0"/>
        <w:tblLook w:firstColumn="1" w:firstRow="1" w:lastColumn="0" w:lastRow="0" w:noHBand="0" w:noVBand="1" w:val="04A0"/>
      </w:tblPr>
      <w:tblGrid>
        <w:gridCol w:w="3168"/>
        <w:gridCol w:w="6480"/>
      </w:tblGrid>
      <w:tr>
        <w:tc>
          <w:tcPr>
            <w:tcW w:type="dxa" w:w="4320"/>
          </w:tcPr>
          <w:p>
            <w:r>
              <w:t>Issuer</w:t>
            </w:r>
          </w:p>
        </w:tc>
        <w:tc>
          <w:tcPr>
            <w:tcW w:type="dxa" w:w="4320"/>
          </w:tcPr>
          <w:p>
            <w:r>
              <w:t>SK hynix Inc. (the "Issuer")</w:t>
            </w:r>
          </w:p>
        </w:tc>
      </w:tr>
      <w:tr>
        <w:tc>
          <w:tcPr>
            <w:tcW w:type="dxa" w:w="4320"/>
          </w:tcPr>
          <w:p>
            <w:r>
              <w:t>Ticker</w:t>
            </w:r>
          </w:p>
        </w:tc>
        <w:tc>
          <w:tcPr>
            <w:tcW w:type="dxa" w:w="4320"/>
          </w:tcPr>
          <w:p>
            <w:r>
              <w:t>000660 KS (KRX KOSPI Market)</w:t>
            </w:r>
          </w:p>
        </w:tc>
      </w:tr>
      <w:tr>
        <w:tc>
          <w:tcPr>
            <w:tcW w:type="dxa" w:w="4320"/>
          </w:tcPr>
          <w:p>
            <w:r>
              <w:t>Rating (Issuer)</w:t>
            </w:r>
          </w:p>
        </w:tc>
        <w:tc>
          <w:tcPr>
            <w:tcW w:type="dxa" w:w="4320"/>
          </w:tcPr>
          <w:p>
            <w:r>
              <w:t>Baa2 by Moody's / BBB- by Standard &amp; Poor's</w:t>
            </w:r>
          </w:p>
        </w:tc>
      </w:tr>
      <w:tr>
        <w:tc>
          <w:tcPr>
            <w:tcW w:type="dxa" w:w="4320"/>
          </w:tcPr>
          <w:p>
            <w:r>
              <w:t>Bond Rating</w:t>
            </w:r>
          </w:p>
        </w:tc>
        <w:tc>
          <w:tcPr>
            <w:tcW w:type="dxa" w:w="4320"/>
          </w:tcPr>
          <w:p>
            <w:r>
              <w:t>Expected Baa2 by Moody's</w:t>
            </w:r>
          </w:p>
        </w:tc>
      </w:tr>
      <w:tr>
        <w:tc>
          <w:tcPr>
            <w:tcW w:type="dxa" w:w="4320"/>
          </w:tcPr>
          <w:p>
            <w:r>
              <w:t>Currency</w:t>
            </w:r>
          </w:p>
        </w:tc>
        <w:tc>
          <w:tcPr>
            <w:tcW w:type="dxa" w:w="4320"/>
          </w:tcPr>
          <w:p>
            <w:r>
              <w:t>United States Dollars ("USD")</w:t>
            </w:r>
          </w:p>
        </w:tc>
      </w:tr>
      <w:tr>
        <w:tc>
          <w:tcPr>
            <w:tcW w:type="dxa" w:w="4320"/>
          </w:tcPr>
          <w:p>
            <w:r>
              <w:t>Issue Size</w:t>
            </w:r>
          </w:p>
        </w:tc>
        <w:tc>
          <w:tcPr>
            <w:tcW w:type="dxa" w:w="4320"/>
          </w:tcPr>
          <w:p>
            <w:r>
              <w:t>USD 1,500 million</w:t>
            </w:r>
          </w:p>
        </w:tc>
      </w:tr>
      <w:tr>
        <w:tc>
          <w:tcPr>
            <w:tcW w:type="dxa" w:w="4320"/>
          </w:tcPr>
          <w:p>
            <w:r>
              <w:t>Denomination</w:t>
            </w:r>
          </w:p>
        </w:tc>
        <w:tc>
          <w:tcPr>
            <w:tcW w:type="dxa" w:w="4320"/>
          </w:tcPr>
          <w:p>
            <w:r>
              <w:t>USD 200,000 and integral multiples thereof</w:t>
            </w:r>
          </w:p>
        </w:tc>
      </w:tr>
      <w:tr>
        <w:tc>
          <w:tcPr>
            <w:tcW w:type="dxa" w:w="4320"/>
          </w:tcPr>
          <w:p>
            <w:r>
              <w:t>Issue Price</w:t>
            </w:r>
          </w:p>
        </w:tc>
        <w:tc>
          <w:tcPr>
            <w:tcW w:type="dxa" w:w="4320"/>
          </w:tcPr>
          <w:p>
            <w:r>
              <w:t>100.00% of principal amount</w:t>
            </w:r>
          </w:p>
        </w:tc>
      </w:tr>
      <w:tr>
        <w:tc>
          <w:tcPr>
            <w:tcW w:type="dxa" w:w="4320"/>
          </w:tcPr>
          <w:p>
            <w:r>
              <w:t>Maturity Date</w:t>
            </w:r>
          </w:p>
        </w:tc>
        <w:tc>
          <w:tcPr>
            <w:tcW w:type="dxa" w:w="4320"/>
          </w:tcPr>
          <w:p>
            <w:r>
              <w:t>On or about 11 April 2030 (7 years)</w:t>
            </w:r>
          </w:p>
        </w:tc>
      </w:tr>
      <w:tr>
        <w:tc>
          <w:tcPr>
            <w:tcW w:type="dxa" w:w="4320"/>
          </w:tcPr>
          <w:p>
            <w:r>
              <w:t>Investor Put Option</w:t>
            </w:r>
          </w:p>
        </w:tc>
        <w:tc>
          <w:tcPr>
            <w:tcW w:type="dxa" w:w="4320"/>
          </w:tcPr>
          <w:p>
            <w:r>
              <w:t>On or about 11 April 2027 (end of year 4)</w:t>
            </w:r>
          </w:p>
        </w:tc>
      </w:tr>
      <w:tr>
        <w:tc>
          <w:tcPr>
            <w:tcW w:type="dxa" w:w="4320"/>
          </w:tcPr>
          <w:p>
            <w:r>
              <w:t>Coupon</w:t>
            </w:r>
          </w:p>
        </w:tc>
        <w:tc>
          <w:tcPr>
            <w:tcW w:type="dxa" w:w="4320"/>
          </w:tcPr>
          <w:p>
            <w:r>
              <w:t>1.25 – 1.75% p.a., payable quarterly in arrear</w:t>
            </w:r>
          </w:p>
        </w:tc>
      </w:tr>
      <w:tr>
        <w:tc>
          <w:tcPr>
            <w:tcW w:type="dxa" w:w="4320"/>
          </w:tcPr>
          <w:p>
            <w:r>
              <w:t>Yield to Put / Maturity</w:t>
            </w:r>
          </w:p>
        </w:tc>
        <w:tc>
          <w:tcPr>
            <w:tcW w:type="dxa" w:w="4320"/>
          </w:tcPr>
          <w:p>
            <w:r>
              <w:t>1.25 – 1.75% p.a., quarterly basis</w:t>
            </w:r>
          </w:p>
        </w:tc>
      </w:tr>
      <w:tr>
        <w:tc>
          <w:tcPr>
            <w:tcW w:type="dxa" w:w="4320"/>
          </w:tcPr>
          <w:p>
            <w:r>
              <w:t>Put / Maturity Price</w:t>
            </w:r>
          </w:p>
        </w:tc>
        <w:tc>
          <w:tcPr>
            <w:tcW w:type="dxa" w:w="4320"/>
          </w:tcPr>
          <w:p>
            <w:r>
              <w:t>100.00% of principal amount</w:t>
            </w:r>
          </w:p>
        </w:tc>
      </w:tr>
      <w:tr>
        <w:tc>
          <w:tcPr>
            <w:tcW w:type="dxa" w:w="4320"/>
          </w:tcPr>
          <w:p>
            <w:r>
              <w:t>Initial Conversion Premium</w:t>
            </w:r>
          </w:p>
        </w:tc>
        <w:tc>
          <w:tcPr>
            <w:tcW w:type="dxa" w:w="4320"/>
          </w:tcPr>
          <w:p>
            <w:r>
              <w:t>27.5 – 32.5% above Reference Price</w:t>
            </w:r>
          </w:p>
        </w:tc>
      </w:tr>
      <w:tr>
        <w:tc>
          <w:tcPr>
            <w:tcW w:type="dxa" w:w="4320"/>
          </w:tcPr>
          <w:p>
            <w:r>
              <w:t>Reference Price</w:t>
            </w:r>
          </w:p>
        </w:tc>
        <w:tc>
          <w:tcPr>
            <w:tcW w:type="dxa" w:w="4320"/>
          </w:tcPr>
          <w:p>
            <w:r>
              <w:t>KRW 87,200 (closing price on 3 April 2023)</w:t>
            </w:r>
          </w:p>
        </w:tc>
      </w:tr>
      <w:tr>
        <w:tc>
          <w:tcPr>
            <w:tcW w:type="dxa" w:w="4320"/>
          </w:tcPr>
          <w:p>
            <w:r>
              <w:t>Initial Conversion Price</w:t>
            </w:r>
          </w:p>
        </w:tc>
        <w:tc>
          <w:tcPr>
            <w:tcW w:type="dxa" w:w="4320"/>
          </w:tcPr>
          <w:p>
            <w:r>
              <w:t>KRW 111,180 – 115,540 per share</w:t>
            </w:r>
          </w:p>
        </w:tc>
      </w:tr>
      <w:tr>
        <w:tc>
          <w:tcPr>
            <w:tcW w:type="dxa" w:w="4320"/>
          </w:tcPr>
          <w:p>
            <w:r>
              <w:t>Fixed Exchange Rate</w:t>
            </w:r>
          </w:p>
        </w:tc>
        <w:tc>
          <w:tcPr>
            <w:tcW w:type="dxa" w:w="4320"/>
          </w:tcPr>
          <w:p>
            <w:r>
              <w:t>KRW 1,316.30 / USD 1.00 (Bloomberg SMBS KRW Basic Rates Fixing KRW/USD closing rate at 3:30 PM Seoul time, 3 April 2023)</w:t>
            </w:r>
          </w:p>
        </w:tc>
      </w:tr>
      <w:tr>
        <w:tc>
          <w:tcPr>
            <w:tcW w:type="dxa" w:w="4320"/>
          </w:tcPr>
          <w:p>
            <w:r>
              <w:t>Conversion Period</w:t>
            </w:r>
          </w:p>
        </w:tc>
        <w:tc>
          <w:tcPr>
            <w:tcW w:type="dxa" w:w="4320"/>
          </w:tcPr>
          <w:p>
            <w:r>
              <w:t>From 41 calendar days after Closing Date to 10 calendar days prior to Maturity Date, or 7 business days prior to any earlier redemption date</w:t>
            </w:r>
          </w:p>
        </w:tc>
      </w:tr>
      <w:tr>
        <w:tc>
          <w:tcPr>
            <w:tcW w:type="dxa" w:w="4320"/>
          </w:tcPr>
          <w:p>
            <w:r>
              <w:t>Entrustment of Shares</w:t>
            </w:r>
          </w:p>
        </w:tc>
        <w:tc>
          <w:tcPr>
            <w:tcW w:type="dxa" w:w="4320"/>
          </w:tcPr>
          <w:p>
            <w:r>
              <w:t>Shares delivered upon conversion entrusted with Korea Securities Depository (KSD)</w:t>
            </w:r>
          </w:p>
        </w:tc>
      </w:tr>
      <w:tr>
        <w:tc>
          <w:tcPr>
            <w:tcW w:type="dxa" w:w="4320"/>
          </w:tcPr>
          <w:p>
            <w:r>
              <w:t>Status</w:t>
            </w:r>
          </w:p>
        </w:tc>
        <w:tc>
          <w:tcPr>
            <w:tcW w:type="dxa" w:w="4320"/>
          </w:tcPr>
          <w:p>
            <w:r>
              <w:t>Direct, unconditional, unsubordinated, unsecured (pari passu)</w:t>
            </w:r>
          </w:p>
        </w:tc>
      </w:tr>
      <w:tr>
        <w:tc>
          <w:tcPr>
            <w:tcW w:type="dxa" w:w="4320"/>
          </w:tcPr>
          <w:p>
            <w:r>
              <w:t>Day Count</w:t>
            </w:r>
          </w:p>
        </w:tc>
        <w:tc>
          <w:tcPr>
            <w:tcW w:type="dxa" w:w="4320"/>
          </w:tcPr>
          <w:p>
            <w:r>
              <w:t>30 / 360</w:t>
            </w:r>
          </w:p>
        </w:tc>
      </w:tr>
      <w:tr>
        <w:tc>
          <w:tcPr>
            <w:tcW w:type="dxa" w:w="4320"/>
          </w:tcPr>
          <w:p>
            <w:r>
              <w:t>Governing Law</w:t>
            </w:r>
          </w:p>
        </w:tc>
        <w:tc>
          <w:tcPr>
            <w:tcW w:type="dxa" w:w="4320"/>
          </w:tcPr>
          <w:p>
            <w:r>
              <w:t>English Law</w:t>
            </w:r>
          </w:p>
        </w:tc>
      </w:tr>
      <w:tr>
        <w:tc>
          <w:tcPr>
            <w:tcW w:type="dxa" w:w="4320"/>
          </w:tcPr>
          <w:p>
            <w:r>
              <w:t>ISIN</w:t>
            </w:r>
          </w:p>
        </w:tc>
        <w:tc>
          <w:tcPr>
            <w:tcW w:type="dxa" w:w="4320"/>
          </w:tcPr>
          <w:p>
            <w:r>
              <w:t>XS2607736407</w:t>
            </w:r>
          </w:p>
        </w:tc>
      </w:tr>
      <w:tr>
        <w:tc>
          <w:tcPr>
            <w:tcW w:type="dxa" w:w="4320"/>
          </w:tcPr>
          <w:p>
            <w:r>
              <w:t>Settlement</w:t>
            </w:r>
          </w:p>
        </w:tc>
        <w:tc>
          <w:tcPr>
            <w:tcW w:type="dxa" w:w="4320"/>
          </w:tcPr>
          <w:p>
            <w:r>
              <w:t>Euroclear and Clearstream</w:t>
            </w:r>
          </w:p>
        </w:tc>
      </w:tr>
    </w:tbl>
    <w:p>
      <w:r>
        <w:br w:type="page"/>
      </w:r>
    </w:p>
    <w:p>
      <w:pPr>
        <w:pStyle w:val="Heading1"/>
      </w:pPr>
      <w:r>
        <w:t>2. Convertible Bond Type Classification</w:t>
      </w:r>
    </w:p>
    <w:p>
      <w:pPr>
        <w:pStyle w:val="Heading2"/>
      </w:pPr>
      <w:r>
        <w:t>This is a Compo CB (Composite Convertible Bond)</w:t>
      </w:r>
    </w:p>
    <w:p>
      <w:r>
        <w:t>The SK hynix 2030 CB is classified as a Compo CB. This is determined by three defining characteristics:</w:t>
      </w:r>
    </w:p>
    <w:p>
      <w:pPr>
        <w:pStyle w:val="ListNumber"/>
      </w:pPr>
      <w:r>
        <w:t>USD Denominated: The bond is issued, traded, and settled entirely in USD. All coupon payments, put price, and redemption are fixed USD amounts. There is no currency linkage or flex mechanism.</w:t>
      </w:r>
    </w:p>
    <w:p>
      <w:pPr>
        <w:pStyle w:val="ListNumber"/>
      </w:pPr>
      <w:r>
        <w:t>Local Currency Equity Conversion: Upon conversion, bondholders receive ordinary shares of SK hynix listed on the KRX KOSPI Market in Korea. These shares are KRW-denominated.</w:t>
      </w:r>
    </w:p>
    <w:p>
      <w:pPr>
        <w:pStyle w:val="ListNumber"/>
      </w:pPr>
      <w:r>
        <w:t>Fixed Exchange Rate for Conversion: The conversion price is set in KRW (KRW 111,180 – 115,540) using a Fixed Exchange Rate of KRW 1,316.30 per USD. This rate is locked at pricing and does NOT float — it is used solely to translate the USD bond notional into KRW for the conversion ratio calculation.</w:t>
      </w:r>
    </w:p>
    <w:p>
      <w:pPr>
        <w:pStyle w:val="Heading2"/>
      </w:pPr>
      <w:r>
        <w:t>Why Compo and not Flexi or Currency Linked?</w:t>
      </w:r>
    </w:p>
    <w:tbl>
      <w:tblPr>
        <w:tblStyle w:val="LightList-Accent1"/>
        <w:tblW w:type="auto" w:w="0"/>
        <w:tblLook w:firstColumn="1" w:firstRow="1" w:lastColumn="0" w:lastRow="0" w:noHBand="0" w:noVBand="1" w:val="04A0"/>
      </w:tblPr>
      <w:tblGrid>
        <w:gridCol w:w="1872"/>
        <w:gridCol w:w="2592"/>
        <w:gridCol w:w="2160"/>
        <w:gridCol w:w="2592"/>
      </w:tblGrid>
      <w:tr>
        <w:tc>
          <w:tcPr>
            <w:tcW w:type="dxa" w:w="2160"/>
          </w:tcPr>
          <w:p>
            <w:r>
              <w:t>Type</w:t>
            </w:r>
          </w:p>
        </w:tc>
        <w:tc>
          <w:tcPr>
            <w:tcW w:type="dxa" w:w="2160"/>
          </w:tcPr>
          <w:p>
            <w:r>
              <w:t>Denomination</w:t>
            </w:r>
          </w:p>
        </w:tc>
        <w:tc>
          <w:tcPr>
            <w:tcW w:type="dxa" w:w="2160"/>
          </w:tcPr>
          <w:p>
            <w:r>
              <w:t>Settlement</w:t>
            </w:r>
          </w:p>
        </w:tc>
        <w:tc>
          <w:tcPr>
            <w:tcW w:type="dxa" w:w="2160"/>
          </w:tcPr>
          <w:p>
            <w:r>
              <w:t>FX Linkage on Bond Floor</w:t>
            </w:r>
          </w:p>
        </w:tc>
      </w:tr>
      <w:tr>
        <w:tc>
          <w:tcPr>
            <w:tcW w:type="dxa" w:w="2160"/>
          </w:tcPr>
          <w:p>
            <w:r>
              <w:t>Compo CB</w:t>
            </w:r>
          </w:p>
        </w:tc>
        <w:tc>
          <w:tcPr>
            <w:tcW w:type="dxa" w:w="2160"/>
          </w:tcPr>
          <w:p>
            <w:r>
              <w:t>USD</w:t>
            </w:r>
          </w:p>
        </w:tc>
        <w:tc>
          <w:tcPr>
            <w:tcW w:type="dxa" w:w="2160"/>
          </w:tcPr>
          <w:p>
            <w:r>
              <w:t>USD (fixed)</w:t>
            </w:r>
          </w:p>
        </w:tc>
        <w:tc>
          <w:tcPr>
            <w:tcW w:type="dxa" w:w="2160"/>
          </w:tcPr>
          <w:p>
            <w:r>
              <w:t>None — bond floor is pure USD</w:t>
            </w:r>
          </w:p>
        </w:tc>
      </w:tr>
      <w:tr>
        <w:tc>
          <w:tcPr>
            <w:tcW w:type="dxa" w:w="2160"/>
          </w:tcPr>
          <w:p>
            <w:r>
              <w:t>Flexi CB</w:t>
            </w:r>
          </w:p>
        </w:tc>
        <w:tc>
          <w:tcPr>
            <w:tcW w:type="dxa" w:w="2160"/>
          </w:tcPr>
          <w:p>
            <w:r>
              <w:t>USD</w:t>
            </w:r>
          </w:p>
        </w:tc>
        <w:tc>
          <w:tcPr>
            <w:tcW w:type="dxa" w:w="2160"/>
          </w:tcPr>
          <w:p>
            <w:r>
              <w:t>USD (issuer may elect local)</w:t>
            </w:r>
          </w:p>
        </w:tc>
        <w:tc>
          <w:tcPr>
            <w:tcW w:type="dxa" w:w="2160"/>
          </w:tcPr>
          <w:p>
            <w:r>
              <w:t>Implicit — issuer option to pay in local</w:t>
            </w:r>
          </w:p>
        </w:tc>
      </w:tr>
      <w:tr>
        <w:tc>
          <w:tcPr>
            <w:tcW w:type="dxa" w:w="2160"/>
          </w:tcPr>
          <w:p>
            <w:r>
              <w:t>Currency Linked CB</w:t>
            </w:r>
          </w:p>
        </w:tc>
        <w:tc>
          <w:tcPr>
            <w:tcW w:type="dxa" w:w="2160"/>
          </w:tcPr>
          <w:p>
            <w:r>
              <w:t>Local (e.g. RMB)</w:t>
            </w:r>
          </w:p>
        </w:tc>
        <w:tc>
          <w:tcPr>
            <w:tcW w:type="dxa" w:w="2160"/>
          </w:tcPr>
          <w:p>
            <w:r>
              <w:t>USD at prevailing FX</w:t>
            </w:r>
          </w:p>
        </w:tc>
        <w:tc>
          <w:tcPr>
            <w:tcW w:type="dxa" w:w="2160"/>
          </w:tcPr>
          <w:p>
            <w:r>
              <w:t>Explicit — redemption varies with FX</w:t>
            </w:r>
          </w:p>
        </w:tc>
      </w:tr>
    </w:tbl>
    <w:p/>
    <w:p>
      <w:r>
        <w:t>SK hynix CB is clearly Compo: The bond floor cash flows (coupons and put/redemption) are entirely in USD with no FX linkage. The only local currency exposure arises through the equity conversion option — you convert into KRW shares using a fixed KRW/USD rate. This is the classic Compo structure.</w:t>
      </w:r>
    </w:p>
    <w:p>
      <w:pPr>
        <w:pStyle w:val="Heading2"/>
      </w:pPr>
      <w:r>
        <w:t>Rho Sensitivity (Interest Rate Exposure)</w:t>
      </w:r>
    </w:p>
    <w:tbl>
      <w:tblPr>
        <w:tblStyle w:val="LightList-Accent1"/>
        <w:tblW w:type="auto" w:w="0"/>
        <w:tblLook w:firstColumn="1" w:firstRow="1" w:lastColumn="0" w:lastRow="0" w:noHBand="0" w:noVBand="1" w:val="04A0"/>
      </w:tblPr>
      <w:tblGrid>
        <w:gridCol w:w="2160"/>
        <w:gridCol w:w="2160"/>
        <w:gridCol w:w="2160"/>
        <w:gridCol w:w="2592"/>
      </w:tblGrid>
      <w:tr>
        <w:tc>
          <w:tcPr>
            <w:tcW w:type="dxa" w:w="2160"/>
          </w:tcPr>
          <w:p>
            <w:r>
              <w:t>CB Type</w:t>
            </w:r>
          </w:p>
        </w:tc>
        <w:tc>
          <w:tcPr>
            <w:tcW w:type="dxa" w:w="2160"/>
          </w:tcPr>
          <w:p>
            <w:r>
              <w:t>Rho to US Rates</w:t>
            </w:r>
          </w:p>
        </w:tc>
        <w:tc>
          <w:tcPr>
            <w:tcW w:type="dxa" w:w="2160"/>
          </w:tcPr>
          <w:p>
            <w:r>
              <w:t>Rho to KRW Rates</w:t>
            </w:r>
          </w:p>
        </w:tc>
        <w:tc>
          <w:tcPr>
            <w:tcW w:type="dxa" w:w="2160"/>
          </w:tcPr>
          <w:p>
            <w:r>
              <w:t>Explanation</w:t>
            </w:r>
          </w:p>
        </w:tc>
      </w:tr>
      <w:tr>
        <w:tc>
          <w:tcPr>
            <w:tcW w:type="dxa" w:w="2160"/>
          </w:tcPr>
          <w:p>
            <w:r>
              <w:t>SK hynix 2030 (Compo)</w:t>
            </w:r>
          </w:p>
        </w:tc>
        <w:tc>
          <w:tcPr>
            <w:tcW w:type="dxa" w:w="2160"/>
          </w:tcPr>
          <w:p>
            <w:r>
              <w:t>Short (negative)</w:t>
            </w:r>
          </w:p>
        </w:tc>
        <w:tc>
          <w:tcPr>
            <w:tcW w:type="dxa" w:w="2160"/>
          </w:tcPr>
          <w:p>
            <w:r>
              <w:t>Short (indirect via FX)</w:t>
            </w:r>
          </w:p>
        </w:tc>
        <w:tc>
          <w:tcPr>
            <w:tcW w:type="dxa" w:w="2160"/>
          </w:tcPr>
          <w:p>
            <w:r>
              <w:t>USD cash flows discounted at USD rates — higher rates lower bond floor. Higher KRW rates weaken forward KRW, reducing FX-adjusted parity.</w:t>
            </w:r>
          </w:p>
        </w:tc>
      </w:tr>
    </w:tbl>
    <w:p/>
    <w:p>
      <w:r>
        <w:t>As a Compo CB, the bond floor is directly sensitive to USD rates (short rho). KRW rate sensitivity is indirect — it affects parity through the NDF/forward curve, not the bond floor itself.</w:t>
      </w:r>
    </w:p>
    <w:p>
      <w:r>
        <w:br w:type="page"/>
      </w:r>
    </w:p>
    <w:p>
      <w:pPr>
        <w:pStyle w:val="Heading1"/>
      </w:pPr>
      <w:r>
        <w:t>3. FX Mechanics</w:t>
      </w:r>
    </w:p>
    <w:p>
      <w:r>
        <w:t>Unlike a Currency Linked CB where FX risk is embedded in the bond floor, the Compo structure means FX only matters for the equity conversion decision.</w:t>
      </w:r>
    </w:p>
    <w:p>
      <w:pPr>
        <w:pStyle w:val="Heading2"/>
      </w:pPr>
      <w:r>
        <w:t>The Fixed Exchange Rate</w:t>
      </w:r>
    </w:p>
    <w:p>
      <w:r>
        <w:t>Fixed Rate: KRW 1,316.30 / USD 1.00 (locked at pricing on 3 April 2023). This rate is used ONLY to calculate the conversion ratio — it translates the USD 200,000 denomination into KRW to determine how many shares you receive.</w:t>
      </w:r>
    </w:p>
    <w:p>
      <w:pPr>
        <w:pStyle w:val="Heading2"/>
      </w:pPr>
      <w:r>
        <w:t>Conversion Ratio Derivation</w:t>
      </w:r>
    </w:p>
    <w:p>
      <w:r>
        <w:t>USD 200,000 × KRW 1,316.30 = KRW 263,260,000 per bond (in KRW equivalent)</w:t>
      </w:r>
    </w:p>
    <w:p>
      <w:r>
        <w:t>At conversion price of KRW 111,180: Ratio = 263,260,000 / 111,180 = ~2,368 shares</w:t>
      </w:r>
    </w:p>
    <w:p>
      <w:r>
        <w:t>At conversion price of KRW 115,540: Ratio = 263,260,000 / 115,540 = ~2,278 shares</w:t>
      </w:r>
    </w:p>
    <w:p>
      <w:pPr>
        <w:pStyle w:val="Heading2"/>
      </w:pPr>
      <w:r>
        <w:t>FX Impact on Parity</w:t>
      </w:r>
    </w:p>
    <w:p>
      <w:r>
        <w:t>Parity (USD) = Share Price (KRW) × Conversion Ratio / Spot USDKRW</w:t>
      </w:r>
    </w:p>
    <w:p>
      <w:r>
        <w:t>The fixed exchange rate is NOT used for parity — the prevailing spot rate is. This means:</w:t>
      </w:r>
    </w:p>
    <w:p>
      <w:pPr>
        <w:pStyle w:val="ListBullet"/>
      </w:pPr>
      <w:r>
        <w:t>If KRW strengthens (USDKRW falls from 1,316 to 1,200): Parity increases in USD terms — the same KRW shares are worth more USD. FX tailwind for the equity option.</w:t>
      </w:r>
    </w:p>
    <w:p>
      <w:pPr>
        <w:pStyle w:val="ListBullet"/>
      </w:pPr>
      <w:r>
        <w:t>If KRW weakens (USDKRW rises from 1,316 to 1,450): Parity decreases in USD terms — the same KRW shares are worth fewer USD. FX headwind for the equity option.</w:t>
      </w:r>
    </w:p>
    <w:p>
      <w:pPr>
        <w:pStyle w:val="ListBullet"/>
      </w:pPr>
      <w:r>
        <w:t>But the bond floor is unaffected by FX — you still get your USD coupons and put/redemption at par regardless of where USDKRW trades.</w:t>
      </w:r>
    </w:p>
    <w:p>
      <w:r>
        <w:br w:type="page"/>
      </w:r>
    </w:p>
    <w:p>
      <w:pPr>
        <w:pStyle w:val="Heading1"/>
      </w:pPr>
      <w:r>
        <w:t>4. Embedded Options &amp; Structural Features</w:t>
      </w:r>
    </w:p>
    <w:p>
      <w:pPr>
        <w:pStyle w:val="Heading2"/>
      </w:pPr>
      <w:r>
        <w:t>4a. Bondholder Options (Puts)</w:t>
      </w:r>
    </w:p>
    <w:tbl>
      <w:tblPr>
        <w:tblStyle w:val="LightList-Accent1"/>
        <w:tblW w:type="auto" w:w="0"/>
        <w:tblLook w:firstColumn="1" w:firstRow="1" w:lastColumn="0" w:lastRow="0" w:noHBand="0" w:noVBand="1" w:val="04A0"/>
      </w:tblPr>
      <w:tblGrid>
        <w:gridCol w:w="2592"/>
        <w:gridCol w:w="2880"/>
        <w:gridCol w:w="3600"/>
      </w:tblGrid>
      <w:tr>
        <w:tc>
          <w:tcPr>
            <w:tcW w:type="dxa" w:w="2880"/>
          </w:tcPr>
          <w:p>
            <w:r>
              <w:t>Put Type</w:t>
            </w:r>
          </w:p>
        </w:tc>
        <w:tc>
          <w:tcPr>
            <w:tcW w:type="dxa" w:w="2880"/>
          </w:tcPr>
          <w:p>
            <w:r>
              <w:t>Trigger</w:t>
            </w:r>
          </w:p>
        </w:tc>
        <w:tc>
          <w:tcPr>
            <w:tcW w:type="dxa" w:w="2880"/>
          </w:tcPr>
          <w:p>
            <w:r>
              <w:t>Settlement</w:t>
            </w:r>
          </w:p>
        </w:tc>
      </w:tr>
      <w:tr>
        <w:tc>
          <w:tcPr>
            <w:tcW w:type="dxa" w:w="2880"/>
          </w:tcPr>
          <w:p>
            <w:r>
              <w:t>Bondholder Put</w:t>
            </w:r>
          </w:p>
        </w:tc>
        <w:tc>
          <w:tcPr>
            <w:tcW w:type="dxa" w:w="2880"/>
          </w:tcPr>
          <w:p>
            <w:r>
              <w:t>On or about 11 April 2027 (end of Year 4)</w:t>
            </w:r>
          </w:p>
        </w:tc>
        <w:tc>
          <w:tcPr>
            <w:tcW w:type="dxa" w:w="2880"/>
          </w:tcPr>
          <w:p>
            <w:r>
              <w:t>100.00% of principal + accrued interest</w:t>
            </w:r>
          </w:p>
        </w:tc>
      </w:tr>
      <w:tr>
        <w:tc>
          <w:tcPr>
            <w:tcW w:type="dxa" w:w="2880"/>
          </w:tcPr>
          <w:p>
            <w:r>
              <w:t>Change of Control Put</w:t>
            </w:r>
          </w:p>
        </w:tc>
        <w:tc>
          <w:tcPr>
            <w:tcW w:type="dxa" w:w="2880"/>
          </w:tcPr>
          <w:p>
            <w:r>
              <w:t>CoC event occurs (see below)</w:t>
            </w:r>
          </w:p>
        </w:tc>
        <w:tc>
          <w:tcPr>
            <w:tcW w:type="dxa" w:w="2880"/>
          </w:tcPr>
          <w:p>
            <w:r>
              <w:t>Early Redemption Amount + accrued interest</w:t>
            </w:r>
          </w:p>
        </w:tc>
      </w:tr>
      <w:tr>
        <w:tc>
          <w:tcPr>
            <w:tcW w:type="dxa" w:w="2880"/>
          </w:tcPr>
          <w:p>
            <w:r>
              <w:t>De-listing / Suspension Put</w:t>
            </w:r>
          </w:p>
        </w:tc>
        <w:tc>
          <w:tcPr>
            <w:tcW w:type="dxa" w:w="2880"/>
          </w:tcPr>
          <w:p>
            <w:r>
              <w:t>Shares cease to be listed or suspended for &gt;= 20 consecutive trading days on KRX KOSPI</w:t>
            </w:r>
          </w:p>
        </w:tc>
        <w:tc>
          <w:tcPr>
            <w:tcW w:type="dxa" w:w="2880"/>
          </w:tcPr>
          <w:p>
            <w:r>
              <w:t>Principal + accrued interest</w:t>
            </w:r>
          </w:p>
        </w:tc>
      </w:tr>
    </w:tbl>
    <w:p/>
    <w:p>
      <w:r>
        <w:t>Key observation: The put price is 100.00% — at par with no premium. This means the bondholder's downside protection on the bond floor returns only the principal plus accrued coupon. The yield (1.25–1.75%) IS the coupon — there is no accreted redemption premium, unlike zero-coupon or low-coupon CBs that accrete to a premium at put/maturity.</w:t>
      </w:r>
    </w:p>
    <w:p>
      <w:pPr>
        <w:pStyle w:val="Heading2"/>
      </w:pPr>
      <w:r>
        <w:t>4b. Issuer Options (Calls)</w:t>
      </w:r>
    </w:p>
    <w:tbl>
      <w:tblPr>
        <w:tblStyle w:val="LightList-Accent1"/>
        <w:tblW w:type="auto" w:w="0"/>
        <w:tblLook w:firstColumn="1" w:firstRow="1" w:lastColumn="0" w:lastRow="0" w:noHBand="0" w:noVBand="1" w:val="04A0"/>
      </w:tblPr>
      <w:tblGrid>
        <w:gridCol w:w="2592"/>
        <w:gridCol w:w="2880"/>
        <w:gridCol w:w="3600"/>
      </w:tblGrid>
      <w:tr>
        <w:tc>
          <w:tcPr>
            <w:tcW w:type="dxa" w:w="2880"/>
          </w:tcPr>
          <w:p>
            <w:r>
              <w:t>Call Type</w:t>
            </w:r>
          </w:p>
        </w:tc>
        <w:tc>
          <w:tcPr>
            <w:tcW w:type="dxa" w:w="2880"/>
          </w:tcPr>
          <w:p>
            <w:r>
              <w:t>Trigger / Condition</w:t>
            </w:r>
          </w:p>
        </w:tc>
        <w:tc>
          <w:tcPr>
            <w:tcW w:type="dxa" w:w="2880"/>
          </w:tcPr>
          <w:p>
            <w:r>
              <w:t>Settlement</w:t>
            </w:r>
          </w:p>
        </w:tc>
      </w:tr>
      <w:tr>
        <w:tc>
          <w:tcPr>
            <w:tcW w:type="dxa" w:w="2880"/>
          </w:tcPr>
          <w:p>
            <w:r>
              <w:t>Issuer Soft Call</w:t>
            </w:r>
          </w:p>
        </w:tc>
        <w:tc>
          <w:tcPr>
            <w:tcW w:type="dxa" w:w="2880"/>
          </w:tcPr>
          <w:p>
            <w:r>
              <w:t>After 25 April 2028; closing price of Shares (in USD at Applicable Rate) &gt;= 130% of Conversion Price (in USD at Fixed Rate) for 20 of 30 consecutive trading days</w:t>
            </w:r>
          </w:p>
        </w:tc>
        <w:tc>
          <w:tcPr>
            <w:tcW w:type="dxa" w:w="2880"/>
          </w:tcPr>
          <w:p>
            <w:r>
              <w:t>Principal + accrued interest</w:t>
            </w:r>
          </w:p>
        </w:tc>
      </w:tr>
      <w:tr>
        <w:tc>
          <w:tcPr>
            <w:tcW w:type="dxa" w:w="2880"/>
          </w:tcPr>
          <w:p>
            <w:r>
              <w:t>Tax Call</w:t>
            </w:r>
          </w:p>
        </w:tc>
        <w:tc>
          <w:tcPr>
            <w:tcW w:type="dxa" w:w="2880"/>
          </w:tcPr>
          <w:p>
            <w:r>
              <w:t>Change in Korean tax laws requiring Issuer to pay additional amounts; bondholders may elect not to be redeemed</w:t>
            </w:r>
          </w:p>
        </w:tc>
        <w:tc>
          <w:tcPr>
            <w:tcW w:type="dxa" w:w="2880"/>
          </w:tcPr>
          <w:p>
            <w:r>
              <w:t>Principal + accrued interest</w:t>
            </w:r>
          </w:p>
        </w:tc>
      </w:tr>
      <w:tr>
        <w:tc>
          <w:tcPr>
            <w:tcW w:type="dxa" w:w="2880"/>
          </w:tcPr>
          <w:p>
            <w:r>
              <w:t>Clean Up Call</w:t>
            </w:r>
          </w:p>
        </w:tc>
        <w:tc>
          <w:tcPr>
            <w:tcW w:type="dxa" w:w="2880"/>
          </w:tcPr>
          <w:p>
            <w:r>
              <w:t>Outstanding bonds &lt; 10% of original aggregate principal</w:t>
            </w:r>
          </w:p>
        </w:tc>
        <w:tc>
          <w:tcPr>
            <w:tcW w:type="dxa" w:w="2880"/>
          </w:tcPr>
          <w:p>
            <w:r>
              <w:t>Principal + accrued interest</w:t>
            </w:r>
          </w:p>
        </w:tc>
      </w:tr>
    </w:tbl>
    <w:p>
      <w:pPr>
        <w:pStyle w:val="Heading2"/>
      </w:pPr>
      <w:r>
        <w:t>4c. Issuer Soft Call — FX Dimension</w:t>
      </w:r>
    </w:p>
    <w:p>
      <w:r>
        <w:t>The call trigger compares the share price translated into USD at the PREVAILING (Applicable) USDKRW rate against the conversion price translated into USD at the FIXED rate (1,316.30). This creates an FX element in the call trigger:</w:t>
      </w:r>
    </w:p>
    <w:p>
      <w:pPr>
        <w:pStyle w:val="ListBullet"/>
      </w:pPr>
      <w:r>
        <w:t>If KRW strengthens (USDKRW falls): The share price in USD is higher, making it EASIER for the issuer to trigger the call.</w:t>
      </w:r>
    </w:p>
    <w:p>
      <w:pPr>
        <w:pStyle w:val="ListBullet"/>
      </w:pPr>
      <w:r>
        <w:t>If KRW weakens (USDKRW rises): The share price in USD is lower, making it HARDER for the issuer to call — benefiting bondholders.</w:t>
      </w:r>
    </w:p>
    <w:p>
      <w:r>
        <w:t>The 130% trigger with 20-of-30-day test is relatively standard but the FX overlay makes it less predictable than a pure stock price trigger.</w:t>
      </w:r>
    </w:p>
    <w:p>
      <w:pPr>
        <w:pStyle w:val="Heading2"/>
      </w:pPr>
      <w:r>
        <w:t>4d. Change of Control</w:t>
      </w:r>
    </w:p>
    <w:p>
      <w:r>
        <w:t>A Change of Control occurs if:</w:t>
      </w:r>
    </w:p>
    <w:p>
      <w:pPr>
        <w:pStyle w:val="ListBullet"/>
      </w:pPr>
      <w:r>
        <w:t>(a) Any person (other than SK Inc. and affiliates) acquires Control of the Issuer;</w:t>
      </w:r>
    </w:p>
    <w:p>
      <w:pPr>
        <w:pStyle w:val="ListBullet"/>
      </w:pPr>
      <w:r>
        <w:t>(b) Direct or indirect sale/transfer of all or substantially all assets to any person other than the Issuer or its subsidiaries;</w:t>
      </w:r>
    </w:p>
    <w:p>
      <w:pPr>
        <w:pStyle w:val="ListBullet"/>
      </w:pPr>
      <w:r>
        <w:t>(c) SK Square Co., Ltd. and affiliates cease to hold at least 20% of outstanding shares.</w:t>
      </w:r>
    </w:p>
    <w:p>
      <w:r>
        <w:t>"Control" = 50% of voting rights or ability to appoint majority of the board.</w:t>
      </w:r>
    </w:p>
    <w:p/>
    <w:p>
      <w:r>
        <w:t>Early Redemption Amount (for CoC put) = higher of (i) 101% and (ii) the Early Redemption Price determined by the arithmetic mean of the average asking price over 5 consecutive business days ending 10 days after the CoC, as determined by an independent investment bank. If undeterminable, the fair market value is used.</w:t>
      </w:r>
    </w:p>
    <w:p>
      <w:pPr>
        <w:pStyle w:val="Heading2"/>
      </w:pPr>
      <w:r>
        <w:t>4e. Conversion Period &amp; Entrustment</w:t>
      </w:r>
    </w:p>
    <w:p>
      <w:r>
        <w:t>Convertible from 41 calendar days after Closing (approximately late May 2023) to 10 calendar days before Maturity. Shares delivered via Korea Securities Depository (KSD). Note: transfer restriction under Korean law — bonds and shares cannot be sold to Korean residents until 11 April 2024 (first anniversary of closing).</w:t>
      </w:r>
    </w:p>
    <w:p>
      <w:r>
        <w:br w:type="page"/>
      </w:r>
    </w:p>
    <w:p>
      <w:pPr>
        <w:pStyle w:val="Heading1"/>
      </w:pPr>
      <w:r>
        <w:t>5. Yield &amp; Return Analysis</w:t>
      </w:r>
    </w:p>
    <w:p>
      <w:pPr>
        <w:pStyle w:val="Heading2"/>
      </w:pPr>
      <w:r>
        <w:t>5a. Bond Floor Economics (Pure USD)</w:t>
      </w:r>
    </w:p>
    <w:p>
      <w:r>
        <w:t>This is a straightforward USD yield story. The bond pays 1.25–1.75% coupon quarterly, and both the put and maturity redemption are at 100.00% par.</w:t>
      </w:r>
    </w:p>
    <w:tbl>
      <w:tblPr>
        <w:tblStyle w:val="LightList-Accent1"/>
        <w:tblW w:type="auto" w:w="0"/>
        <w:tblLook w:firstColumn="1" w:firstRow="1" w:lastColumn="0" w:lastRow="0" w:noHBand="0" w:noVBand="1" w:val="04A0"/>
      </w:tblPr>
      <w:tblGrid>
        <w:gridCol w:w="2160"/>
        <w:gridCol w:w="2160"/>
        <w:gridCol w:w="2160"/>
        <w:gridCol w:w="2880"/>
      </w:tblGrid>
      <w:tr>
        <w:tc>
          <w:tcPr>
            <w:tcW w:type="dxa" w:w="2160"/>
          </w:tcPr>
          <w:p>
            <w:r>
              <w:t>Scenario</w:t>
            </w:r>
          </w:p>
        </w:tc>
        <w:tc>
          <w:tcPr>
            <w:tcW w:type="dxa" w:w="2160"/>
          </w:tcPr>
          <w:p>
            <w:r>
              <w:t>Tenor</w:t>
            </w:r>
          </w:p>
        </w:tc>
        <w:tc>
          <w:tcPr>
            <w:tcW w:type="dxa" w:w="2160"/>
          </w:tcPr>
          <w:p>
            <w:r>
              <w:t>Redemption</w:t>
            </w:r>
          </w:p>
        </w:tc>
        <w:tc>
          <w:tcPr>
            <w:tcW w:type="dxa" w:w="2160"/>
          </w:tcPr>
          <w:p>
            <w:r>
              <w:t>Yield (quarterly basis)</w:t>
            </w:r>
          </w:p>
        </w:tc>
      </w:tr>
      <w:tr>
        <w:tc>
          <w:tcPr>
            <w:tcW w:type="dxa" w:w="2160"/>
          </w:tcPr>
          <w:p>
            <w:r>
              <w:t>Hold to Put</w:t>
            </w:r>
          </w:p>
        </w:tc>
        <w:tc>
          <w:tcPr>
            <w:tcW w:type="dxa" w:w="2160"/>
          </w:tcPr>
          <w:p>
            <w:r>
              <w:t>4 years</w:t>
            </w:r>
          </w:p>
        </w:tc>
        <w:tc>
          <w:tcPr>
            <w:tcW w:type="dxa" w:w="2160"/>
          </w:tcPr>
          <w:p>
            <w:r>
              <w:t>100.00%</w:t>
            </w:r>
          </w:p>
        </w:tc>
        <w:tc>
          <w:tcPr>
            <w:tcW w:type="dxa" w:w="2160"/>
          </w:tcPr>
          <w:p>
            <w:r>
              <w:t>1.25 – 1.75% p.a. (coupon only)</w:t>
            </w:r>
          </w:p>
        </w:tc>
      </w:tr>
      <w:tr>
        <w:tc>
          <w:tcPr>
            <w:tcW w:type="dxa" w:w="2160"/>
          </w:tcPr>
          <w:p>
            <w:r>
              <w:t>Hold to Maturity</w:t>
            </w:r>
          </w:p>
        </w:tc>
        <w:tc>
          <w:tcPr>
            <w:tcW w:type="dxa" w:w="2160"/>
          </w:tcPr>
          <w:p>
            <w:r>
              <w:t>7 years</w:t>
            </w:r>
          </w:p>
        </w:tc>
        <w:tc>
          <w:tcPr>
            <w:tcW w:type="dxa" w:w="2160"/>
          </w:tcPr>
          <w:p>
            <w:r>
              <w:t>100.00%</w:t>
            </w:r>
          </w:p>
        </w:tc>
        <w:tc>
          <w:tcPr>
            <w:tcW w:type="dxa" w:w="2160"/>
          </w:tcPr>
          <w:p>
            <w:r>
              <w:t>1.25 – 1.75% p.a. (coupon only)</w:t>
            </w:r>
          </w:p>
        </w:tc>
      </w:tr>
    </w:tbl>
    <w:p>
      <w:pPr>
        <w:pStyle w:val="Heading2"/>
      </w:pPr>
      <w:r>
        <w:t>5b. Comparison to Zoomlion Currency Linked CB</w:t>
      </w:r>
    </w:p>
    <w:tbl>
      <w:tblPr>
        <w:tblStyle w:val="LightList-Accent1"/>
        <w:tblW w:type="auto" w:w="0"/>
        <w:tblLook w:firstColumn="1" w:firstRow="1" w:lastColumn="0" w:lastRow="0" w:noHBand="0" w:noVBand="1" w:val="04A0"/>
      </w:tblPr>
      <w:tblGrid>
        <w:gridCol w:w="2160"/>
        <w:gridCol w:w="2160"/>
        <w:gridCol w:w="2160"/>
        <w:gridCol w:w="2880"/>
      </w:tblGrid>
      <w:tr>
        <w:tc>
          <w:tcPr>
            <w:tcW w:type="dxa" w:w="2160"/>
          </w:tcPr>
          <w:p>
            <w:r>
              <w:t>Feature</w:t>
            </w:r>
          </w:p>
        </w:tc>
        <w:tc>
          <w:tcPr>
            <w:tcW w:type="dxa" w:w="2160"/>
          </w:tcPr>
          <w:p>
            <w:r>
              <w:t>SK hynix (Compo)</w:t>
            </w:r>
          </w:p>
        </w:tc>
        <w:tc>
          <w:tcPr>
            <w:tcW w:type="dxa" w:w="2160"/>
          </w:tcPr>
          <w:p>
            <w:r>
              <w:t>Zoomlion (Currency Linked)</w:t>
            </w:r>
          </w:p>
        </w:tc>
        <w:tc>
          <w:tcPr>
            <w:tcW w:type="dxa" w:w="2160"/>
          </w:tcPr>
          <w:p>
            <w:r>
              <w:t>Implication</w:t>
            </w:r>
          </w:p>
        </w:tc>
      </w:tr>
      <w:tr>
        <w:tc>
          <w:tcPr>
            <w:tcW w:type="dxa" w:w="2160"/>
          </w:tcPr>
          <w:p>
            <w:r>
              <w:t>USD yield certainty</w:t>
            </w:r>
          </w:p>
        </w:tc>
        <w:tc>
          <w:tcPr>
            <w:tcW w:type="dxa" w:w="2160"/>
          </w:tcPr>
          <w:p>
            <w:r>
              <w:t>High — USD in, USD out</w:t>
            </w:r>
          </w:p>
        </w:tc>
        <w:tc>
          <w:tcPr>
            <w:tcW w:type="dxa" w:w="2160"/>
          </w:tcPr>
          <w:p>
            <w:r>
              <w:t>Low — RMB yield settled in USD at prevailing FX</w:t>
            </w:r>
          </w:p>
        </w:tc>
        <w:tc>
          <w:tcPr>
            <w:tcW w:type="dxa" w:w="2160"/>
          </w:tcPr>
          <w:p>
            <w:r>
              <w:t>SK hynix has a cleaner bond floor in USD terms</w:t>
            </w:r>
          </w:p>
        </w:tc>
      </w:tr>
      <w:tr>
        <w:tc>
          <w:tcPr>
            <w:tcW w:type="dxa" w:w="2160"/>
          </w:tcPr>
          <w:p>
            <w:r>
              <w:t>FX risk on bond floor</w:t>
            </w:r>
          </w:p>
        </w:tc>
        <w:tc>
          <w:tcPr>
            <w:tcW w:type="dxa" w:w="2160"/>
          </w:tcPr>
          <w:p>
            <w:r>
              <w:t>None</w:t>
            </w:r>
          </w:p>
        </w:tc>
        <w:tc>
          <w:tcPr>
            <w:tcW w:type="dxa" w:w="2160"/>
          </w:tcPr>
          <w:p>
            <w:r>
              <w:t>High — USDCNH moves directly impact USD returns</w:t>
            </w:r>
          </w:p>
        </w:tc>
        <w:tc>
          <w:tcPr>
            <w:tcW w:type="dxa" w:w="2160"/>
          </w:tcPr>
          <w:p>
            <w:r>
              <w:t>Zoomlion bondholder bears FX risk even on downside</w:t>
            </w:r>
          </w:p>
        </w:tc>
      </w:tr>
    </w:tbl>
    <w:p/>
    <w:p>
      <w:r>
        <w:t>Key advantage of the Compo structure: Your downside (bond floor) is in USD with no FX risk. You only take KRW risk on the upside (equity conversion), which is a more asymmetric risk profile than the Currency Linked structure.</w:t>
      </w:r>
    </w:p>
    <w:p>
      <w:r>
        <w:br w:type="page"/>
      </w:r>
    </w:p>
    <w:p>
      <w:pPr>
        <w:pStyle w:val="Heading1"/>
      </w:pPr>
      <w:r>
        <w:t>6. Key Risks</w:t>
      </w:r>
    </w:p>
    <w:p>
      <w:pPr>
        <w:pStyle w:val="Heading2"/>
      </w:pPr>
      <w:r>
        <w:t>6a. Credit Risk</w:t>
      </w:r>
    </w:p>
    <w:p>
      <w:r>
        <w:t>SK hynix is a major global semiconductor company (DRAM and NAND flash memory). Investment grade rated: Baa2 (Moody's) / BBB- (S&amp;P).</w:t>
      </w:r>
    </w:p>
    <w:p>
      <w:pPr>
        <w:pStyle w:val="ListBullet"/>
      </w:pPr>
      <w:r>
        <w:t>Cyclicality: The semiconductor memory industry is highly cyclical. SK hynix's revenue and profitability can swing dramatically with DRAM/NAND pricing cycles. In downturns, credit spreads can widen significantly even for IG-rated names.</w:t>
      </w:r>
    </w:p>
    <w:p>
      <w:pPr>
        <w:pStyle w:val="ListBullet"/>
      </w:pPr>
      <w:r>
        <w:t>Unsecured obligations: Bonds are pari passu with existing USD bonds but unsecured. In a stress scenario, secured creditors and domestic Korean obligations may rank ahead.</w:t>
      </w:r>
    </w:p>
    <w:p>
      <w:pPr>
        <w:pStyle w:val="ListBullet"/>
      </w:pPr>
      <w:r>
        <w:t>Cross-default: USD 30 million threshold. Default on any other material debt triggers default on the CB.</w:t>
      </w:r>
    </w:p>
    <w:p>
      <w:pPr>
        <w:pStyle w:val="ListBullet"/>
      </w:pPr>
      <w:r>
        <w:t>SK Group structure: SK hynix is part of the SK Group chaebol. SK Inc. and SK Square are major shareholders. Chaebol structures can introduce related-party transaction risks.</w:t>
      </w:r>
    </w:p>
    <w:p>
      <w:pPr>
        <w:pStyle w:val="Heading2"/>
      </w:pPr>
      <w:r>
        <w:t>6b. FX Risk (Equity Parity Only)</w:t>
      </w:r>
    </w:p>
    <w:p>
      <w:r>
        <w:t>Unlike Currency Linked CBs, FX risk here affects ONLY the equity upside, not the bond floor. However, it is still significant:</w:t>
      </w:r>
    </w:p>
    <w:p>
      <w:pPr>
        <w:pStyle w:val="ListBullet"/>
      </w:pPr>
      <w:r>
        <w:t>Parity FX exposure: Parity = KRW share price × conversion ratio / spot USDKRW. If KRW weakens 10%, parity drops ~10% in USD terms even if the stock price is flat.</w:t>
      </w:r>
    </w:p>
    <w:p>
      <w:pPr>
        <w:pStyle w:val="ListBullet"/>
      </w:pPr>
      <w:r>
        <w:t>NDF hedging: KRW is semi-deliverable. Offshore investors typically hedge via KRW NDFs. The NDF basis and bid-offer spreads (especially at 4-7 year tenors) affect the cost of hedging the equity option's FX component.</w:t>
      </w:r>
    </w:p>
    <w:p>
      <w:pPr>
        <w:pStyle w:val="ListBullet"/>
      </w:pPr>
      <w:r>
        <w:t>Issuer call FX overlay: The soft call trigger translates the KRW share price into USD at the prevailing rate but compares against the conversion price at the fixed rate. KRW strength makes the call easier to trigger, KRW weakness harder.</w:t>
      </w:r>
    </w:p>
    <w:p>
      <w:pPr>
        <w:pStyle w:val="Heading2"/>
      </w:pPr>
      <w:r>
        <w:t>6c. Equity / Semiconductor Cycle Risk</w:t>
      </w:r>
    </w:p>
    <w:p>
      <w:r>
        <w:t>SK hynix's share price is driven by the memory semiconductor cycle:</w:t>
      </w:r>
    </w:p>
    <w:p>
      <w:pPr>
        <w:pStyle w:val="ListBullet"/>
      </w:pPr>
      <w:r>
        <w:t>DRAM/NAND pricing: Memory chip prices can fall 30-50% in a downturn (2019, 2022-23) and rally 50-100% in an upturn. The conversion option value swings accordingly.</w:t>
      </w:r>
    </w:p>
    <w:p>
      <w:pPr>
        <w:pStyle w:val="ListBullet"/>
      </w:pPr>
      <w:r>
        <w:t>AI/HBM tailwind: SK hynix is a leading supplier of High Bandwidth Memory (HBM) for AI applications (NVIDIA partnership). This structural demand driver differentiates it from pure commodity memory, but valuation may already reflect this premium.</w:t>
      </w:r>
    </w:p>
    <w:p>
      <w:pPr>
        <w:pStyle w:val="ListBullet"/>
      </w:pPr>
      <w:r>
        <w:t>Conversion premium: At 27.5–32.5% premium over KRW 87,200, the conversion price is KRW 111,180–115,540. The stock needs to appreciate meaningfully (and KRW not weaken too much) for the equity option to be in-the-money.</w:t>
      </w:r>
    </w:p>
    <w:p>
      <w:pPr>
        <w:pStyle w:val="Heading2"/>
      </w:pPr>
      <w:r>
        <w:t>6d. Interest Rate Risk (Rho)</w:t>
      </w:r>
    </w:p>
    <w:p>
      <w:r>
        <w:t>As a Compo CB:</w:t>
      </w:r>
    </w:p>
    <w:p>
      <w:pPr>
        <w:pStyle w:val="ListBullet"/>
      </w:pPr>
      <w:r>
        <w:t>Short rho to US rates: The bond floor is USD cash flows discounted at USD rates. Rising US rates decrease the present value of the bond floor. This is the direct rate sensitivity — same as any USD fixed-income instrument.</w:t>
      </w:r>
    </w:p>
    <w:p>
      <w:pPr>
        <w:pStyle w:val="ListBullet"/>
      </w:pPr>
      <w:r>
        <w:t>Short rho to KRW rates (indirect): Higher KRW rates weaken the forward KRW (wider NDF discount), reducing FX-adjusted parity. This only impacts the equity option component, not the bond floor.</w:t>
      </w:r>
    </w:p>
    <w:p>
      <w:pPr>
        <w:pStyle w:val="ListBullet"/>
      </w:pPr>
      <w:r>
        <w:t>Mitigant: The relatively short 4-year put means duration is limited. The bond floor is less sensitive to rates than a 7-year bullet bond.</w:t>
      </w:r>
    </w:p>
    <w:p>
      <w:pPr>
        <w:pStyle w:val="Heading2"/>
      </w:pPr>
      <w:r>
        <w:t>6e. Issuer Call Risk (Soft Call)</w:t>
      </w:r>
    </w:p>
    <w:p>
      <w:r>
        <w:t>Callable after 25 April 2028 (~5 years from issue, ~1 year after the Year 4 put). The 130% trigger (20 of 30 trading days) is standard, but:</w:t>
      </w:r>
    </w:p>
    <w:p>
      <w:pPr>
        <w:pStyle w:val="ListBullet"/>
      </w:pPr>
      <w:r>
        <w:t>Caps upside: If the stock rallies sharply (e.g. AI/HBM super-cycle), the issuer can force redemption. Bondholders must convert (accepting KRW shares at the fixed rate) or accept par + accrued.</w:t>
      </w:r>
    </w:p>
    <w:p>
      <w:pPr>
        <w:pStyle w:val="ListBullet"/>
      </w:pPr>
      <w:r>
        <w:t>Timeline: The call window opens AFTER the put date. If the stock is above 130% at the put, bondholders would likely have already converted. The call primarily matters in the Year 5-7 window.</w:t>
      </w:r>
    </w:p>
    <w:p>
      <w:pPr>
        <w:pStyle w:val="Heading2"/>
      </w:pPr>
      <w:r>
        <w:t>6f. Korean Regulatory &amp; Transfer Restrictions</w:t>
      </w:r>
    </w:p>
    <w:p>
      <w:pPr>
        <w:pStyle w:val="ListBullet"/>
      </w:pPr>
      <w:r>
        <w:t>Transfer restriction: Bonds and shares cannot be sold to Korean residents until 11 April 2024 (first anniversary of closing) under the Foreign Exchange Transactions Law of Korea. This limits the initial buyer base.</w:t>
      </w:r>
    </w:p>
    <w:p>
      <w:pPr>
        <w:pStyle w:val="ListBullet"/>
      </w:pPr>
      <w:r>
        <w:t>KSD entrustment: Shares upon conversion are entrusted with the Korea Securities Depository. This adds an operational layer for non-Korean investors.</w:t>
      </w:r>
    </w:p>
    <w:p>
      <w:pPr>
        <w:pStyle w:val="ListBullet"/>
      </w:pPr>
      <w:r>
        <w:t>Selling restrictions: Reg S (Category 2). No sales in the US or to US persons. No sales permitted into Korea. Restrictions also apply in UK, EEA, Singapore, HK, Japan.</w:t>
      </w:r>
    </w:p>
    <w:p>
      <w:pPr>
        <w:pStyle w:val="Heading2"/>
      </w:pPr>
      <w:r>
        <w:t>6g. Liquidity Risk</w:t>
      </w:r>
    </w:p>
    <w:p>
      <w:r>
        <w:t>USD 200,000 minimum denomination — institutional product. However, at USD 1.5 billion issue size this is one of the larger Asian CBs, which generally supports better secondary liquidity. Listed on SGX-ST for benchmark purposes.</w:t>
      </w:r>
    </w:p>
    <w:p>
      <w:pPr>
        <w:pStyle w:val="Heading2"/>
      </w:pPr>
      <w:r>
        <w:t>6h. Dilution Risk</w:t>
      </w:r>
    </w:p>
    <w:p>
      <w:r>
        <w:t>Shares are currently held as treasury shares by the issuer. Upon conversion, these treasury shares would be delivered rather than new shares issued. This means:</w:t>
      </w:r>
    </w:p>
    <w:p>
      <w:pPr>
        <w:pStyle w:val="ListBullet"/>
      </w:pPr>
      <w:r>
        <w:t>No new share issuance dilution — existing shares come out of treasury.</w:t>
      </w:r>
    </w:p>
    <w:p>
      <w:pPr>
        <w:pStyle w:val="ListBullet"/>
      </w:pPr>
      <w:r>
        <w:t>However, the treasury shares re-entering the market still increase free float and can create selling pressure.</w:t>
      </w:r>
    </w:p>
    <w:p>
      <w:pPr>
        <w:pStyle w:val="ListBullet"/>
      </w:pPr>
      <w:r>
        <w:t>Standard anti-dilution adjustments apply: consolidation, subdivision, capital distributions, rights issues, etc. Minimum adjustment threshold of 1% applies.</w:t>
      </w:r>
    </w:p>
    <w:p>
      <w:r>
        <w:br w:type="page"/>
      </w:r>
    </w:p>
    <w:p>
      <w:pPr>
        <w:pStyle w:val="Heading1"/>
      </w:pPr>
      <w:r>
        <w:t>7. Risk Summary Matrix</w:t>
      </w:r>
    </w:p>
    <w:tbl>
      <w:tblPr>
        <w:tblStyle w:val="LightList-Accent1"/>
        <w:tblW w:type="auto" w:w="0"/>
        <w:tblLook w:firstColumn="1" w:firstRow="1" w:lastColumn="0" w:lastRow="0" w:noHBand="0" w:noVBand="1" w:val="04A0"/>
      </w:tblPr>
      <w:tblGrid>
        <w:gridCol w:w="2880"/>
        <w:gridCol w:w="1728"/>
        <w:gridCol w:w="5040"/>
      </w:tblGrid>
      <w:tr>
        <w:tc>
          <w:tcPr>
            <w:tcW w:type="dxa" w:w="2880"/>
          </w:tcPr>
          <w:p>
            <w:r>
              <w:t>Risk Factor</w:t>
            </w:r>
          </w:p>
        </w:tc>
        <w:tc>
          <w:tcPr>
            <w:tcW w:type="dxa" w:w="2880"/>
          </w:tcPr>
          <w:p>
            <w:r>
              <w:t>Severity</w:t>
            </w:r>
          </w:p>
        </w:tc>
        <w:tc>
          <w:tcPr>
            <w:tcW w:type="dxa" w:w="2880"/>
          </w:tcPr>
          <w:p>
            <w:r>
              <w:t>Key Consideration</w:t>
            </w:r>
          </w:p>
        </w:tc>
      </w:tr>
      <w:tr>
        <w:tc>
          <w:tcPr>
            <w:tcW w:type="dxa" w:w="2880"/>
          </w:tcPr>
          <w:p>
            <w:r>
              <w:t>Credit / Cyclicality</w:t>
            </w:r>
          </w:p>
        </w:tc>
        <w:tc>
          <w:tcPr>
            <w:tcW w:type="dxa" w:w="2880"/>
          </w:tcPr>
          <w:p>
            <w:r>
              <w:t>MEDIUM</w:t>
            </w:r>
          </w:p>
        </w:tc>
        <w:tc>
          <w:tcPr>
            <w:tcW w:type="dxa" w:w="2880"/>
          </w:tcPr>
          <w:p>
            <w:r>
              <w:t>IG rated (Baa2/BBB-) but highly cyclical memory semiconductor business</w:t>
            </w:r>
          </w:p>
        </w:tc>
      </w:tr>
      <w:tr>
        <w:tc>
          <w:tcPr>
            <w:tcW w:type="dxa" w:w="2880"/>
          </w:tcPr>
          <w:p>
            <w:r>
              <w:t>FX (USDKRW on parity)</w:t>
            </w:r>
          </w:p>
        </w:tc>
        <w:tc>
          <w:tcPr>
            <w:tcW w:type="dxa" w:w="2880"/>
          </w:tcPr>
          <w:p>
            <w:r>
              <w:t>MEDIUM</w:t>
            </w:r>
          </w:p>
        </w:tc>
        <w:tc>
          <w:tcPr>
            <w:tcW w:type="dxa" w:w="2880"/>
          </w:tcPr>
          <w:p>
            <w:r>
              <w:t>Affects equity upside only, not bond floor; KRW can be volatile</w:t>
            </w:r>
          </w:p>
        </w:tc>
      </w:tr>
      <w:tr>
        <w:tc>
          <w:tcPr>
            <w:tcW w:type="dxa" w:w="2880"/>
          </w:tcPr>
          <w:p>
            <w:r>
              <w:t>Equity / Semi Cycle</w:t>
            </w:r>
          </w:p>
        </w:tc>
        <w:tc>
          <w:tcPr>
            <w:tcW w:type="dxa" w:w="2880"/>
          </w:tcPr>
          <w:p>
            <w:r>
              <w:t>MEDIUM-HIGH</w:t>
            </w:r>
          </w:p>
        </w:tc>
        <w:tc>
          <w:tcPr>
            <w:tcW w:type="dxa" w:w="2880"/>
          </w:tcPr>
          <w:p>
            <w:r>
              <w:t>27.5-32.5% premium; needs sustained rally + stable KRW for conversion value</w:t>
            </w:r>
          </w:p>
        </w:tc>
      </w:tr>
      <w:tr>
        <w:tc>
          <w:tcPr>
            <w:tcW w:type="dxa" w:w="2880"/>
          </w:tcPr>
          <w:p>
            <w:r>
              <w:t>US Interest Rates</w:t>
            </w:r>
          </w:p>
        </w:tc>
        <w:tc>
          <w:tcPr>
            <w:tcW w:type="dxa" w:w="2880"/>
          </w:tcPr>
          <w:p>
            <w:r>
              <w:t>MEDIUM</w:t>
            </w:r>
          </w:p>
        </w:tc>
        <w:tc>
          <w:tcPr>
            <w:tcW w:type="dxa" w:w="2880"/>
          </w:tcPr>
          <w:p>
            <w:r>
              <w:t>Short rho — USD bond floor directly sensitive; mitigated by 4-year put</w:t>
            </w:r>
          </w:p>
        </w:tc>
      </w:tr>
      <w:tr>
        <w:tc>
          <w:tcPr>
            <w:tcW w:type="dxa" w:w="2880"/>
          </w:tcPr>
          <w:p>
            <w:r>
              <w:t>Issuer Call</w:t>
            </w:r>
          </w:p>
        </w:tc>
        <w:tc>
          <w:tcPr>
            <w:tcW w:type="dxa" w:w="2880"/>
          </w:tcPr>
          <w:p>
            <w:r>
              <w:t>MEDIUM</w:t>
            </w:r>
          </w:p>
        </w:tc>
        <w:tc>
          <w:tcPr>
            <w:tcW w:type="dxa" w:w="2880"/>
          </w:tcPr>
          <w:p>
            <w:r>
              <w:t>130% trigger after Year 5; caps equity upside if stock rallies strongly</w:t>
            </w:r>
          </w:p>
        </w:tc>
      </w:tr>
      <w:tr>
        <w:tc>
          <w:tcPr>
            <w:tcW w:type="dxa" w:w="2880"/>
          </w:tcPr>
          <w:p>
            <w:r>
              <w:t>Korean Regulatory</w:t>
            </w:r>
          </w:p>
        </w:tc>
        <w:tc>
          <w:tcPr>
            <w:tcW w:type="dxa" w:w="2880"/>
          </w:tcPr>
          <w:p>
            <w:r>
              <w:t>LOW-MEDIUM</w:t>
            </w:r>
          </w:p>
        </w:tc>
        <w:tc>
          <w:tcPr>
            <w:tcW w:type="dxa" w:w="2880"/>
          </w:tcPr>
          <w:p>
            <w:r>
              <w:t>Transfer restrictions for 1 year; KSD entrustment adds operational complexity</w:t>
            </w:r>
          </w:p>
        </w:tc>
      </w:tr>
      <w:tr>
        <w:tc>
          <w:tcPr>
            <w:tcW w:type="dxa" w:w="2880"/>
          </w:tcPr>
          <w:p>
            <w:r>
              <w:t>Liquidity</w:t>
            </w:r>
          </w:p>
        </w:tc>
        <w:tc>
          <w:tcPr>
            <w:tcW w:type="dxa" w:w="2880"/>
          </w:tcPr>
          <w:p>
            <w:r>
              <w:t>LOW</w:t>
            </w:r>
          </w:p>
        </w:tc>
        <w:tc>
          <w:tcPr>
            <w:tcW w:type="dxa" w:w="2880"/>
          </w:tcPr>
          <w:p>
            <w:r>
              <w:t>Large issue size (USD 1.5B); SGX-listed; institutional buyer base</w:t>
            </w:r>
          </w:p>
        </w:tc>
      </w:tr>
      <w:tr>
        <w:tc>
          <w:tcPr>
            <w:tcW w:type="dxa" w:w="2880"/>
          </w:tcPr>
          <w:p>
            <w:r>
              <w:t>Dilution</w:t>
            </w:r>
          </w:p>
        </w:tc>
        <w:tc>
          <w:tcPr>
            <w:tcW w:type="dxa" w:w="2880"/>
          </w:tcPr>
          <w:p>
            <w:r>
              <w:t>LOW</w:t>
            </w:r>
          </w:p>
        </w:tc>
        <w:tc>
          <w:tcPr>
            <w:tcW w:type="dxa" w:w="2880"/>
          </w:tcPr>
          <w:p>
            <w:r>
              <w:t>Treasury shares (not new issuance); anti-dilution protections included</w:t>
            </w:r>
          </w:p>
        </w:tc>
      </w:tr>
    </w:tbl>
    <w:p>
      <w:r>
        <w:br w:type="page"/>
      </w:r>
    </w:p>
    <w:p>
      <w:pPr>
        <w:pStyle w:val="Heading1"/>
      </w:pPr>
      <w:r>
        <w:t>8. Structural Comparison: SK hynix (Compo) vs Zoomlion (Currency Linked)</w:t>
      </w:r>
    </w:p>
    <w:p>
      <w:r>
        <w:t>Comparing these two CBs highlights the fundamental differences between Compo and Currency Linked structures:</w:t>
      </w:r>
    </w:p>
    <w:tbl>
      <w:tblPr>
        <w:tblStyle w:val="LightList-Accent1"/>
        <w:tblW w:type="auto" w:w="0"/>
        <w:tblLook w:firstColumn="1" w:firstRow="1" w:lastColumn="0" w:lastRow="0" w:noHBand="0" w:noVBand="1" w:val="04A0"/>
      </w:tblPr>
      <w:tblGrid>
        <w:gridCol w:w="2880"/>
        <w:gridCol w:w="3168"/>
        <w:gridCol w:w="3168"/>
      </w:tblGrid>
      <w:tr>
        <w:tc>
          <w:tcPr>
            <w:tcW w:type="dxa" w:w="2880"/>
          </w:tcPr>
          <w:p>
            <w:r>
              <w:t>Feature</w:t>
            </w:r>
          </w:p>
        </w:tc>
        <w:tc>
          <w:tcPr>
            <w:tcW w:type="dxa" w:w="2880"/>
          </w:tcPr>
          <w:p>
            <w:r>
              <w:t>SK hynix (Compo)</w:t>
            </w:r>
          </w:p>
        </w:tc>
        <w:tc>
          <w:tcPr>
            <w:tcW w:type="dxa" w:w="2880"/>
          </w:tcPr>
          <w:p>
            <w:r>
              <w:t>Zoomlion (Currency Linked)</w:t>
            </w:r>
          </w:p>
        </w:tc>
      </w:tr>
      <w:tr>
        <w:tc>
          <w:tcPr>
            <w:tcW w:type="dxa" w:w="2880"/>
          </w:tcPr>
          <w:p>
            <w:r>
              <w:t>Bond denomination</w:t>
            </w:r>
          </w:p>
        </w:tc>
        <w:tc>
          <w:tcPr>
            <w:tcW w:type="dxa" w:w="2880"/>
          </w:tcPr>
          <w:p>
            <w:r>
              <w:t>USD</w:t>
            </w:r>
          </w:p>
        </w:tc>
        <w:tc>
          <w:tcPr>
            <w:tcW w:type="dxa" w:w="2880"/>
          </w:tcPr>
          <w:p>
            <w:r>
              <w:t>RMB (CNH linked)</w:t>
            </w:r>
          </w:p>
        </w:tc>
      </w:tr>
      <w:tr>
        <w:tc>
          <w:tcPr>
            <w:tcW w:type="dxa" w:w="2880"/>
          </w:tcPr>
          <w:p>
            <w:r>
              <w:t>Settlement currency</w:t>
            </w:r>
          </w:p>
        </w:tc>
        <w:tc>
          <w:tcPr>
            <w:tcW w:type="dxa" w:w="2880"/>
          </w:tcPr>
          <w:p>
            <w:r>
              <w:t>USD (fixed)</w:t>
            </w:r>
          </w:p>
        </w:tc>
        <w:tc>
          <w:tcPr>
            <w:tcW w:type="dxa" w:w="2880"/>
          </w:tcPr>
          <w:p>
            <w:r>
              <w:t>USD (at prevailing USDCNH)</w:t>
            </w:r>
          </w:p>
        </w:tc>
      </w:tr>
      <w:tr>
        <w:tc>
          <w:tcPr>
            <w:tcW w:type="dxa" w:w="2880"/>
          </w:tcPr>
          <w:p>
            <w:r>
              <w:t>FX risk on bond floor</w:t>
            </w:r>
          </w:p>
        </w:tc>
        <w:tc>
          <w:tcPr>
            <w:tcW w:type="dxa" w:w="2880"/>
          </w:tcPr>
          <w:p>
            <w:r>
              <w:t>None</w:t>
            </w:r>
          </w:p>
        </w:tc>
        <w:tc>
          <w:tcPr>
            <w:tcW w:type="dxa" w:w="2880"/>
          </w:tcPr>
          <w:p>
            <w:r>
              <w:t>Full USDCNH exposure</w:t>
            </w:r>
          </w:p>
        </w:tc>
      </w:tr>
      <w:tr>
        <w:tc>
          <w:tcPr>
            <w:tcW w:type="dxa" w:w="2880"/>
          </w:tcPr>
          <w:p>
            <w:r>
              <w:t>FX risk on equity option</w:t>
            </w:r>
          </w:p>
        </w:tc>
        <w:tc>
          <w:tcPr>
            <w:tcW w:type="dxa" w:w="2880"/>
          </w:tcPr>
          <w:p>
            <w:r>
              <w:t>Yes (USDKRW on parity)</w:t>
            </w:r>
          </w:p>
        </w:tc>
        <w:tc>
          <w:tcPr>
            <w:tcW w:type="dxa" w:w="2880"/>
          </w:tcPr>
          <w:p>
            <w:r>
              <w:t>Yes (USDCNH + CNHHKD on parity)</w:t>
            </w:r>
          </w:p>
        </w:tc>
      </w:tr>
      <w:tr>
        <w:tc>
          <w:tcPr>
            <w:tcW w:type="dxa" w:w="2880"/>
          </w:tcPr>
          <w:p>
            <w:r>
              <w:t>Rho to US rates</w:t>
            </w:r>
          </w:p>
        </w:tc>
        <w:tc>
          <w:tcPr>
            <w:tcW w:type="dxa" w:w="2880"/>
          </w:tcPr>
          <w:p>
            <w:r>
              <w:t>Short (direct)</w:t>
            </w:r>
          </w:p>
        </w:tc>
        <w:tc>
          <w:tcPr>
            <w:tcW w:type="dxa" w:w="2880"/>
          </w:tcPr>
          <w:p>
            <w:r>
              <w:t>~Zero (offset by FX linkage)</w:t>
            </w:r>
          </w:p>
        </w:tc>
      </w:tr>
      <w:tr>
        <w:tc>
          <w:tcPr>
            <w:tcW w:type="dxa" w:w="2880"/>
          </w:tcPr>
          <w:p>
            <w:r>
              <w:t>Rho to local rates</w:t>
            </w:r>
          </w:p>
        </w:tc>
        <w:tc>
          <w:tcPr>
            <w:tcW w:type="dxa" w:w="2880"/>
          </w:tcPr>
          <w:p>
            <w:r>
              <w:t>Short (indirect, parity only)</w:t>
            </w:r>
          </w:p>
        </w:tc>
        <w:tc>
          <w:tcPr>
            <w:tcW w:type="dxa" w:w="2880"/>
          </w:tcPr>
          <w:p>
            <w:r>
              <w:t>Short (bond floor via FX)</w:t>
            </w:r>
          </w:p>
        </w:tc>
      </w:tr>
      <w:tr>
        <w:tc>
          <w:tcPr>
            <w:tcW w:type="dxa" w:w="2880"/>
          </w:tcPr>
          <w:p>
            <w:r>
              <w:t>Put price</w:t>
            </w:r>
          </w:p>
        </w:tc>
        <w:tc>
          <w:tcPr>
            <w:tcW w:type="dxa" w:w="2880"/>
          </w:tcPr>
          <w:p>
            <w:r>
              <w:t>100.00% (par)</w:t>
            </w:r>
          </w:p>
        </w:tc>
        <w:tc>
          <w:tcPr>
            <w:tcW w:type="dxa" w:w="2880"/>
          </w:tcPr>
          <w:p>
            <w:r>
              <w:t>103.22–105.52% (accreted)</w:t>
            </w:r>
          </w:p>
        </w:tc>
      </w:tr>
      <w:tr>
        <w:tc>
          <w:tcPr>
            <w:tcW w:type="dxa" w:w="2880"/>
          </w:tcPr>
          <w:p>
            <w:r>
              <w:t>Coupon</w:t>
            </w:r>
          </w:p>
        </w:tc>
        <w:tc>
          <w:tcPr>
            <w:tcW w:type="dxa" w:w="2880"/>
          </w:tcPr>
          <w:p>
            <w:r>
              <w:t>1.25–1.75% (cash yield)</w:t>
            </w:r>
          </w:p>
        </w:tc>
        <w:tc>
          <w:tcPr>
            <w:tcW w:type="dxa" w:w="2880"/>
          </w:tcPr>
          <w:p>
            <w:r>
              <w:t>0.00–0.75% (low cash yield)</w:t>
            </w:r>
          </w:p>
        </w:tc>
      </w:tr>
      <w:tr>
        <w:tc>
          <w:tcPr>
            <w:tcW w:type="dxa" w:w="2880"/>
          </w:tcPr>
          <w:p>
            <w:r>
              <w:t>Credit quality</w:t>
            </w:r>
          </w:p>
        </w:tc>
        <w:tc>
          <w:tcPr>
            <w:tcW w:type="dxa" w:w="2880"/>
          </w:tcPr>
          <w:p>
            <w:r>
              <w:t>Baa2/BBB- (IG)</w:t>
            </w:r>
          </w:p>
        </w:tc>
        <w:tc>
          <w:tcPr>
            <w:tcW w:type="dxa" w:w="2880"/>
          </w:tcPr>
          <w:p>
            <w:r>
              <w:t>Unrated (Chinese heavy industry)</w:t>
            </w:r>
          </w:p>
        </w:tc>
      </w:tr>
    </w:tbl>
    <w:p/>
    <w:p>
      <w:r>
        <w:t>Summary: SK hynix offers a cleaner USD credit story with higher cash yield and no FX risk on the bond floor, but has cyclical semiconductor equity exposure. Zoomlion offers a lower cash yield with RMB-linked bond floor, making it a dual bet on CNH FX + Chinese heavy industry equity. The SK hynix Compo structure provides more asymmetric downside protection in USD terms.</w:t>
      </w:r>
    </w:p>
    <w:p>
      <w:r>
        <w:br w:type="page"/>
      </w:r>
    </w:p>
    <w:p>
      <w:pPr>
        <w:pStyle w:val="Heading1"/>
      </w:pPr>
      <w:r>
        <w:t>9. Structural Summary</w:t>
      </w:r>
    </w:p>
    <w:p>
      <w:pPr>
        <w:pStyle w:val="Heading2"/>
      </w:pPr>
      <w:r>
        <w:t>Cash Flow Timeline</w:t>
      </w:r>
    </w:p>
    <w:tbl>
      <w:tblPr>
        <w:tblStyle w:val="LightList-Accent1"/>
        <w:tblW w:type="auto" w:w="0"/>
        <w:tblLook w:firstColumn="1" w:firstRow="1" w:lastColumn="0" w:lastRow="0" w:noHBand="0" w:noVBand="1" w:val="04A0"/>
      </w:tblPr>
      <w:tblGrid>
        <w:gridCol w:w="2160"/>
        <w:gridCol w:w="2160"/>
        <w:gridCol w:w="5040"/>
      </w:tblGrid>
      <w:tr>
        <w:tc>
          <w:tcPr>
            <w:tcW w:type="dxa" w:w="2880"/>
          </w:tcPr>
          <w:p>
            <w:r>
              <w:t>Date</w:t>
            </w:r>
          </w:p>
        </w:tc>
        <w:tc>
          <w:tcPr>
            <w:tcW w:type="dxa" w:w="2880"/>
          </w:tcPr>
          <w:p>
            <w:r>
              <w:t>Event</w:t>
            </w:r>
          </w:p>
        </w:tc>
        <w:tc>
          <w:tcPr>
            <w:tcW w:type="dxa" w:w="2880"/>
          </w:tcPr>
          <w:p>
            <w:r>
              <w:t>Details</w:t>
            </w:r>
          </w:p>
        </w:tc>
      </w:tr>
      <w:tr>
        <w:tc>
          <w:tcPr>
            <w:tcW w:type="dxa" w:w="2880"/>
          </w:tcPr>
          <w:p>
            <w:r>
              <w:t>3 Apr 2023</w:t>
            </w:r>
          </w:p>
        </w:tc>
        <w:tc>
          <w:tcPr>
            <w:tcW w:type="dxa" w:w="2880"/>
          </w:tcPr>
          <w:p>
            <w:r>
              <w:t>Pricing</w:t>
            </w:r>
          </w:p>
        </w:tc>
        <w:tc>
          <w:tcPr>
            <w:tcW w:type="dxa" w:w="2880"/>
          </w:tcPr>
          <w:p>
            <w:r>
              <w:t>FX rate fixed at 1,316.30; conversion price set</w:t>
            </w:r>
          </w:p>
        </w:tc>
      </w:tr>
      <w:tr>
        <w:tc>
          <w:tcPr>
            <w:tcW w:type="dxa" w:w="2880"/>
          </w:tcPr>
          <w:p>
            <w:r>
              <w:t>11 Apr 2023</w:t>
            </w:r>
          </w:p>
        </w:tc>
        <w:tc>
          <w:tcPr>
            <w:tcW w:type="dxa" w:w="2880"/>
          </w:tcPr>
          <w:p>
            <w:r>
              <w:t>Settlement</w:t>
            </w:r>
          </w:p>
        </w:tc>
        <w:tc>
          <w:tcPr>
            <w:tcW w:type="dxa" w:w="2880"/>
          </w:tcPr>
          <w:p>
            <w:r>
              <w:t>Bonds delivered via Euroclear/Clearstream</w:t>
            </w:r>
          </w:p>
        </w:tc>
      </w:tr>
      <w:tr>
        <w:tc>
          <w:tcPr>
            <w:tcW w:type="dxa" w:w="2880"/>
          </w:tcPr>
          <w:p>
            <w:r>
              <w:t>~22 May 2023</w:t>
            </w:r>
          </w:p>
        </w:tc>
        <w:tc>
          <w:tcPr>
            <w:tcW w:type="dxa" w:w="2880"/>
          </w:tcPr>
          <w:p>
            <w:r>
              <w:t>Conversion opens</w:t>
            </w:r>
          </w:p>
        </w:tc>
        <w:tc>
          <w:tcPr>
            <w:tcW w:type="dxa" w:w="2880"/>
          </w:tcPr>
          <w:p>
            <w:r>
              <w:t>41 days after closing; can convert to 000660 KS</w:t>
            </w:r>
          </w:p>
        </w:tc>
      </w:tr>
      <w:tr>
        <w:tc>
          <w:tcPr>
            <w:tcW w:type="dxa" w:w="2880"/>
          </w:tcPr>
          <w:p>
            <w:r>
              <w:t>11 Apr 2024</w:t>
            </w:r>
          </w:p>
        </w:tc>
        <w:tc>
          <w:tcPr>
            <w:tcW w:type="dxa" w:w="2880"/>
          </w:tcPr>
          <w:p>
            <w:r>
              <w:t>Korean restriction lifts</w:t>
            </w:r>
          </w:p>
        </w:tc>
        <w:tc>
          <w:tcPr>
            <w:tcW w:type="dxa" w:w="2880"/>
          </w:tcPr>
          <w:p>
            <w:r>
              <w:t>Bonds/shares can be sold to Korean residents</w:t>
            </w:r>
          </w:p>
        </w:tc>
      </w:tr>
      <w:tr>
        <w:tc>
          <w:tcPr>
            <w:tcW w:type="dxa" w:w="2880"/>
          </w:tcPr>
          <w:p>
            <w:r>
              <w:t>11 Apr 2027</w:t>
            </w:r>
          </w:p>
        </w:tc>
        <w:tc>
          <w:tcPr>
            <w:tcW w:type="dxa" w:w="2880"/>
          </w:tcPr>
          <w:p>
            <w:r>
              <w:t>Bondholder put</w:t>
            </w:r>
          </w:p>
        </w:tc>
        <w:tc>
          <w:tcPr>
            <w:tcW w:type="dxa" w:w="2880"/>
          </w:tcPr>
          <w:p>
            <w:r>
              <w:t>Put at 100.00% par + accrued interest</w:t>
            </w:r>
          </w:p>
        </w:tc>
      </w:tr>
      <w:tr>
        <w:tc>
          <w:tcPr>
            <w:tcW w:type="dxa" w:w="2880"/>
          </w:tcPr>
          <w:p>
            <w:r>
              <w:t>25 Apr 2028</w:t>
            </w:r>
          </w:p>
        </w:tc>
        <w:tc>
          <w:tcPr>
            <w:tcW w:type="dxa" w:w="2880"/>
          </w:tcPr>
          <w:p>
            <w:r>
              <w:t>Issuer call enabled</w:t>
            </w:r>
          </w:p>
        </w:tc>
        <w:tc>
          <w:tcPr>
            <w:tcW w:type="dxa" w:w="2880"/>
          </w:tcPr>
          <w:p>
            <w:r>
              <w:t>Soft call at 130% trigger (KRW price in USD terms)</w:t>
            </w:r>
          </w:p>
        </w:tc>
      </w:tr>
    </w:tbl>
    <w:p>
      <w:pPr>
        <w:pStyle w:val="Heading2"/>
      </w:pPr>
      <w:r>
        <w:t>What You Own (Decomposition)</w:t>
      </w:r>
    </w:p>
    <w:p>
      <w:r>
        <w:t>A long position in this CB can be decomposed into:</w:t>
      </w:r>
    </w:p>
    <w:p>
      <w:pPr>
        <w:pStyle w:val="ListNumber"/>
      </w:pPr>
      <w:r>
        <w:t>A 4-year USD investment-grade credit bond on SK hynix (yielding 1.25–1.75%, puttable at Year 4 at par) — your downside protection, entirely in USD</w:t>
      </w:r>
    </w:p>
    <w:p>
      <w:pPr>
        <w:pStyle w:val="ListNumber"/>
      </w:pPr>
      <w:r>
        <w:t>A long call option on 000660 KS shares (at KRW 111,180–115,540 strike, ~7-year expiry) — your equity upside, denominated in KRW</w:t>
      </w:r>
    </w:p>
    <w:p>
      <w:pPr>
        <w:pStyle w:val="ListNumber"/>
      </w:pPr>
      <w:r>
        <w:t>An implicit long KRW / short USD position on the equity component only (parity moves with spot USDKRW) — FX exposure on the upside, not the downside</w:t>
      </w:r>
    </w:p>
    <w:p>
      <w:pPr>
        <w:pStyle w:val="ListNumber"/>
      </w:pPr>
      <w:r>
        <w:t>A short issuer call option (issuer can call after Year 5 at 130% trigger) — caps extreme equity upside</w:t>
      </w:r>
    </w:p>
    <w:p/>
    <w:p>
      <w:r>
        <w:t>The Compo structure creates asymmetric FX exposure: your downside (bond floor) is clean USD, while your upside (equity conversion) carries KRW FX risk. This is generally preferred by USD-based investors who want credit protection without taking FX risk on the bond floor.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