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53C0C" w14:textId="77777777" w:rsidR="000E34BF" w:rsidRDefault="00000000">
      <w:pPr>
        <w:pStyle w:val="Title"/>
      </w:pPr>
      <w:r>
        <w:t>Zoomlion Heavy Industry Science and Technology Co., Ltd</w:t>
      </w:r>
    </w:p>
    <w:p w14:paraId="143D6670" w14:textId="77777777" w:rsidR="000E34BF" w:rsidRDefault="00000000">
      <w:pPr>
        <w:pStyle w:val="Heading1"/>
      </w:pPr>
      <w:r>
        <w:t>1157 HK — Convertible Bond Term Sheet Analysis</w:t>
      </w:r>
    </w:p>
    <w:p w14:paraId="128F9482" w14:textId="77777777" w:rsidR="000E34BF" w:rsidRDefault="000E34BF"/>
    <w:p w14:paraId="2940ED16" w14:textId="77777777" w:rsidR="000E34BF" w:rsidRDefault="00000000">
      <w:r>
        <w:t xml:space="preserve">Up to </w:t>
      </w:r>
      <w:r w:rsidRPr="00840C0B">
        <w:rPr>
          <w:highlight w:val="blue"/>
        </w:rPr>
        <w:t>RMB 6,000 Million</w:t>
      </w:r>
      <w:r>
        <w:t xml:space="preserve"> </w:t>
      </w:r>
      <w:r w:rsidRPr="00840C0B">
        <w:rPr>
          <w:highlight w:val="blue"/>
        </w:rPr>
        <w:t>CNH Linked</w:t>
      </w:r>
      <w:r>
        <w:t xml:space="preserve">, </w:t>
      </w:r>
      <w:r w:rsidRPr="00840C0B">
        <w:rPr>
          <w:highlight w:val="blue"/>
        </w:rPr>
        <w:t>USD Settled</w:t>
      </w:r>
      <w:r>
        <w:t xml:space="preserve"> Convertible Bonds due 2031</w:t>
      </w:r>
    </w:p>
    <w:p w14:paraId="3AD41EC3" w14:textId="77777777" w:rsidR="000E34BF" w:rsidRDefault="00000000">
      <w:r>
        <w:t>Joint Global Coordinators: Huatai International, HSBC, Morgan Stanley</w:t>
      </w:r>
    </w:p>
    <w:p w14:paraId="76ACFA66" w14:textId="77777777" w:rsidR="000E34BF" w:rsidRDefault="00000000">
      <w:r>
        <w:t>Analysis Date: March 2026</w:t>
      </w:r>
    </w:p>
    <w:p w14:paraId="650F19E8" w14:textId="77777777" w:rsidR="000E34BF" w:rsidRDefault="00000000">
      <w:r>
        <w:br w:type="page"/>
      </w:r>
    </w:p>
    <w:p w14:paraId="0F61C70E" w14:textId="77777777" w:rsidR="000E34BF" w:rsidRDefault="00000000">
      <w:pPr>
        <w:pStyle w:val="Heading1"/>
      </w:pPr>
      <w:r>
        <w:lastRenderedPageBreak/>
        <w:t>1. Deal Summary</w:t>
      </w:r>
    </w:p>
    <w:tbl>
      <w:tblPr>
        <w:tblStyle w:val="LightList-Accent1"/>
        <w:tblW w:w="0" w:type="auto"/>
        <w:tblLook w:val="04A0" w:firstRow="1" w:lastRow="0" w:firstColumn="1" w:lastColumn="0" w:noHBand="0" w:noVBand="1"/>
      </w:tblPr>
      <w:tblGrid>
        <w:gridCol w:w="4320"/>
        <w:gridCol w:w="4320"/>
      </w:tblGrid>
      <w:tr w:rsidR="000E34BF" w14:paraId="7ADE4923"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E1B89" w14:textId="77777777" w:rsidR="000E34BF" w:rsidRDefault="00000000">
            <w:r>
              <w:t>Issuer</w:t>
            </w:r>
          </w:p>
        </w:tc>
        <w:tc>
          <w:tcPr>
            <w:tcW w:w="4320" w:type="dxa"/>
          </w:tcPr>
          <w:p w14:paraId="5F131A21" w14:textId="77777777" w:rsidR="000E34BF" w:rsidRDefault="00000000">
            <w:pPr>
              <w:cnfStyle w:val="100000000000" w:firstRow="1" w:lastRow="0" w:firstColumn="0" w:lastColumn="0" w:oddVBand="0" w:evenVBand="0" w:oddHBand="0" w:evenHBand="0" w:firstRowFirstColumn="0" w:firstRowLastColumn="0" w:lastRowFirstColumn="0" w:lastRowLastColumn="0"/>
            </w:pPr>
            <w:r>
              <w:t>Zoomlion Heavy Industry Science and Technology Co., Ltd</w:t>
            </w:r>
          </w:p>
        </w:tc>
      </w:tr>
      <w:tr w:rsidR="000E34BF" w14:paraId="34943F3B"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A8CC29" w14:textId="77777777" w:rsidR="000E34BF" w:rsidRDefault="00000000">
            <w:r>
              <w:t>Ticker</w:t>
            </w:r>
          </w:p>
        </w:tc>
        <w:tc>
          <w:tcPr>
            <w:tcW w:w="4320" w:type="dxa"/>
          </w:tcPr>
          <w:p w14:paraId="32AD11E5"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1157 HK</w:t>
            </w:r>
            <w:r>
              <w:t xml:space="preserve"> (H Shares on SEHK)</w:t>
            </w:r>
          </w:p>
        </w:tc>
      </w:tr>
      <w:tr w:rsidR="000E34BF" w14:paraId="6CC580A3"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364A8763" w14:textId="77777777" w:rsidR="000E34BF" w:rsidRDefault="00000000">
            <w:r>
              <w:t>Currency</w:t>
            </w:r>
          </w:p>
        </w:tc>
        <w:tc>
          <w:tcPr>
            <w:tcW w:w="4320" w:type="dxa"/>
          </w:tcPr>
          <w:p w14:paraId="6438A958"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RMB denominated</w:t>
            </w:r>
            <w:r>
              <w:t xml:space="preserve">, </w:t>
            </w:r>
            <w:r w:rsidRPr="00840C0B">
              <w:rPr>
                <w:highlight w:val="blue"/>
              </w:rPr>
              <w:t>CNH linked</w:t>
            </w:r>
            <w:r>
              <w:t xml:space="preserve">, </w:t>
            </w:r>
            <w:r w:rsidRPr="00840C0B">
              <w:rPr>
                <w:highlight w:val="blue"/>
              </w:rPr>
              <w:t>USD settled</w:t>
            </w:r>
          </w:p>
        </w:tc>
      </w:tr>
      <w:tr w:rsidR="000E34BF" w14:paraId="4E29ADFA"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E4EE17" w14:textId="77777777" w:rsidR="000E34BF" w:rsidRDefault="00000000">
            <w:r>
              <w:t>Issue Size</w:t>
            </w:r>
          </w:p>
        </w:tc>
        <w:tc>
          <w:tcPr>
            <w:tcW w:w="4320" w:type="dxa"/>
          </w:tcPr>
          <w:p w14:paraId="3C8ED261"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RMB 5,000 million</w:t>
            </w:r>
            <w:r>
              <w:t xml:space="preserve"> (~US$720M) + RMB </w:t>
            </w:r>
            <w:r w:rsidRPr="00840C0B">
              <w:rPr>
                <w:highlight w:val="blue"/>
              </w:rPr>
              <w:t>1,000M upsize option</w:t>
            </w:r>
            <w:r>
              <w:t xml:space="preserve"> (~US$145M)</w:t>
            </w:r>
          </w:p>
        </w:tc>
      </w:tr>
      <w:tr w:rsidR="000E34BF" w14:paraId="2B44FF6D"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30042863" w14:textId="77777777" w:rsidR="000E34BF" w:rsidRDefault="00000000">
            <w:r>
              <w:t>Denomination</w:t>
            </w:r>
          </w:p>
        </w:tc>
        <w:tc>
          <w:tcPr>
            <w:tcW w:w="4320" w:type="dxa"/>
          </w:tcPr>
          <w:p w14:paraId="2A8E2C44"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RMB 2,000,000 each</w:t>
            </w:r>
            <w:r>
              <w:t xml:space="preserve"> + integral </w:t>
            </w:r>
            <w:r w:rsidRPr="00840C0B">
              <w:rPr>
                <w:highlight w:val="blue"/>
              </w:rPr>
              <w:t>multiples of RMB 1,000,000</w:t>
            </w:r>
          </w:p>
        </w:tc>
      </w:tr>
      <w:tr w:rsidR="000E34BF" w14:paraId="4AE2310D"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07C075" w14:textId="77777777" w:rsidR="000E34BF" w:rsidRDefault="00000000">
            <w:r>
              <w:t>Maturity Date</w:t>
            </w:r>
          </w:p>
        </w:tc>
        <w:tc>
          <w:tcPr>
            <w:tcW w:w="4320" w:type="dxa"/>
          </w:tcPr>
          <w:p w14:paraId="716F0365" w14:textId="77777777" w:rsidR="000E34BF" w:rsidRDefault="00000000">
            <w:pPr>
              <w:cnfStyle w:val="000000100000" w:firstRow="0" w:lastRow="0" w:firstColumn="0" w:lastColumn="0" w:oddVBand="0" w:evenVBand="0" w:oddHBand="1" w:evenHBand="0" w:firstRowFirstColumn="0" w:firstRowLastColumn="0" w:lastRowFirstColumn="0" w:lastRowLastColumn="0"/>
            </w:pPr>
            <w:r>
              <w:t xml:space="preserve">On or about </w:t>
            </w:r>
            <w:r w:rsidRPr="00840C0B">
              <w:rPr>
                <w:highlight w:val="blue"/>
              </w:rPr>
              <w:t>February 5, 2031 (5 years)</w:t>
            </w:r>
          </w:p>
        </w:tc>
      </w:tr>
      <w:tr w:rsidR="000E34BF" w14:paraId="66ABB709"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6280A732" w14:textId="77777777" w:rsidR="000E34BF" w:rsidRDefault="00000000">
            <w:r>
              <w:t>Bondholder Put Date</w:t>
            </w:r>
          </w:p>
        </w:tc>
        <w:tc>
          <w:tcPr>
            <w:tcW w:w="4320" w:type="dxa"/>
          </w:tcPr>
          <w:p w14:paraId="7C9B2372" w14:textId="77777777" w:rsidR="000E34BF" w:rsidRDefault="00000000">
            <w:pPr>
              <w:cnfStyle w:val="000000000000" w:firstRow="0" w:lastRow="0" w:firstColumn="0" w:lastColumn="0" w:oddVBand="0" w:evenVBand="0" w:oddHBand="0" w:evenHBand="0" w:firstRowFirstColumn="0" w:firstRowLastColumn="0" w:lastRowFirstColumn="0" w:lastRowLastColumn="0"/>
            </w:pPr>
            <w:r>
              <w:t xml:space="preserve">On or about </w:t>
            </w:r>
            <w:r w:rsidRPr="00840C0B">
              <w:rPr>
                <w:highlight w:val="blue"/>
              </w:rPr>
              <w:t>February 5, 2029 (end of year 3)</w:t>
            </w:r>
          </w:p>
        </w:tc>
      </w:tr>
      <w:tr w:rsidR="000E34BF" w14:paraId="5609DA2E"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99C064" w14:textId="77777777" w:rsidR="000E34BF" w:rsidRDefault="00000000">
            <w:r>
              <w:t>Coupon</w:t>
            </w:r>
          </w:p>
        </w:tc>
        <w:tc>
          <w:tcPr>
            <w:tcW w:w="4320" w:type="dxa"/>
          </w:tcPr>
          <w:p w14:paraId="79769A49"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0.00 – 0.75% p.a., payable semi-annually</w:t>
            </w:r>
          </w:p>
        </w:tc>
      </w:tr>
      <w:tr w:rsidR="000E34BF" w14:paraId="3E44E3FD"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5303F3B2" w14:textId="77777777" w:rsidR="000E34BF" w:rsidRDefault="00000000">
            <w:r>
              <w:t>Yield to Put / Maturity</w:t>
            </w:r>
          </w:p>
        </w:tc>
        <w:tc>
          <w:tcPr>
            <w:tcW w:w="4320" w:type="dxa"/>
          </w:tcPr>
          <w:p w14:paraId="59A8DD76"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1.80% p.a., semi-annual basis</w:t>
            </w:r>
          </w:p>
        </w:tc>
      </w:tr>
      <w:tr w:rsidR="000E34BF" w14:paraId="4A462DAF"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EB3EDE" w14:textId="77777777" w:rsidR="000E34BF" w:rsidRDefault="00000000">
            <w:r>
              <w:t>Issue Price</w:t>
            </w:r>
          </w:p>
        </w:tc>
        <w:tc>
          <w:tcPr>
            <w:tcW w:w="4320" w:type="dxa"/>
          </w:tcPr>
          <w:p w14:paraId="22D7C250"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100.0% of principal amount</w:t>
            </w:r>
          </w:p>
        </w:tc>
      </w:tr>
      <w:tr w:rsidR="000E34BF" w14:paraId="2D0B08D0"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01537C61" w14:textId="77777777" w:rsidR="000E34BF" w:rsidRDefault="00000000">
            <w:r>
              <w:t>Put Price</w:t>
            </w:r>
          </w:p>
        </w:tc>
        <w:tc>
          <w:tcPr>
            <w:tcW w:w="4320" w:type="dxa"/>
          </w:tcPr>
          <w:p w14:paraId="7AD734A1"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103.22 – 105.52%</w:t>
            </w:r>
            <w:r>
              <w:t xml:space="preserve"> of principal amount</w:t>
            </w:r>
          </w:p>
        </w:tc>
      </w:tr>
      <w:tr w:rsidR="000E34BF" w14:paraId="08B28960"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5DF067" w14:textId="77777777" w:rsidR="000E34BF" w:rsidRDefault="00000000">
            <w:r>
              <w:t>Redemption at Maturity</w:t>
            </w:r>
          </w:p>
        </w:tc>
        <w:tc>
          <w:tcPr>
            <w:tcW w:w="4320" w:type="dxa"/>
          </w:tcPr>
          <w:p w14:paraId="7DDC54EA"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105.47 – 109.37%</w:t>
            </w:r>
            <w:r>
              <w:t xml:space="preserve"> of principal amount</w:t>
            </w:r>
          </w:p>
        </w:tc>
      </w:tr>
      <w:tr w:rsidR="000E34BF" w14:paraId="6EEB3F81"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444CDECC" w14:textId="77777777" w:rsidR="000E34BF" w:rsidRDefault="00000000">
            <w:r>
              <w:t>Conversion Premium</w:t>
            </w:r>
          </w:p>
        </w:tc>
        <w:tc>
          <w:tcPr>
            <w:tcW w:w="4320" w:type="dxa"/>
          </w:tcPr>
          <w:p w14:paraId="540C176B"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18.58% above Reference H Share Price</w:t>
            </w:r>
          </w:p>
        </w:tc>
      </w:tr>
      <w:tr w:rsidR="000E34BF" w14:paraId="7D2AE4C2"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F03DAF" w14:textId="77777777" w:rsidR="000E34BF" w:rsidRDefault="00000000">
            <w:r>
              <w:t>Reference H Share Price</w:t>
            </w:r>
          </w:p>
        </w:tc>
        <w:tc>
          <w:tcPr>
            <w:tcW w:w="4320" w:type="dxa"/>
          </w:tcPr>
          <w:p w14:paraId="087B4C4D"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HK$ 8.45</w:t>
            </w:r>
            <w:r>
              <w:t xml:space="preserve"> (closing price on January 28, 2026)</w:t>
            </w:r>
          </w:p>
        </w:tc>
      </w:tr>
      <w:tr w:rsidR="000E34BF" w14:paraId="51B48169"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7196EEEB" w14:textId="77777777" w:rsidR="000E34BF" w:rsidRDefault="00000000">
            <w:r>
              <w:t>Initial Conversion Price</w:t>
            </w:r>
          </w:p>
        </w:tc>
        <w:tc>
          <w:tcPr>
            <w:tcW w:w="4320" w:type="dxa"/>
          </w:tcPr>
          <w:p w14:paraId="4658A4BB"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HK$ 10.02</w:t>
            </w:r>
          </w:p>
        </w:tc>
      </w:tr>
      <w:tr w:rsidR="000E34BF" w14:paraId="7599335E"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D56D11" w14:textId="77777777" w:rsidR="000E34BF" w:rsidRDefault="00000000">
            <w:r>
              <w:t>Initial USD/CNH Rate</w:t>
            </w:r>
          </w:p>
        </w:tc>
        <w:tc>
          <w:tcPr>
            <w:tcW w:w="4320" w:type="dxa"/>
          </w:tcPr>
          <w:p w14:paraId="5AC5E96F"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t>CNH 6.9391 = USD 1.00</w:t>
            </w:r>
            <w:r>
              <w:t xml:space="preserve"> (Bloomberg BFIX, Jan 28, 2026)</w:t>
            </w:r>
          </w:p>
        </w:tc>
      </w:tr>
      <w:tr w:rsidR="000E34BF" w14:paraId="3324B291"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11549A82" w14:textId="77777777" w:rsidR="000E34BF" w:rsidRDefault="00000000">
            <w:r>
              <w:t>Fixed CNH/HKD Rate</w:t>
            </w:r>
          </w:p>
        </w:tc>
        <w:tc>
          <w:tcPr>
            <w:tcW w:w="4320" w:type="dxa"/>
          </w:tcPr>
          <w:p w14:paraId="75B81C5A"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CNH 0.8895 = HKD 1.00</w:t>
            </w:r>
            <w:r>
              <w:t xml:space="preserve"> (Bloomberg BFIX, Jan 28, 2026)</w:t>
            </w:r>
          </w:p>
        </w:tc>
      </w:tr>
      <w:tr w:rsidR="000E34BF" w14:paraId="20DEA240"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E3208C" w14:textId="77777777" w:rsidR="000E34BF" w:rsidRDefault="00000000">
            <w:r>
              <w:t>Initial Conversion Ratio</w:t>
            </w:r>
          </w:p>
        </w:tc>
        <w:tc>
          <w:tcPr>
            <w:tcW w:w="4320" w:type="dxa"/>
          </w:tcPr>
          <w:p w14:paraId="2164535C"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224,396.6255 shares</w:t>
            </w:r>
            <w:r>
              <w:t xml:space="preserve"> per RMB 2,000,000 principal</w:t>
            </w:r>
          </w:p>
        </w:tc>
      </w:tr>
      <w:tr w:rsidR="000E34BF" w14:paraId="00953AA3"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18034313" w14:textId="77777777" w:rsidR="000E34BF" w:rsidRDefault="00000000">
            <w:r>
              <w:t>Day Count</w:t>
            </w:r>
          </w:p>
        </w:tc>
        <w:tc>
          <w:tcPr>
            <w:tcW w:w="4320" w:type="dxa"/>
          </w:tcPr>
          <w:p w14:paraId="5030F0DD"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30 / 360</w:t>
            </w:r>
          </w:p>
        </w:tc>
      </w:tr>
      <w:tr w:rsidR="000E34BF" w14:paraId="217171D9"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F7255A" w14:textId="77777777" w:rsidR="000E34BF" w:rsidRDefault="00000000">
            <w:r>
              <w:t>Governing Law</w:t>
            </w:r>
          </w:p>
        </w:tc>
        <w:tc>
          <w:tcPr>
            <w:tcW w:w="4320" w:type="dxa"/>
          </w:tcPr>
          <w:p w14:paraId="5F60D8FE" w14:textId="77777777" w:rsidR="000E34BF" w:rsidRDefault="00000000">
            <w:pPr>
              <w:cnfStyle w:val="000000100000" w:firstRow="0" w:lastRow="0" w:firstColumn="0" w:lastColumn="0" w:oddVBand="0" w:evenVBand="0" w:oddHBand="1" w:evenHBand="0" w:firstRowFirstColumn="0" w:firstRowLastColumn="0" w:lastRowFirstColumn="0" w:lastRowLastColumn="0"/>
            </w:pPr>
            <w:r>
              <w:t>English Law</w:t>
            </w:r>
          </w:p>
        </w:tc>
      </w:tr>
      <w:tr w:rsidR="000E34BF" w14:paraId="008B98C0" w14:textId="77777777" w:rsidTr="000E34BF">
        <w:tc>
          <w:tcPr>
            <w:cnfStyle w:val="001000000000" w:firstRow="0" w:lastRow="0" w:firstColumn="1" w:lastColumn="0" w:oddVBand="0" w:evenVBand="0" w:oddHBand="0" w:evenHBand="0" w:firstRowFirstColumn="0" w:firstRowLastColumn="0" w:lastRowFirstColumn="0" w:lastRowLastColumn="0"/>
            <w:tcW w:w="4320" w:type="dxa"/>
          </w:tcPr>
          <w:p w14:paraId="1829690D" w14:textId="77777777" w:rsidR="000E34BF" w:rsidRDefault="00000000">
            <w:r>
              <w:t>ISIN</w:t>
            </w:r>
          </w:p>
        </w:tc>
        <w:tc>
          <w:tcPr>
            <w:tcW w:w="4320" w:type="dxa"/>
          </w:tcPr>
          <w:p w14:paraId="07AFDBB0"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XS3279617560</w:t>
            </w:r>
          </w:p>
        </w:tc>
      </w:tr>
      <w:tr w:rsidR="000E34BF" w14:paraId="1BB3D903"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6FBEDE" w14:textId="77777777" w:rsidR="000E34BF" w:rsidRDefault="00000000">
            <w:r>
              <w:t>Settlement</w:t>
            </w:r>
          </w:p>
        </w:tc>
        <w:tc>
          <w:tcPr>
            <w:tcW w:w="4320" w:type="dxa"/>
          </w:tcPr>
          <w:p w14:paraId="07F9F836" w14:textId="77777777" w:rsidR="000E34BF" w:rsidRDefault="00000000">
            <w:pPr>
              <w:cnfStyle w:val="000000100000" w:firstRow="0" w:lastRow="0" w:firstColumn="0" w:lastColumn="0" w:oddVBand="0" w:evenVBand="0" w:oddHBand="1" w:evenHBand="0" w:firstRowFirstColumn="0" w:firstRowLastColumn="0" w:lastRowFirstColumn="0" w:lastRowLastColumn="0"/>
            </w:pPr>
            <w:r>
              <w:t>Euroclear and Clearstream</w:t>
            </w:r>
          </w:p>
        </w:tc>
      </w:tr>
    </w:tbl>
    <w:p w14:paraId="5D9914CC" w14:textId="77777777" w:rsidR="000E34BF" w:rsidRDefault="00000000">
      <w:r>
        <w:br w:type="page"/>
      </w:r>
    </w:p>
    <w:p w14:paraId="54BFB7D1" w14:textId="77777777" w:rsidR="000E34BF" w:rsidRDefault="00000000">
      <w:pPr>
        <w:pStyle w:val="Heading1"/>
      </w:pPr>
      <w:r>
        <w:lastRenderedPageBreak/>
        <w:t>2. Convertible Bond Type Classification</w:t>
      </w:r>
    </w:p>
    <w:p w14:paraId="59FBA15E" w14:textId="77777777" w:rsidR="000E34BF" w:rsidRDefault="00000000">
      <w:pPr>
        <w:pStyle w:val="Heading2"/>
      </w:pPr>
      <w:r>
        <w:t xml:space="preserve">This is a </w:t>
      </w:r>
      <w:r w:rsidRPr="00840C0B">
        <w:rPr>
          <w:highlight w:val="blue"/>
        </w:rPr>
        <w:t>Currency Linked CB</w:t>
      </w:r>
    </w:p>
    <w:p w14:paraId="256A8830" w14:textId="77777777" w:rsidR="000E34BF" w:rsidRDefault="00000000">
      <w:r>
        <w:t xml:space="preserve">The Zoomlion 2031 CB is classified as a </w:t>
      </w:r>
      <w:r w:rsidRPr="00840C0B">
        <w:rPr>
          <w:highlight w:val="blue"/>
        </w:rPr>
        <w:t>Currency Linked Convertible Bond</w:t>
      </w:r>
      <w:r>
        <w:t>. This is determined by three defining characteristics:</w:t>
      </w:r>
    </w:p>
    <w:p w14:paraId="02F768A4" w14:textId="77777777" w:rsidR="000E34BF" w:rsidRDefault="00000000">
      <w:pPr>
        <w:pStyle w:val="ListNumber"/>
      </w:pPr>
      <w:r w:rsidRPr="00840C0B">
        <w:rPr>
          <w:highlight w:val="blue"/>
        </w:rPr>
        <w:t>RMB Denominated</w:t>
      </w:r>
      <w:r>
        <w:t>: The principal, coupon, and redemption amounts are all defined in RMB (specifically RMB 2,000,000 per bond). The bond's economic value is anchored to the Chinese Renminbi.</w:t>
      </w:r>
    </w:p>
    <w:p w14:paraId="68760ED4" w14:textId="77777777" w:rsidR="000E34BF" w:rsidRDefault="00000000">
      <w:pPr>
        <w:pStyle w:val="ListNumber"/>
      </w:pPr>
      <w:r w:rsidRPr="00840C0B">
        <w:rPr>
          <w:highlight w:val="blue"/>
        </w:rPr>
        <w:t>CNH Linked:</w:t>
      </w:r>
      <w:r>
        <w:t xml:space="preserve"> The term "CNH linked" means all RMB cash flows are referenced to the offshore CNH exchange rate (not onshore CNY). The Bloomberg BFIX </w:t>
      </w:r>
      <w:r w:rsidRPr="00840C0B">
        <w:rPr>
          <w:highlight w:val="blue"/>
        </w:rPr>
        <w:t>USDCNH rate is used for all USD settlement conversions</w:t>
      </w:r>
      <w:r>
        <w:t>.</w:t>
      </w:r>
    </w:p>
    <w:p w14:paraId="1423BE27" w14:textId="77777777" w:rsidR="000E34BF" w:rsidRPr="00840C0B" w:rsidRDefault="00000000">
      <w:pPr>
        <w:pStyle w:val="ListNumber"/>
        <w:rPr>
          <w:highlight w:val="blue"/>
        </w:rPr>
      </w:pPr>
      <w:r w:rsidRPr="00840C0B">
        <w:rPr>
          <w:highlight w:val="blue"/>
        </w:rPr>
        <w:t>USD Settled</w:t>
      </w:r>
      <w:r>
        <w:t xml:space="preserve">: Despite being RMB-denominated, </w:t>
      </w:r>
      <w:r w:rsidRPr="00840C0B">
        <w:rPr>
          <w:highlight w:val="blue"/>
        </w:rPr>
        <w:t>all actual payments (coupons, put, redemption) are converted and settled in USD at the prevailing USDCNH spot rate (BFIX) as of two business days before payment.</w:t>
      </w:r>
    </w:p>
    <w:p w14:paraId="3A428E33" w14:textId="77777777" w:rsidR="000E34BF" w:rsidRDefault="00000000">
      <w:pPr>
        <w:pStyle w:val="Heading2"/>
      </w:pPr>
      <w:r>
        <w:t>How does this differ from Compo and Flexi CBs?</w:t>
      </w:r>
    </w:p>
    <w:tbl>
      <w:tblPr>
        <w:tblStyle w:val="LightList-Accent1"/>
        <w:tblW w:w="0" w:type="auto"/>
        <w:tblLook w:val="04A0" w:firstRow="1" w:lastRow="0" w:firstColumn="1" w:lastColumn="0" w:noHBand="0" w:noVBand="1"/>
      </w:tblPr>
      <w:tblGrid>
        <w:gridCol w:w="2160"/>
        <w:gridCol w:w="2160"/>
        <w:gridCol w:w="2160"/>
        <w:gridCol w:w="2160"/>
      </w:tblGrid>
      <w:tr w:rsidR="000E34BF" w14:paraId="10B7F111"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55FE90" w14:textId="77777777" w:rsidR="000E34BF" w:rsidRDefault="00000000">
            <w:r>
              <w:t>Type</w:t>
            </w:r>
          </w:p>
        </w:tc>
        <w:tc>
          <w:tcPr>
            <w:tcW w:w="2160" w:type="dxa"/>
          </w:tcPr>
          <w:p w14:paraId="4C13B174" w14:textId="77777777" w:rsidR="000E34BF" w:rsidRDefault="00000000">
            <w:pPr>
              <w:cnfStyle w:val="100000000000" w:firstRow="1" w:lastRow="0" w:firstColumn="0" w:lastColumn="0" w:oddVBand="0" w:evenVBand="0" w:oddHBand="0" w:evenHBand="0" w:firstRowFirstColumn="0" w:firstRowLastColumn="0" w:lastRowFirstColumn="0" w:lastRowLastColumn="0"/>
            </w:pPr>
            <w:r>
              <w:t>Denomination</w:t>
            </w:r>
          </w:p>
        </w:tc>
        <w:tc>
          <w:tcPr>
            <w:tcW w:w="2160" w:type="dxa"/>
          </w:tcPr>
          <w:p w14:paraId="2A8B927F" w14:textId="77777777" w:rsidR="000E34BF" w:rsidRDefault="00000000">
            <w:pPr>
              <w:cnfStyle w:val="100000000000" w:firstRow="1" w:lastRow="0" w:firstColumn="0" w:lastColumn="0" w:oddVBand="0" w:evenVBand="0" w:oddHBand="0" w:evenHBand="0" w:firstRowFirstColumn="0" w:firstRowLastColumn="0" w:lastRowFirstColumn="0" w:lastRowLastColumn="0"/>
            </w:pPr>
            <w:r>
              <w:t>Settlement</w:t>
            </w:r>
          </w:p>
        </w:tc>
        <w:tc>
          <w:tcPr>
            <w:tcW w:w="2160" w:type="dxa"/>
          </w:tcPr>
          <w:p w14:paraId="477FE66E" w14:textId="77777777" w:rsidR="000E34BF" w:rsidRDefault="00000000">
            <w:pPr>
              <w:cnfStyle w:val="100000000000" w:firstRow="1" w:lastRow="0" w:firstColumn="0" w:lastColumn="0" w:oddVBand="0" w:evenVBand="0" w:oddHBand="0" w:evenHBand="0" w:firstRowFirstColumn="0" w:firstRowLastColumn="0" w:lastRowFirstColumn="0" w:lastRowLastColumn="0"/>
            </w:pPr>
            <w:r>
              <w:t>FX Linkage</w:t>
            </w:r>
          </w:p>
        </w:tc>
      </w:tr>
      <w:tr w:rsidR="000E34BF" w14:paraId="307E5BF5"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7CA40" w14:textId="77777777" w:rsidR="000E34BF" w:rsidRDefault="00000000">
            <w:r>
              <w:t>Compo CB</w:t>
            </w:r>
          </w:p>
        </w:tc>
        <w:tc>
          <w:tcPr>
            <w:tcW w:w="2160" w:type="dxa"/>
          </w:tcPr>
          <w:p w14:paraId="6F06F87A"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USD</w:t>
            </w:r>
          </w:p>
        </w:tc>
        <w:tc>
          <w:tcPr>
            <w:tcW w:w="2160" w:type="dxa"/>
          </w:tcPr>
          <w:p w14:paraId="79774AA4"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USD</w:t>
            </w:r>
          </w:p>
        </w:tc>
        <w:tc>
          <w:tcPr>
            <w:tcW w:w="2160" w:type="dxa"/>
          </w:tcPr>
          <w:p w14:paraId="70776C30" w14:textId="77777777" w:rsidR="000E34BF" w:rsidRDefault="00000000">
            <w:pPr>
              <w:cnfStyle w:val="000000100000" w:firstRow="0" w:lastRow="0" w:firstColumn="0" w:lastColumn="0" w:oddVBand="0" w:evenVBand="0" w:oddHBand="1" w:evenHBand="0" w:firstRowFirstColumn="0" w:firstRowLastColumn="0" w:lastRowFirstColumn="0" w:lastRowLastColumn="0"/>
            </w:pPr>
            <w:r>
              <w:t>None — pure USD bond</w:t>
            </w:r>
          </w:p>
        </w:tc>
      </w:tr>
      <w:tr w:rsidR="000E34BF" w14:paraId="694BE310" w14:textId="77777777" w:rsidTr="000E34BF">
        <w:tc>
          <w:tcPr>
            <w:cnfStyle w:val="001000000000" w:firstRow="0" w:lastRow="0" w:firstColumn="1" w:lastColumn="0" w:oddVBand="0" w:evenVBand="0" w:oddHBand="0" w:evenHBand="0" w:firstRowFirstColumn="0" w:firstRowLastColumn="0" w:lastRowFirstColumn="0" w:lastRowLastColumn="0"/>
            <w:tcW w:w="2160" w:type="dxa"/>
          </w:tcPr>
          <w:p w14:paraId="7A9A9CD8" w14:textId="77777777" w:rsidR="000E34BF" w:rsidRDefault="00000000">
            <w:r>
              <w:t>Flexi CB</w:t>
            </w:r>
          </w:p>
        </w:tc>
        <w:tc>
          <w:tcPr>
            <w:tcW w:w="2160" w:type="dxa"/>
          </w:tcPr>
          <w:p w14:paraId="187FF851"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USD</w:t>
            </w:r>
          </w:p>
        </w:tc>
        <w:tc>
          <w:tcPr>
            <w:tcW w:w="2160" w:type="dxa"/>
          </w:tcPr>
          <w:p w14:paraId="0065F9FF" w14:textId="77777777" w:rsidR="000E34BF" w:rsidRDefault="00000000">
            <w:pPr>
              <w:cnfStyle w:val="000000000000" w:firstRow="0" w:lastRow="0" w:firstColumn="0" w:lastColumn="0" w:oddVBand="0" w:evenVBand="0" w:oddHBand="0" w:evenHBand="0" w:firstRowFirstColumn="0" w:firstRowLastColumn="0" w:lastRowFirstColumn="0" w:lastRowLastColumn="0"/>
            </w:pPr>
            <w:r w:rsidRPr="00840C0B">
              <w:rPr>
                <w:highlight w:val="blue"/>
              </w:rPr>
              <w:t>USD (issuer may elect local)</w:t>
            </w:r>
          </w:p>
        </w:tc>
        <w:tc>
          <w:tcPr>
            <w:tcW w:w="2160" w:type="dxa"/>
          </w:tcPr>
          <w:p w14:paraId="63345273" w14:textId="77777777" w:rsidR="000E34BF" w:rsidRDefault="00000000">
            <w:pPr>
              <w:cnfStyle w:val="000000000000" w:firstRow="0" w:lastRow="0" w:firstColumn="0" w:lastColumn="0" w:oddVBand="0" w:evenVBand="0" w:oddHBand="0" w:evenHBand="0" w:firstRowFirstColumn="0" w:firstRowLastColumn="0" w:lastRowFirstColumn="0" w:lastRowLastColumn="0"/>
            </w:pPr>
            <w:r>
              <w:t>Implicit — issuer option</w:t>
            </w:r>
          </w:p>
        </w:tc>
      </w:tr>
      <w:tr w:rsidR="000E34BF" w14:paraId="27378ED3"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52CA83" w14:textId="77777777" w:rsidR="000E34BF" w:rsidRDefault="00000000">
            <w:r>
              <w:t>Currency Linked CB</w:t>
            </w:r>
          </w:p>
        </w:tc>
        <w:tc>
          <w:tcPr>
            <w:tcW w:w="2160" w:type="dxa"/>
          </w:tcPr>
          <w:p w14:paraId="462FB412" w14:textId="77777777" w:rsidR="000E34BF" w:rsidRPr="00840C0B" w:rsidRDefault="00000000">
            <w:pPr>
              <w:cnfStyle w:val="000000100000" w:firstRow="0" w:lastRow="0" w:firstColumn="0" w:lastColumn="0" w:oddVBand="0" w:evenVBand="0" w:oddHBand="1" w:evenHBand="0" w:firstRowFirstColumn="0" w:firstRowLastColumn="0" w:lastRowFirstColumn="0" w:lastRowLastColumn="0"/>
              <w:rPr>
                <w:highlight w:val="blue"/>
              </w:rPr>
            </w:pPr>
            <w:r w:rsidRPr="00840C0B">
              <w:rPr>
                <w:highlight w:val="blue"/>
              </w:rPr>
              <w:t>Local (RMB)</w:t>
            </w:r>
          </w:p>
        </w:tc>
        <w:tc>
          <w:tcPr>
            <w:tcW w:w="2160" w:type="dxa"/>
          </w:tcPr>
          <w:p w14:paraId="2F1BDE06"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USD at prevailing FX</w:t>
            </w:r>
          </w:p>
        </w:tc>
        <w:tc>
          <w:tcPr>
            <w:tcW w:w="2160" w:type="dxa"/>
          </w:tcPr>
          <w:p w14:paraId="5B214A98" w14:textId="77777777" w:rsidR="000E34BF" w:rsidRDefault="00000000">
            <w:pPr>
              <w:cnfStyle w:val="000000100000" w:firstRow="0" w:lastRow="0" w:firstColumn="0" w:lastColumn="0" w:oddVBand="0" w:evenVBand="0" w:oddHBand="1" w:evenHBand="0" w:firstRowFirstColumn="0" w:firstRowLastColumn="0" w:lastRowFirstColumn="0" w:lastRowLastColumn="0"/>
            </w:pPr>
            <w:r>
              <w:t>Explicit — redemption = RMB amt / USDCNH</w:t>
            </w:r>
          </w:p>
        </w:tc>
      </w:tr>
    </w:tbl>
    <w:p w14:paraId="196EF3D2" w14:textId="77777777" w:rsidR="000E34BF" w:rsidRDefault="000E34BF"/>
    <w:p w14:paraId="508C777C" w14:textId="77777777" w:rsidR="000E34BF" w:rsidRDefault="00000000">
      <w:r>
        <w:t xml:space="preserve">The critical distinction: for this Zoomlion CB, </w:t>
      </w:r>
      <w:r w:rsidRPr="00840C0B">
        <w:rPr>
          <w:highlight w:val="blue"/>
        </w:rPr>
        <w:t>the bondholder bears FX risk</w:t>
      </w:r>
      <w:r>
        <w:t xml:space="preserve"> because the RMB amount is fixed but the </w:t>
      </w:r>
      <w:r w:rsidRPr="00840C0B">
        <w:rPr>
          <w:highlight w:val="blue"/>
        </w:rPr>
        <w:t>USD you receive fluctuates with the USDCNH rate</w:t>
      </w:r>
      <w:r>
        <w:t>. If CNH weakens (USDCNH rises), you receive fewer USD at settlement.</w:t>
      </w:r>
    </w:p>
    <w:p w14:paraId="37D0B2BA" w14:textId="77777777" w:rsidR="000E34BF" w:rsidRDefault="00000000">
      <w:pPr>
        <w:pStyle w:val="Heading2"/>
      </w:pPr>
      <w:r>
        <w:t>Rho Sensitivity (Interest Rate Exposure)</w:t>
      </w:r>
    </w:p>
    <w:tbl>
      <w:tblPr>
        <w:tblStyle w:val="LightList-Accent1"/>
        <w:tblW w:w="0" w:type="auto"/>
        <w:tblLook w:val="04A0" w:firstRow="1" w:lastRow="0" w:firstColumn="1" w:lastColumn="0" w:noHBand="0" w:noVBand="1"/>
      </w:tblPr>
      <w:tblGrid>
        <w:gridCol w:w="2160"/>
        <w:gridCol w:w="2160"/>
        <w:gridCol w:w="2160"/>
        <w:gridCol w:w="2160"/>
      </w:tblGrid>
      <w:tr w:rsidR="000E34BF" w14:paraId="40B8C71E"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656BE0" w14:textId="77777777" w:rsidR="000E34BF" w:rsidRDefault="00000000">
            <w:r>
              <w:t>CB Type</w:t>
            </w:r>
          </w:p>
        </w:tc>
        <w:tc>
          <w:tcPr>
            <w:tcW w:w="2160" w:type="dxa"/>
          </w:tcPr>
          <w:p w14:paraId="39E85634" w14:textId="77777777" w:rsidR="000E34BF" w:rsidRDefault="00000000">
            <w:pPr>
              <w:cnfStyle w:val="100000000000" w:firstRow="1" w:lastRow="0" w:firstColumn="0" w:lastColumn="0" w:oddVBand="0" w:evenVBand="0" w:oddHBand="0" w:evenHBand="0" w:firstRowFirstColumn="0" w:firstRowLastColumn="0" w:lastRowFirstColumn="0" w:lastRowLastColumn="0"/>
            </w:pPr>
            <w:r>
              <w:t>Rho to US Rates</w:t>
            </w:r>
          </w:p>
        </w:tc>
        <w:tc>
          <w:tcPr>
            <w:tcW w:w="2160" w:type="dxa"/>
          </w:tcPr>
          <w:p w14:paraId="213FDCF6" w14:textId="77777777" w:rsidR="000E34BF" w:rsidRDefault="00000000">
            <w:pPr>
              <w:cnfStyle w:val="100000000000" w:firstRow="1" w:lastRow="0" w:firstColumn="0" w:lastColumn="0" w:oddVBand="0" w:evenVBand="0" w:oddHBand="0" w:evenHBand="0" w:firstRowFirstColumn="0" w:firstRowLastColumn="0" w:lastRowFirstColumn="0" w:lastRowLastColumn="0"/>
            </w:pPr>
            <w:r>
              <w:t>Rho to CNH Rates</w:t>
            </w:r>
          </w:p>
        </w:tc>
        <w:tc>
          <w:tcPr>
            <w:tcW w:w="2160" w:type="dxa"/>
          </w:tcPr>
          <w:p w14:paraId="2A0C9B91" w14:textId="77777777" w:rsidR="000E34BF" w:rsidRDefault="00000000">
            <w:pPr>
              <w:cnfStyle w:val="100000000000" w:firstRow="1" w:lastRow="0" w:firstColumn="0" w:lastColumn="0" w:oddVBand="0" w:evenVBand="0" w:oddHBand="0" w:evenHBand="0" w:firstRowFirstColumn="0" w:firstRowLastColumn="0" w:lastRowFirstColumn="0" w:lastRowLastColumn="0"/>
            </w:pPr>
            <w:r>
              <w:t>Explanation</w:t>
            </w:r>
          </w:p>
        </w:tc>
      </w:tr>
      <w:tr w:rsidR="000E34BF" w14:paraId="07EE78AC"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BBA1A5" w14:textId="77777777" w:rsidR="000E34BF" w:rsidRDefault="00000000">
            <w:r>
              <w:t>Zoomlion 2031 (Currency Linked)</w:t>
            </w:r>
          </w:p>
        </w:tc>
        <w:tc>
          <w:tcPr>
            <w:tcW w:w="2160" w:type="dxa"/>
          </w:tcPr>
          <w:p w14:paraId="3834DEF4"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~Zero</w:t>
            </w:r>
          </w:p>
        </w:tc>
        <w:tc>
          <w:tcPr>
            <w:tcW w:w="2160" w:type="dxa"/>
          </w:tcPr>
          <w:p w14:paraId="5F5A1054" w14:textId="77777777" w:rsidR="000E34BF" w:rsidRPr="00840C0B" w:rsidRDefault="00000000">
            <w:pPr>
              <w:cnfStyle w:val="000000100000" w:firstRow="0" w:lastRow="0" w:firstColumn="0" w:lastColumn="0" w:oddVBand="0" w:evenVBand="0" w:oddHBand="1" w:evenHBand="0" w:firstRowFirstColumn="0" w:firstRowLastColumn="0" w:lastRowFirstColumn="0" w:lastRowLastColumn="0"/>
              <w:rPr>
                <w:highlight w:val="blue"/>
              </w:rPr>
            </w:pPr>
            <w:r w:rsidRPr="00840C0B">
              <w:rPr>
                <w:highlight w:val="blue"/>
              </w:rPr>
              <w:t>Short (negative)</w:t>
            </w:r>
          </w:p>
        </w:tc>
        <w:tc>
          <w:tcPr>
            <w:tcW w:w="2160" w:type="dxa"/>
          </w:tcPr>
          <w:p w14:paraId="1D31509E"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USD discounting is offset by FX linkage</w:t>
            </w:r>
            <w:r>
              <w:t xml:space="preserve">; </w:t>
            </w:r>
            <w:r w:rsidRPr="00840C0B">
              <w:rPr>
                <w:highlight w:val="blue"/>
              </w:rPr>
              <w:t>higher CNH rates weaken forward CNH, reducing USD redemption value</w:t>
            </w:r>
          </w:p>
        </w:tc>
      </w:tr>
    </w:tbl>
    <w:p w14:paraId="62980598" w14:textId="77777777" w:rsidR="000E34BF" w:rsidRDefault="00000000">
      <w:r>
        <w:br w:type="page"/>
      </w:r>
    </w:p>
    <w:p w14:paraId="7D1B9160" w14:textId="77777777" w:rsidR="000E34BF" w:rsidRDefault="00000000">
      <w:pPr>
        <w:pStyle w:val="Heading1"/>
      </w:pPr>
      <w:r>
        <w:lastRenderedPageBreak/>
        <w:t>3. FX Mechanics — Three Exchange Rates in Play</w:t>
      </w:r>
    </w:p>
    <w:p w14:paraId="25A50511" w14:textId="77777777" w:rsidR="000E34BF" w:rsidRDefault="00000000">
      <w:r>
        <w:t xml:space="preserve">This CB involves </w:t>
      </w:r>
      <w:r w:rsidRPr="00840C0B">
        <w:rPr>
          <w:highlight w:val="blue"/>
        </w:rPr>
        <w:t>three currencies</w:t>
      </w:r>
      <w:r>
        <w:t xml:space="preserve"> (</w:t>
      </w:r>
      <w:r w:rsidRPr="00840C0B">
        <w:rPr>
          <w:highlight w:val="blue"/>
        </w:rPr>
        <w:t>RMB/CNH, HKD, USD</w:t>
      </w:r>
      <w:r>
        <w:t xml:space="preserve">) and </w:t>
      </w:r>
      <w:r w:rsidRPr="00840C0B">
        <w:rPr>
          <w:highlight w:val="blue"/>
        </w:rPr>
        <w:t>two fixed</w:t>
      </w:r>
      <w:r>
        <w:t xml:space="preserve"> + </w:t>
      </w:r>
      <w:r w:rsidRPr="00840C0B">
        <w:rPr>
          <w:highlight w:val="blue"/>
        </w:rPr>
        <w:t>one floating exchange</w:t>
      </w:r>
      <w:r>
        <w:t xml:space="preserve"> rate. Understanding how they interact is essential.</w:t>
      </w:r>
    </w:p>
    <w:tbl>
      <w:tblPr>
        <w:tblStyle w:val="LightList-Accent1"/>
        <w:tblW w:w="0" w:type="auto"/>
        <w:tblLook w:val="04A0" w:firstRow="1" w:lastRow="0" w:firstColumn="1" w:lastColumn="0" w:noHBand="0" w:noVBand="1"/>
      </w:tblPr>
      <w:tblGrid>
        <w:gridCol w:w="2160"/>
        <w:gridCol w:w="2160"/>
        <w:gridCol w:w="2160"/>
        <w:gridCol w:w="2160"/>
      </w:tblGrid>
      <w:tr w:rsidR="000E34BF" w14:paraId="5DDA1C46"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C013F3" w14:textId="77777777" w:rsidR="000E34BF" w:rsidRDefault="00000000">
            <w:r>
              <w:t>Rate</w:t>
            </w:r>
          </w:p>
        </w:tc>
        <w:tc>
          <w:tcPr>
            <w:tcW w:w="2160" w:type="dxa"/>
          </w:tcPr>
          <w:p w14:paraId="51CA22A6" w14:textId="77777777" w:rsidR="000E34BF" w:rsidRDefault="00000000">
            <w:pPr>
              <w:cnfStyle w:val="100000000000" w:firstRow="1" w:lastRow="0" w:firstColumn="0" w:lastColumn="0" w:oddVBand="0" w:evenVBand="0" w:oddHBand="0" w:evenHBand="0" w:firstRowFirstColumn="0" w:firstRowLastColumn="0" w:lastRowFirstColumn="0" w:lastRowLastColumn="0"/>
            </w:pPr>
            <w:r>
              <w:t>Value</w:t>
            </w:r>
          </w:p>
        </w:tc>
        <w:tc>
          <w:tcPr>
            <w:tcW w:w="2160" w:type="dxa"/>
          </w:tcPr>
          <w:p w14:paraId="52A01E2F" w14:textId="77777777" w:rsidR="000E34BF" w:rsidRDefault="00000000">
            <w:pPr>
              <w:cnfStyle w:val="100000000000" w:firstRow="1" w:lastRow="0" w:firstColumn="0" w:lastColumn="0" w:oddVBand="0" w:evenVBand="0" w:oddHBand="0" w:evenHBand="0" w:firstRowFirstColumn="0" w:firstRowLastColumn="0" w:lastRowFirstColumn="0" w:lastRowLastColumn="0"/>
            </w:pPr>
            <w:r>
              <w:t>Fixed / Floating</w:t>
            </w:r>
          </w:p>
        </w:tc>
        <w:tc>
          <w:tcPr>
            <w:tcW w:w="2160" w:type="dxa"/>
          </w:tcPr>
          <w:p w14:paraId="63B2CFC8" w14:textId="77777777" w:rsidR="000E34BF" w:rsidRDefault="00000000">
            <w:pPr>
              <w:cnfStyle w:val="100000000000" w:firstRow="1" w:lastRow="0" w:firstColumn="0" w:lastColumn="0" w:oddVBand="0" w:evenVBand="0" w:oddHBand="0" w:evenHBand="0" w:firstRowFirstColumn="0" w:firstRowLastColumn="0" w:lastRowFirstColumn="0" w:lastRowLastColumn="0"/>
            </w:pPr>
            <w:r>
              <w:t>Used For</w:t>
            </w:r>
          </w:p>
        </w:tc>
      </w:tr>
      <w:tr w:rsidR="000E34BF" w14:paraId="50FDC323"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7B837F" w14:textId="77777777" w:rsidR="000E34BF" w:rsidRDefault="00000000">
            <w:r>
              <w:t>USD/CNH</w:t>
            </w:r>
          </w:p>
        </w:tc>
        <w:tc>
          <w:tcPr>
            <w:tcW w:w="2160" w:type="dxa"/>
          </w:tcPr>
          <w:p w14:paraId="04705F5B" w14:textId="77777777" w:rsidR="000E34BF" w:rsidRDefault="00000000">
            <w:pPr>
              <w:cnfStyle w:val="000000100000" w:firstRow="0" w:lastRow="0" w:firstColumn="0" w:lastColumn="0" w:oddVBand="0" w:evenVBand="0" w:oddHBand="1" w:evenHBand="0" w:firstRowFirstColumn="0" w:firstRowLastColumn="0" w:lastRowFirstColumn="0" w:lastRowLastColumn="0"/>
            </w:pPr>
            <w:r>
              <w:t>6.9391</w:t>
            </w:r>
          </w:p>
        </w:tc>
        <w:tc>
          <w:tcPr>
            <w:tcW w:w="2160" w:type="dxa"/>
          </w:tcPr>
          <w:p w14:paraId="6606CCB8" w14:textId="77777777" w:rsidR="000E34BF" w:rsidRDefault="00000000">
            <w:pPr>
              <w:cnfStyle w:val="000000100000" w:firstRow="0" w:lastRow="0" w:firstColumn="0" w:lastColumn="0" w:oddVBand="0" w:evenVBand="0" w:oddHBand="1" w:evenHBand="0" w:firstRowFirstColumn="0" w:firstRowLastColumn="0" w:lastRowFirstColumn="0" w:lastRowLastColumn="0"/>
            </w:pPr>
            <w:r>
              <w:t>Fixed at pricing</w:t>
            </w:r>
          </w:p>
        </w:tc>
        <w:tc>
          <w:tcPr>
            <w:tcW w:w="2160" w:type="dxa"/>
          </w:tcPr>
          <w:p w14:paraId="2DE8A48F" w14:textId="77777777" w:rsidR="000E34BF" w:rsidRDefault="00000000">
            <w:pPr>
              <w:cnfStyle w:val="000000100000" w:firstRow="0" w:lastRow="0" w:firstColumn="0" w:lastColumn="0" w:oddVBand="0" w:evenVBand="0" w:oddHBand="1" w:evenHBand="0" w:firstRowFirstColumn="0" w:firstRowLastColumn="0" w:lastRowFirstColumn="0" w:lastRowLastColumn="0"/>
            </w:pPr>
            <w:r>
              <w:t xml:space="preserve">Reference only — </w:t>
            </w:r>
            <w:r w:rsidRPr="00840C0B">
              <w:rPr>
                <w:highlight w:val="blue"/>
              </w:rPr>
              <w:t>initial conversion</w:t>
            </w:r>
            <w:r>
              <w:t xml:space="preserve"> ratio calculation</w:t>
            </w:r>
          </w:p>
        </w:tc>
      </w:tr>
      <w:tr w:rsidR="000E34BF" w14:paraId="67A8CACB" w14:textId="77777777" w:rsidTr="000E34BF">
        <w:tc>
          <w:tcPr>
            <w:cnfStyle w:val="001000000000" w:firstRow="0" w:lastRow="0" w:firstColumn="1" w:lastColumn="0" w:oddVBand="0" w:evenVBand="0" w:oddHBand="0" w:evenHBand="0" w:firstRowFirstColumn="0" w:firstRowLastColumn="0" w:lastRowFirstColumn="0" w:lastRowLastColumn="0"/>
            <w:tcW w:w="2160" w:type="dxa"/>
          </w:tcPr>
          <w:p w14:paraId="3233F09B" w14:textId="77777777" w:rsidR="000E34BF" w:rsidRDefault="00000000">
            <w:r>
              <w:t>CNH/HKD</w:t>
            </w:r>
          </w:p>
        </w:tc>
        <w:tc>
          <w:tcPr>
            <w:tcW w:w="2160" w:type="dxa"/>
          </w:tcPr>
          <w:p w14:paraId="0DA22A73" w14:textId="77777777" w:rsidR="000E34BF" w:rsidRDefault="00000000">
            <w:pPr>
              <w:cnfStyle w:val="000000000000" w:firstRow="0" w:lastRow="0" w:firstColumn="0" w:lastColumn="0" w:oddVBand="0" w:evenVBand="0" w:oddHBand="0" w:evenHBand="0" w:firstRowFirstColumn="0" w:firstRowLastColumn="0" w:lastRowFirstColumn="0" w:lastRowLastColumn="0"/>
            </w:pPr>
            <w:r>
              <w:t>0.8895</w:t>
            </w:r>
          </w:p>
        </w:tc>
        <w:tc>
          <w:tcPr>
            <w:tcW w:w="2160" w:type="dxa"/>
          </w:tcPr>
          <w:p w14:paraId="214343D6" w14:textId="77777777" w:rsidR="000E34BF" w:rsidRDefault="00000000">
            <w:pPr>
              <w:cnfStyle w:val="000000000000" w:firstRow="0" w:lastRow="0" w:firstColumn="0" w:lastColumn="0" w:oddVBand="0" w:evenVBand="0" w:oddHBand="0" w:evenHBand="0" w:firstRowFirstColumn="0" w:firstRowLastColumn="0" w:lastRowFirstColumn="0" w:lastRowLastColumn="0"/>
            </w:pPr>
            <w:r>
              <w:t>Fixed at pricing</w:t>
            </w:r>
          </w:p>
        </w:tc>
        <w:tc>
          <w:tcPr>
            <w:tcW w:w="2160" w:type="dxa"/>
          </w:tcPr>
          <w:p w14:paraId="2C8E3C37" w14:textId="77777777" w:rsidR="000E34BF" w:rsidRDefault="00000000">
            <w:pPr>
              <w:cnfStyle w:val="000000000000" w:firstRow="0" w:lastRow="0" w:firstColumn="0" w:lastColumn="0" w:oddVBand="0" w:evenVBand="0" w:oddHBand="0" w:evenHBand="0" w:firstRowFirstColumn="0" w:firstRowLastColumn="0" w:lastRowFirstColumn="0" w:lastRowLastColumn="0"/>
            </w:pPr>
            <w:r>
              <w:t xml:space="preserve">Converting </w:t>
            </w:r>
            <w:r w:rsidRPr="00840C0B">
              <w:rPr>
                <w:highlight w:val="blue"/>
              </w:rPr>
              <w:t>conversion price</w:t>
            </w:r>
            <w:r>
              <w:t xml:space="preserve"> (HKD) to RMB for ratio calculation</w:t>
            </w:r>
          </w:p>
        </w:tc>
      </w:tr>
      <w:tr w:rsidR="000E34BF" w14:paraId="1155CBAC"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78AC28" w14:textId="77777777" w:rsidR="000E34BF" w:rsidRDefault="00000000">
            <w:r>
              <w:t>USD/CNH (</w:t>
            </w:r>
            <w:r w:rsidRPr="00840C0B">
              <w:rPr>
                <w:highlight w:val="blue"/>
              </w:rPr>
              <w:t>settlement</w:t>
            </w:r>
            <w:r>
              <w:t>)</w:t>
            </w:r>
          </w:p>
        </w:tc>
        <w:tc>
          <w:tcPr>
            <w:tcW w:w="2160" w:type="dxa"/>
          </w:tcPr>
          <w:p w14:paraId="1D714F47" w14:textId="77777777" w:rsidR="000E34BF" w:rsidRDefault="00000000">
            <w:pPr>
              <w:cnfStyle w:val="000000100000" w:firstRow="0" w:lastRow="0" w:firstColumn="0" w:lastColumn="0" w:oddVBand="0" w:evenVBand="0" w:oddHBand="1" w:evenHBand="0" w:firstRowFirstColumn="0" w:firstRowLastColumn="0" w:lastRowFirstColumn="0" w:lastRowLastColumn="0"/>
            </w:pPr>
            <w:r w:rsidRPr="00840C0B">
              <w:rPr>
                <w:highlight w:val="blue"/>
              </w:rPr>
              <w:t>Prevailing BFIX</w:t>
            </w:r>
          </w:p>
        </w:tc>
        <w:tc>
          <w:tcPr>
            <w:tcW w:w="2160" w:type="dxa"/>
          </w:tcPr>
          <w:p w14:paraId="1EFB1AFB" w14:textId="77777777" w:rsidR="000E34BF" w:rsidRDefault="00000000">
            <w:pPr>
              <w:cnfStyle w:val="000000100000" w:firstRow="0" w:lastRow="0" w:firstColumn="0" w:lastColumn="0" w:oddVBand="0" w:evenVBand="0" w:oddHBand="1" w:evenHBand="0" w:firstRowFirstColumn="0" w:firstRowLastColumn="0" w:lastRowFirstColumn="0" w:lastRowLastColumn="0"/>
            </w:pPr>
            <w:r>
              <w:t>Floating</w:t>
            </w:r>
          </w:p>
        </w:tc>
        <w:tc>
          <w:tcPr>
            <w:tcW w:w="2160" w:type="dxa"/>
          </w:tcPr>
          <w:p w14:paraId="2246CDE7" w14:textId="77777777" w:rsidR="000E34BF" w:rsidRDefault="00000000">
            <w:pPr>
              <w:cnfStyle w:val="000000100000" w:firstRow="0" w:lastRow="0" w:firstColumn="0" w:lastColumn="0" w:oddVBand="0" w:evenVBand="0" w:oddHBand="1" w:evenHBand="0" w:firstRowFirstColumn="0" w:firstRowLastColumn="0" w:lastRowFirstColumn="0" w:lastRowLastColumn="0"/>
            </w:pPr>
            <w:r>
              <w:t>All USD cash flow settlements (coupons, put, redemption)</w:t>
            </w:r>
          </w:p>
        </w:tc>
      </w:tr>
    </w:tbl>
    <w:p w14:paraId="2373342B" w14:textId="77777777" w:rsidR="000E34BF" w:rsidRDefault="00000000">
      <w:pPr>
        <w:pStyle w:val="Heading2"/>
      </w:pPr>
      <w:r>
        <w:t>Conversion Ratio Derivation</w:t>
      </w:r>
    </w:p>
    <w:p w14:paraId="15A50F52" w14:textId="77777777" w:rsidR="000E34BF" w:rsidRDefault="00000000">
      <w:r>
        <w:t>Initial Conversion Price = HK$ 10.02</w:t>
      </w:r>
    </w:p>
    <w:p w14:paraId="78496B04" w14:textId="77777777" w:rsidR="000E34BF" w:rsidRDefault="00000000">
      <w:r w:rsidRPr="00840C0B">
        <w:rPr>
          <w:highlight w:val="blue"/>
        </w:rPr>
        <w:t>Fixed CNH/HKD Rate = 0.8895</w:t>
      </w:r>
      <w:r>
        <w:t xml:space="preserve">, so </w:t>
      </w:r>
      <w:r w:rsidRPr="00840C0B">
        <w:rPr>
          <w:highlight w:val="blue"/>
        </w:rPr>
        <w:t>Conversion Price in RMB = 10.02 × 0.8895 = RMB 8.913</w:t>
      </w:r>
    </w:p>
    <w:p w14:paraId="339B7B6E" w14:textId="77777777" w:rsidR="000E34BF" w:rsidRDefault="00000000">
      <w:r>
        <w:t xml:space="preserve">Per RMB 2,000,000 bond: Conversion Ratio = </w:t>
      </w:r>
      <w:r w:rsidRPr="00840C0B">
        <w:rPr>
          <w:highlight w:val="blue"/>
        </w:rPr>
        <w:t>2,000,000 / 8.913 = 224,396.6255 H shares</w:t>
      </w:r>
    </w:p>
    <w:p w14:paraId="6EDAF1EA" w14:textId="77777777" w:rsidR="000E34BF" w:rsidRDefault="00000000">
      <w:pPr>
        <w:pStyle w:val="Heading2"/>
      </w:pPr>
      <w:r>
        <w:t>USD Settlement Mechanism</w:t>
      </w:r>
    </w:p>
    <w:p w14:paraId="607F9EBC" w14:textId="77777777" w:rsidR="000E34BF" w:rsidRDefault="00000000">
      <w:r>
        <w:t xml:space="preserve">All amounts under the Bonds will be </w:t>
      </w:r>
      <w:r w:rsidRPr="00840C0B">
        <w:rPr>
          <w:highlight w:val="blue"/>
        </w:rPr>
        <w:t>settled in USD</w:t>
      </w:r>
      <w:r>
        <w:t>, converted from fixed RMB amounts due at the USD/CNH Spot Rate (being the Bloomberg "BFIX" USDCNH spot mid rate at 12:00pm HKT) as of two business days before the payment due date.</w:t>
      </w:r>
    </w:p>
    <w:p w14:paraId="1AF96E89" w14:textId="77777777" w:rsidR="000E34BF" w:rsidRDefault="00000000">
      <w:r>
        <w:t xml:space="preserve">Example: </w:t>
      </w:r>
      <w:r w:rsidRPr="00840C0B">
        <w:rPr>
          <w:highlight w:val="blue"/>
        </w:rPr>
        <w:t>If put price is 105.52% of RMB 2,000,000 = RMB 2,110,400:</w:t>
      </w:r>
    </w:p>
    <w:p w14:paraId="6E12483F" w14:textId="77777777" w:rsidR="000E34BF" w:rsidRDefault="00000000">
      <w:pPr>
        <w:pStyle w:val="ListBullet"/>
      </w:pPr>
      <w:r>
        <w:t>If USDCNH = 6.9391 (same as issue): USD settlement = 2,110,400 / 6.9391 = US$304,137</w:t>
      </w:r>
    </w:p>
    <w:p w14:paraId="4E6A87DB" w14:textId="77777777" w:rsidR="000E34BF" w:rsidRDefault="00000000">
      <w:pPr>
        <w:pStyle w:val="ListBullet"/>
      </w:pPr>
      <w:r>
        <w:t>If USDCNH = 7.5000 (CNH weakened): USD settlement = 2,110,400 / 7.5000 = US$281,387 (7.5% less USD)</w:t>
      </w:r>
    </w:p>
    <w:p w14:paraId="67EAB6D8" w14:textId="77777777" w:rsidR="000E34BF" w:rsidRDefault="00000000">
      <w:pPr>
        <w:pStyle w:val="ListBullet"/>
      </w:pPr>
      <w:r>
        <w:t>If USDCNH = 6.5000 (CNH strengthened): USD settlement = 2,110,400 / 6.5000 = US$324,677 (6.8% more USD)</w:t>
      </w:r>
    </w:p>
    <w:p w14:paraId="327577F4" w14:textId="77777777" w:rsidR="000E34BF" w:rsidRDefault="00000000">
      <w:r>
        <w:br w:type="page"/>
      </w:r>
    </w:p>
    <w:p w14:paraId="5F878C4D" w14:textId="77777777" w:rsidR="000E34BF" w:rsidRDefault="00000000">
      <w:pPr>
        <w:pStyle w:val="Heading1"/>
      </w:pPr>
      <w:r>
        <w:lastRenderedPageBreak/>
        <w:t>4. Embedded Options &amp; Structural Features</w:t>
      </w:r>
    </w:p>
    <w:p w14:paraId="6E1E5CCE" w14:textId="77777777" w:rsidR="000E34BF" w:rsidRDefault="00000000">
      <w:pPr>
        <w:pStyle w:val="Heading2"/>
      </w:pPr>
      <w:r>
        <w:t>4a. Bondholder Options (Puts)</w:t>
      </w:r>
    </w:p>
    <w:tbl>
      <w:tblPr>
        <w:tblStyle w:val="LightList-Accent1"/>
        <w:tblW w:w="0" w:type="auto"/>
        <w:tblLook w:val="04A0" w:firstRow="1" w:lastRow="0" w:firstColumn="1" w:lastColumn="0" w:noHBand="0" w:noVBand="1"/>
      </w:tblPr>
      <w:tblGrid>
        <w:gridCol w:w="2880"/>
        <w:gridCol w:w="2880"/>
        <w:gridCol w:w="2880"/>
      </w:tblGrid>
      <w:tr w:rsidR="000E34BF" w14:paraId="081F1535"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DB4E30" w14:textId="77777777" w:rsidR="000E34BF" w:rsidRDefault="00000000">
            <w:r>
              <w:t>Put Type</w:t>
            </w:r>
          </w:p>
        </w:tc>
        <w:tc>
          <w:tcPr>
            <w:tcW w:w="2880" w:type="dxa"/>
          </w:tcPr>
          <w:p w14:paraId="01534AF4" w14:textId="77777777" w:rsidR="000E34BF" w:rsidRDefault="00000000">
            <w:pPr>
              <w:cnfStyle w:val="100000000000" w:firstRow="1" w:lastRow="0" w:firstColumn="0" w:lastColumn="0" w:oddVBand="0" w:evenVBand="0" w:oddHBand="0" w:evenHBand="0" w:firstRowFirstColumn="0" w:firstRowLastColumn="0" w:lastRowFirstColumn="0" w:lastRowLastColumn="0"/>
            </w:pPr>
            <w:r>
              <w:t>Trigger</w:t>
            </w:r>
          </w:p>
        </w:tc>
        <w:tc>
          <w:tcPr>
            <w:tcW w:w="2880" w:type="dxa"/>
          </w:tcPr>
          <w:p w14:paraId="736F1900" w14:textId="77777777" w:rsidR="000E34BF" w:rsidRDefault="00000000">
            <w:pPr>
              <w:cnfStyle w:val="100000000000" w:firstRow="1" w:lastRow="0" w:firstColumn="0" w:lastColumn="0" w:oddVBand="0" w:evenVBand="0" w:oddHBand="0" w:evenHBand="0" w:firstRowFirstColumn="0" w:firstRowLastColumn="0" w:lastRowFirstColumn="0" w:lastRowLastColumn="0"/>
            </w:pPr>
            <w:r>
              <w:t>Settlement</w:t>
            </w:r>
          </w:p>
        </w:tc>
      </w:tr>
      <w:tr w:rsidR="000E34BF" w14:paraId="62F11994"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D492E" w14:textId="77777777" w:rsidR="000E34BF" w:rsidRDefault="00000000">
            <w:r>
              <w:t>Bondholder Put</w:t>
            </w:r>
          </w:p>
        </w:tc>
        <w:tc>
          <w:tcPr>
            <w:tcW w:w="2880" w:type="dxa"/>
          </w:tcPr>
          <w:p w14:paraId="006D22A9" w14:textId="77777777" w:rsidR="000E34BF" w:rsidRDefault="00000000">
            <w:pPr>
              <w:cnfStyle w:val="000000100000" w:firstRow="0" w:lastRow="0" w:firstColumn="0" w:lastColumn="0" w:oddVBand="0" w:evenVBand="0" w:oddHBand="1" w:evenHBand="0" w:firstRowFirstColumn="0" w:firstRowLastColumn="0" w:lastRowFirstColumn="0" w:lastRowLastColumn="0"/>
            </w:pPr>
            <w:r>
              <w:t>Feb 5, 2029 (end of Year 3)</w:t>
            </w:r>
          </w:p>
        </w:tc>
        <w:tc>
          <w:tcPr>
            <w:tcW w:w="2880" w:type="dxa"/>
          </w:tcPr>
          <w:p w14:paraId="75D762AA" w14:textId="77777777" w:rsidR="000E34BF" w:rsidRDefault="00000000">
            <w:pPr>
              <w:cnfStyle w:val="000000100000" w:firstRow="0" w:lastRow="0" w:firstColumn="0" w:lastColumn="0" w:oddVBand="0" w:evenVBand="0" w:oddHBand="1" w:evenHBand="0" w:firstRowFirstColumn="0" w:firstRowLastColumn="0" w:lastRowFirstColumn="0" w:lastRowLastColumn="0"/>
            </w:pPr>
            <w:r>
              <w:t>Put Price (103.22–105.52%) + accrued interest</w:t>
            </w:r>
          </w:p>
        </w:tc>
      </w:tr>
      <w:tr w:rsidR="000E34BF" w14:paraId="5CF4EC6F" w14:textId="77777777" w:rsidTr="000E34BF">
        <w:tc>
          <w:tcPr>
            <w:cnfStyle w:val="001000000000" w:firstRow="0" w:lastRow="0" w:firstColumn="1" w:lastColumn="0" w:oddVBand="0" w:evenVBand="0" w:oddHBand="0" w:evenHBand="0" w:firstRowFirstColumn="0" w:firstRowLastColumn="0" w:lastRowFirstColumn="0" w:lastRowLastColumn="0"/>
            <w:tcW w:w="2880" w:type="dxa"/>
          </w:tcPr>
          <w:p w14:paraId="566F37E1" w14:textId="77777777" w:rsidR="000E34BF" w:rsidRDefault="00000000">
            <w:r>
              <w:t>Change of Control Put</w:t>
            </w:r>
          </w:p>
        </w:tc>
        <w:tc>
          <w:tcPr>
            <w:tcW w:w="2880" w:type="dxa"/>
          </w:tcPr>
          <w:p w14:paraId="03BF88E9" w14:textId="77777777" w:rsidR="000E34BF" w:rsidRDefault="00000000">
            <w:pPr>
              <w:cnfStyle w:val="000000000000" w:firstRow="0" w:lastRow="0" w:firstColumn="0" w:lastColumn="0" w:oddVBand="0" w:evenVBand="0" w:oddHBand="0" w:evenHBand="0" w:firstRowFirstColumn="0" w:firstRowLastColumn="0" w:lastRowFirstColumn="0" w:lastRowLastColumn="0"/>
            </w:pPr>
            <w:r>
              <w:t>CoC event occurs</w:t>
            </w:r>
          </w:p>
        </w:tc>
        <w:tc>
          <w:tcPr>
            <w:tcW w:w="2880" w:type="dxa"/>
          </w:tcPr>
          <w:p w14:paraId="65F401C6" w14:textId="77777777" w:rsidR="000E34BF" w:rsidRDefault="00000000">
            <w:pPr>
              <w:cnfStyle w:val="000000000000" w:firstRow="0" w:lastRow="0" w:firstColumn="0" w:lastColumn="0" w:oddVBand="0" w:evenVBand="0" w:oddHBand="0" w:evenHBand="0" w:firstRowFirstColumn="0" w:firstRowLastColumn="0" w:lastRowFirstColumn="0" w:lastRowLastColumn="0"/>
            </w:pPr>
            <w:r>
              <w:t>Early Redemption Amount + accrued interest</w:t>
            </w:r>
          </w:p>
        </w:tc>
      </w:tr>
      <w:tr w:rsidR="000E34BF" w14:paraId="15AB3B22"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F408E" w14:textId="77777777" w:rsidR="000E34BF" w:rsidRDefault="00000000">
            <w:r>
              <w:t>De-listing / Suspension Put</w:t>
            </w:r>
          </w:p>
        </w:tc>
        <w:tc>
          <w:tcPr>
            <w:tcW w:w="2880" w:type="dxa"/>
          </w:tcPr>
          <w:p w14:paraId="38FC6672" w14:textId="77777777" w:rsidR="000E34BF" w:rsidRDefault="00000000">
            <w:pPr>
              <w:cnfStyle w:val="000000100000" w:firstRow="0" w:lastRow="0" w:firstColumn="0" w:lastColumn="0" w:oddVBand="0" w:evenVBand="0" w:oddHBand="1" w:evenHBand="0" w:firstRowFirstColumn="0" w:firstRowLastColumn="0" w:lastRowFirstColumn="0" w:lastRowLastColumn="0"/>
            </w:pPr>
            <w:r>
              <w:t>H Shares cease to be listed/traded for 30 consecutive days</w:t>
            </w:r>
          </w:p>
        </w:tc>
        <w:tc>
          <w:tcPr>
            <w:tcW w:w="2880" w:type="dxa"/>
          </w:tcPr>
          <w:p w14:paraId="45F2FB9B" w14:textId="77777777" w:rsidR="000E34BF" w:rsidRDefault="00000000">
            <w:pPr>
              <w:cnfStyle w:val="000000100000" w:firstRow="0" w:lastRow="0" w:firstColumn="0" w:lastColumn="0" w:oddVBand="0" w:evenVBand="0" w:oddHBand="1" w:evenHBand="0" w:firstRowFirstColumn="0" w:firstRowLastColumn="0" w:lastRowFirstColumn="0" w:lastRowLastColumn="0"/>
            </w:pPr>
            <w:r>
              <w:t>Early Redemption Amount + accrued interest</w:t>
            </w:r>
          </w:p>
        </w:tc>
      </w:tr>
    </w:tbl>
    <w:p w14:paraId="65084850" w14:textId="77777777" w:rsidR="000E34BF" w:rsidRDefault="00000000">
      <w:pPr>
        <w:pStyle w:val="Heading2"/>
      </w:pPr>
      <w:r>
        <w:t>4b. Issuer Options (Calls)</w:t>
      </w:r>
    </w:p>
    <w:tbl>
      <w:tblPr>
        <w:tblStyle w:val="LightList-Accent1"/>
        <w:tblW w:w="0" w:type="auto"/>
        <w:tblLook w:val="04A0" w:firstRow="1" w:lastRow="0" w:firstColumn="1" w:lastColumn="0" w:noHBand="0" w:noVBand="1"/>
      </w:tblPr>
      <w:tblGrid>
        <w:gridCol w:w="2880"/>
        <w:gridCol w:w="2880"/>
        <w:gridCol w:w="2880"/>
      </w:tblGrid>
      <w:tr w:rsidR="000E34BF" w14:paraId="394F1032"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CB116A" w14:textId="77777777" w:rsidR="000E34BF" w:rsidRDefault="00000000">
            <w:r>
              <w:t>Call Type</w:t>
            </w:r>
          </w:p>
        </w:tc>
        <w:tc>
          <w:tcPr>
            <w:tcW w:w="2880" w:type="dxa"/>
          </w:tcPr>
          <w:p w14:paraId="4E67B5A5" w14:textId="77777777" w:rsidR="000E34BF" w:rsidRDefault="00000000">
            <w:pPr>
              <w:cnfStyle w:val="100000000000" w:firstRow="1" w:lastRow="0" w:firstColumn="0" w:lastColumn="0" w:oddVBand="0" w:evenVBand="0" w:oddHBand="0" w:evenHBand="0" w:firstRowFirstColumn="0" w:firstRowLastColumn="0" w:lastRowFirstColumn="0" w:lastRowLastColumn="0"/>
            </w:pPr>
            <w:r>
              <w:t>Trigger / Condition</w:t>
            </w:r>
          </w:p>
        </w:tc>
        <w:tc>
          <w:tcPr>
            <w:tcW w:w="2880" w:type="dxa"/>
          </w:tcPr>
          <w:p w14:paraId="7BB0663C" w14:textId="77777777" w:rsidR="000E34BF" w:rsidRDefault="00000000">
            <w:pPr>
              <w:cnfStyle w:val="100000000000" w:firstRow="1" w:lastRow="0" w:firstColumn="0" w:lastColumn="0" w:oddVBand="0" w:evenVBand="0" w:oddHBand="0" w:evenHBand="0" w:firstRowFirstColumn="0" w:firstRowLastColumn="0" w:lastRowFirstColumn="0" w:lastRowLastColumn="0"/>
            </w:pPr>
            <w:r>
              <w:t>Settlement</w:t>
            </w:r>
          </w:p>
        </w:tc>
      </w:tr>
      <w:tr w:rsidR="000E34BF" w14:paraId="2E2C8791"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2D2682" w14:textId="77777777" w:rsidR="000E34BF" w:rsidRDefault="00000000">
            <w:r>
              <w:t>Issuer Call (Soft Call)</w:t>
            </w:r>
          </w:p>
        </w:tc>
        <w:tc>
          <w:tcPr>
            <w:tcW w:w="2880" w:type="dxa"/>
          </w:tcPr>
          <w:p w14:paraId="442B029F" w14:textId="77777777" w:rsidR="000E34BF" w:rsidRDefault="00000000">
            <w:pPr>
              <w:cnfStyle w:val="000000100000" w:firstRow="0" w:lastRow="0" w:firstColumn="0" w:lastColumn="0" w:oddVBand="0" w:evenVBand="0" w:oddHBand="1" w:evenHBand="0" w:firstRowFirstColumn="0" w:firstRowLastColumn="0" w:lastRowFirstColumn="0" w:lastRowLastColumn="0"/>
            </w:pPr>
            <w:r>
              <w:t>After Feb 19, 2028; H Share price (in RMB at prevailing rate) &gt;= 130% of Conversion Price (in RMB at Fixed Rate) for 15 of 30 consecutive trading days</w:t>
            </w:r>
          </w:p>
        </w:tc>
        <w:tc>
          <w:tcPr>
            <w:tcW w:w="2880" w:type="dxa"/>
          </w:tcPr>
          <w:p w14:paraId="41106CD9" w14:textId="77777777" w:rsidR="000E34BF" w:rsidRDefault="00000000">
            <w:pPr>
              <w:cnfStyle w:val="000000100000" w:firstRow="0" w:lastRow="0" w:firstColumn="0" w:lastColumn="0" w:oddVBand="0" w:evenVBand="0" w:oddHBand="1" w:evenHBand="0" w:firstRowFirstColumn="0" w:firstRowLastColumn="0" w:lastRowFirstColumn="0" w:lastRowLastColumn="0"/>
            </w:pPr>
            <w:r>
              <w:t>Early Redemption Amount + accrued interest</w:t>
            </w:r>
          </w:p>
        </w:tc>
      </w:tr>
      <w:tr w:rsidR="000E34BF" w14:paraId="764901D7" w14:textId="77777777" w:rsidTr="000E34BF">
        <w:tc>
          <w:tcPr>
            <w:cnfStyle w:val="001000000000" w:firstRow="0" w:lastRow="0" w:firstColumn="1" w:lastColumn="0" w:oddVBand="0" w:evenVBand="0" w:oddHBand="0" w:evenHBand="0" w:firstRowFirstColumn="0" w:firstRowLastColumn="0" w:lastRowFirstColumn="0" w:lastRowLastColumn="0"/>
            <w:tcW w:w="2880" w:type="dxa"/>
          </w:tcPr>
          <w:p w14:paraId="7D598B22" w14:textId="77777777" w:rsidR="000E34BF" w:rsidRDefault="00000000">
            <w:r>
              <w:t>Tax Call</w:t>
            </w:r>
          </w:p>
        </w:tc>
        <w:tc>
          <w:tcPr>
            <w:tcW w:w="2880" w:type="dxa"/>
          </w:tcPr>
          <w:p w14:paraId="6F3B7FCD" w14:textId="77777777" w:rsidR="000E34BF" w:rsidRDefault="00000000">
            <w:pPr>
              <w:cnfStyle w:val="000000000000" w:firstRow="0" w:lastRow="0" w:firstColumn="0" w:lastColumn="0" w:oddVBand="0" w:evenVBand="0" w:oddHBand="0" w:evenHBand="0" w:firstRowFirstColumn="0" w:firstRowLastColumn="0" w:lastRowFirstColumn="0" w:lastRowLastColumn="0"/>
            </w:pPr>
            <w:r>
              <w:t>Change in PRC or HK tax laws requiring Additional Tax Amount</w:t>
            </w:r>
          </w:p>
        </w:tc>
        <w:tc>
          <w:tcPr>
            <w:tcW w:w="2880" w:type="dxa"/>
          </w:tcPr>
          <w:p w14:paraId="58A2BD67" w14:textId="77777777" w:rsidR="000E34BF" w:rsidRDefault="00000000">
            <w:pPr>
              <w:cnfStyle w:val="000000000000" w:firstRow="0" w:lastRow="0" w:firstColumn="0" w:lastColumn="0" w:oddVBand="0" w:evenVBand="0" w:oddHBand="0" w:evenHBand="0" w:firstRowFirstColumn="0" w:firstRowLastColumn="0" w:lastRowFirstColumn="0" w:lastRowLastColumn="0"/>
            </w:pPr>
            <w:r>
              <w:t>Early Redemption Amount + accrued (bondholders may elect not to be redeemed)</w:t>
            </w:r>
          </w:p>
        </w:tc>
      </w:tr>
      <w:tr w:rsidR="000E34BF" w14:paraId="63D6751C"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D884BF" w14:textId="77777777" w:rsidR="000E34BF" w:rsidRDefault="00000000">
            <w:r>
              <w:t>Clean Up Call</w:t>
            </w:r>
          </w:p>
        </w:tc>
        <w:tc>
          <w:tcPr>
            <w:tcW w:w="2880" w:type="dxa"/>
          </w:tcPr>
          <w:p w14:paraId="3269861A" w14:textId="77777777" w:rsidR="000E34BF" w:rsidRDefault="00000000">
            <w:pPr>
              <w:cnfStyle w:val="000000100000" w:firstRow="0" w:lastRow="0" w:firstColumn="0" w:lastColumn="0" w:oddVBand="0" w:evenVBand="0" w:oddHBand="1" w:evenHBand="0" w:firstRowFirstColumn="0" w:firstRowLastColumn="0" w:lastRowFirstColumn="0" w:lastRowLastColumn="0"/>
            </w:pPr>
            <w:r>
              <w:t>Outstanding bonds &lt; 10% of original aggregate principal</w:t>
            </w:r>
          </w:p>
        </w:tc>
        <w:tc>
          <w:tcPr>
            <w:tcW w:w="2880" w:type="dxa"/>
          </w:tcPr>
          <w:p w14:paraId="154A70CF" w14:textId="77777777" w:rsidR="000E34BF" w:rsidRDefault="00000000">
            <w:pPr>
              <w:cnfStyle w:val="000000100000" w:firstRow="0" w:lastRow="0" w:firstColumn="0" w:lastColumn="0" w:oddVBand="0" w:evenVBand="0" w:oddHBand="1" w:evenHBand="0" w:firstRowFirstColumn="0" w:firstRowLastColumn="0" w:lastRowFirstColumn="0" w:lastRowLastColumn="0"/>
            </w:pPr>
            <w:r>
              <w:t>Early Redemption Amount + accrued interest</w:t>
            </w:r>
          </w:p>
        </w:tc>
      </w:tr>
    </w:tbl>
    <w:p w14:paraId="3557B10D" w14:textId="77777777" w:rsidR="000E34BF" w:rsidRDefault="00000000">
      <w:pPr>
        <w:pStyle w:val="Heading2"/>
      </w:pPr>
      <w:r>
        <w:t>4c. Issuer Call — Key Nuance (FX Cross-Rate Trigger)</w:t>
      </w:r>
    </w:p>
    <w:p w14:paraId="00301F8F" w14:textId="77777777" w:rsidR="000E34BF" w:rsidRDefault="00000000">
      <w:r>
        <w:t>The issuer call trigger compares the H share price translated into RMB at the PREVAILING CNH/HKD rate against the conversion price translated into RMB at the FIXED CNH/HKD rate (0.8895). This means:</w:t>
      </w:r>
    </w:p>
    <w:p w14:paraId="513770A3" w14:textId="77777777" w:rsidR="000E34BF" w:rsidRDefault="00000000">
      <w:pPr>
        <w:pStyle w:val="ListBullet"/>
      </w:pPr>
      <w:r>
        <w:t>The call trigger is NOT purely a stock price test — it also depends on how the CNH/HKD cross-rate has moved since issue.</w:t>
      </w:r>
    </w:p>
    <w:p w14:paraId="56E90631" w14:textId="77777777" w:rsidR="000E34BF" w:rsidRDefault="00000000">
      <w:pPr>
        <w:pStyle w:val="ListBullet"/>
      </w:pPr>
      <w:r>
        <w:t>If CNH strengthens vs HKD (CNH/HKD rate falls below 0.8895), the H share price translates into MORE RMB, making it easier for the issuer to trigger the call.</w:t>
      </w:r>
    </w:p>
    <w:p w14:paraId="449F5A05" w14:textId="77777777" w:rsidR="000E34BF" w:rsidRDefault="00000000">
      <w:pPr>
        <w:pStyle w:val="ListBullet"/>
      </w:pPr>
      <w:r>
        <w:t>If CNH weakens vs HKD, the H share price translates into LESS RMB, making it harder for the issuer to call — providing extra protection for the bondholder.</w:t>
      </w:r>
    </w:p>
    <w:p w14:paraId="304D51F3" w14:textId="77777777" w:rsidR="000E34BF" w:rsidRDefault="00000000">
      <w:pPr>
        <w:pStyle w:val="Heading2"/>
      </w:pPr>
      <w:r>
        <w:t>4d. Conversion Period</w:t>
      </w:r>
    </w:p>
    <w:p w14:paraId="214DB2D8" w14:textId="77777777" w:rsidR="000E34BF" w:rsidRDefault="00000000">
      <w:r>
        <w:t>Convertible from the 41st day after Closing Date (approximately March 18, 2026) up to seven working days prior to Maturity Date. Conversion is into H Shares of 1157 HK at the prevailing Conversion Price.</w:t>
      </w:r>
    </w:p>
    <w:p w14:paraId="3CD2BA99" w14:textId="77777777" w:rsidR="000E34BF" w:rsidRDefault="00000000">
      <w:pPr>
        <w:pStyle w:val="Heading2"/>
      </w:pPr>
      <w:r>
        <w:lastRenderedPageBreak/>
        <w:t>4e. Change of Control — Conversion Price Adjustment</w:t>
      </w:r>
    </w:p>
    <w:p w14:paraId="7B4D46E9" w14:textId="77777777" w:rsidR="000E34BF" w:rsidRDefault="00000000">
      <w:r>
        <w:t>Upon a Change of Control, the Conversion Price is adjusted using:</w:t>
      </w:r>
    </w:p>
    <w:p w14:paraId="5EA655D9" w14:textId="77777777" w:rsidR="000E34BF" w:rsidRDefault="00000000">
      <w:r>
        <w:rPr>
          <w:b/>
        </w:rPr>
        <w:t>NCP = OCP / (1 + (CP × c/t))</w:t>
      </w:r>
    </w:p>
    <w:p w14:paraId="2E3853C1" w14:textId="77777777" w:rsidR="000E34BF" w:rsidRDefault="00000000">
      <w:r>
        <w:t>Where:</w:t>
      </w:r>
    </w:p>
    <w:p w14:paraId="41F1D87F" w14:textId="77777777" w:rsidR="000E34BF" w:rsidRDefault="00000000">
      <w:pPr>
        <w:pStyle w:val="ListBullet"/>
      </w:pPr>
      <w:r>
        <w:t>NCP = New Conversion Price after adjustment</w:t>
      </w:r>
    </w:p>
    <w:p w14:paraId="760B619E" w14:textId="77777777" w:rsidR="000E34BF" w:rsidRDefault="00000000">
      <w:pPr>
        <w:pStyle w:val="ListBullet"/>
      </w:pPr>
      <w:r>
        <w:t>OCP = Old Conversion Price before adjustment</w:t>
      </w:r>
    </w:p>
    <w:p w14:paraId="2DACD04D" w14:textId="77777777" w:rsidR="000E34BF" w:rsidRDefault="00000000">
      <w:pPr>
        <w:pStyle w:val="ListBullet"/>
      </w:pPr>
      <w:r>
        <w:t>CP = 18.58% (Conversion Premium), expressed as a fraction</w:t>
      </w:r>
    </w:p>
    <w:p w14:paraId="59BFF502" w14:textId="77777777" w:rsidR="000E34BF" w:rsidRDefault="00000000">
      <w:pPr>
        <w:pStyle w:val="ListBullet"/>
      </w:pPr>
      <w:r>
        <w:t>c = number of days from the first day of the Change of Control Conversion Period to but excluding the Maturity Date</w:t>
      </w:r>
    </w:p>
    <w:p w14:paraId="3427422B" w14:textId="77777777" w:rsidR="000E34BF" w:rsidRDefault="00000000">
      <w:pPr>
        <w:pStyle w:val="ListBullet"/>
      </w:pPr>
      <w:r>
        <w:t>t = number of days from and including the Issue Date to but excluding the Maturity Date</w:t>
      </w:r>
    </w:p>
    <w:p w14:paraId="6122296F" w14:textId="77777777" w:rsidR="000E34BF" w:rsidRDefault="00000000">
      <w:r>
        <w:t>Intuition: The closer the CoC event is to maturity, the smaller c/t becomes, and the less the conversion price is reduced. If the CoC happens right after issuance (c ≈ t), you get roughly the full premium reduction. This compensates bondholders proportionally for the lost optionality time.</w:t>
      </w:r>
    </w:p>
    <w:p w14:paraId="769C81E7" w14:textId="77777777" w:rsidR="000E34BF" w:rsidRDefault="00000000">
      <w:r>
        <w:br w:type="page"/>
      </w:r>
    </w:p>
    <w:p w14:paraId="6D308169" w14:textId="77777777" w:rsidR="000E34BF" w:rsidRDefault="00000000">
      <w:pPr>
        <w:pStyle w:val="Heading1"/>
      </w:pPr>
      <w:r>
        <w:lastRenderedPageBreak/>
        <w:t>5. Yield &amp; Return Analysis</w:t>
      </w:r>
    </w:p>
    <w:p w14:paraId="78E19B24" w14:textId="77777777" w:rsidR="000E34BF" w:rsidRDefault="00000000">
      <w:pPr>
        <w:pStyle w:val="Heading2"/>
      </w:pPr>
      <w:r>
        <w:t>5a. Bond Floor Economics (in RMB terms)</w:t>
      </w:r>
    </w:p>
    <w:p w14:paraId="0209B9FB" w14:textId="77777777" w:rsidR="000E34BF" w:rsidRDefault="00000000">
      <w:r>
        <w:t>The bond pays 0.00–0.75% coupon semi-annually with a YTM/YTP of 1.80% (semi-annual). Since the issue price is 100.0%, the yield is delivered primarily through the redemption premium.</w:t>
      </w:r>
    </w:p>
    <w:tbl>
      <w:tblPr>
        <w:tblStyle w:val="LightList-Accent1"/>
        <w:tblW w:w="0" w:type="auto"/>
        <w:tblLook w:val="04A0" w:firstRow="1" w:lastRow="0" w:firstColumn="1" w:lastColumn="0" w:noHBand="0" w:noVBand="1"/>
      </w:tblPr>
      <w:tblGrid>
        <w:gridCol w:w="2160"/>
        <w:gridCol w:w="2160"/>
        <w:gridCol w:w="2160"/>
        <w:gridCol w:w="2160"/>
      </w:tblGrid>
      <w:tr w:rsidR="000E34BF" w14:paraId="751A6C5A"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307613" w14:textId="77777777" w:rsidR="000E34BF" w:rsidRDefault="00000000">
            <w:r>
              <w:t>Scenario</w:t>
            </w:r>
          </w:p>
        </w:tc>
        <w:tc>
          <w:tcPr>
            <w:tcW w:w="2160" w:type="dxa"/>
          </w:tcPr>
          <w:p w14:paraId="402E90F8" w14:textId="77777777" w:rsidR="000E34BF" w:rsidRDefault="00000000">
            <w:pPr>
              <w:cnfStyle w:val="100000000000" w:firstRow="1" w:lastRow="0" w:firstColumn="0" w:lastColumn="0" w:oddVBand="0" w:evenVBand="0" w:oddHBand="0" w:evenHBand="0" w:firstRowFirstColumn="0" w:firstRowLastColumn="0" w:lastRowFirstColumn="0" w:lastRowLastColumn="0"/>
            </w:pPr>
            <w:r>
              <w:t>Tenor</w:t>
            </w:r>
          </w:p>
        </w:tc>
        <w:tc>
          <w:tcPr>
            <w:tcW w:w="2160" w:type="dxa"/>
          </w:tcPr>
          <w:p w14:paraId="557C514F" w14:textId="77777777" w:rsidR="000E34BF" w:rsidRDefault="00000000">
            <w:pPr>
              <w:cnfStyle w:val="100000000000" w:firstRow="1" w:lastRow="0" w:firstColumn="0" w:lastColumn="0" w:oddVBand="0" w:evenVBand="0" w:oddHBand="0" w:evenHBand="0" w:firstRowFirstColumn="0" w:firstRowLastColumn="0" w:lastRowFirstColumn="0" w:lastRowLastColumn="0"/>
            </w:pPr>
            <w:r>
              <w:t>Redemption</w:t>
            </w:r>
          </w:p>
        </w:tc>
        <w:tc>
          <w:tcPr>
            <w:tcW w:w="2160" w:type="dxa"/>
          </w:tcPr>
          <w:p w14:paraId="1D482E06" w14:textId="77777777" w:rsidR="000E34BF" w:rsidRDefault="00000000">
            <w:pPr>
              <w:cnfStyle w:val="100000000000" w:firstRow="1" w:lastRow="0" w:firstColumn="0" w:lastColumn="0" w:oddVBand="0" w:evenVBand="0" w:oddHBand="0" w:evenHBand="0" w:firstRowFirstColumn="0" w:firstRowLastColumn="0" w:lastRowFirstColumn="0" w:lastRowLastColumn="0"/>
            </w:pPr>
            <w:r>
              <w:t>Yield (semi-annual basis)</w:t>
            </w:r>
          </w:p>
        </w:tc>
      </w:tr>
      <w:tr w:rsidR="000E34BF" w14:paraId="39B17CE8"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BA02D" w14:textId="77777777" w:rsidR="000E34BF" w:rsidRDefault="00000000">
            <w:r>
              <w:t>Hold to Put</w:t>
            </w:r>
          </w:p>
        </w:tc>
        <w:tc>
          <w:tcPr>
            <w:tcW w:w="2160" w:type="dxa"/>
          </w:tcPr>
          <w:p w14:paraId="65FC8BFA" w14:textId="77777777" w:rsidR="000E34BF" w:rsidRDefault="00000000">
            <w:pPr>
              <w:cnfStyle w:val="000000100000" w:firstRow="0" w:lastRow="0" w:firstColumn="0" w:lastColumn="0" w:oddVBand="0" w:evenVBand="0" w:oddHBand="1" w:evenHBand="0" w:firstRowFirstColumn="0" w:firstRowLastColumn="0" w:lastRowFirstColumn="0" w:lastRowLastColumn="0"/>
            </w:pPr>
            <w:r>
              <w:t>3 years</w:t>
            </w:r>
          </w:p>
        </w:tc>
        <w:tc>
          <w:tcPr>
            <w:tcW w:w="2160" w:type="dxa"/>
          </w:tcPr>
          <w:p w14:paraId="2492E76A" w14:textId="77777777" w:rsidR="000E34BF" w:rsidRDefault="00000000">
            <w:pPr>
              <w:cnfStyle w:val="000000100000" w:firstRow="0" w:lastRow="0" w:firstColumn="0" w:lastColumn="0" w:oddVBand="0" w:evenVBand="0" w:oddHBand="1" w:evenHBand="0" w:firstRowFirstColumn="0" w:firstRowLastColumn="0" w:lastRowFirstColumn="0" w:lastRowLastColumn="0"/>
            </w:pPr>
            <w:r>
              <w:t>103.22 – 105.52%</w:t>
            </w:r>
          </w:p>
        </w:tc>
        <w:tc>
          <w:tcPr>
            <w:tcW w:w="2160" w:type="dxa"/>
          </w:tcPr>
          <w:p w14:paraId="32C48F12" w14:textId="77777777" w:rsidR="000E34BF" w:rsidRDefault="00000000">
            <w:pPr>
              <w:cnfStyle w:val="000000100000" w:firstRow="0" w:lastRow="0" w:firstColumn="0" w:lastColumn="0" w:oddVBand="0" w:evenVBand="0" w:oddHBand="1" w:evenHBand="0" w:firstRowFirstColumn="0" w:firstRowLastColumn="0" w:lastRowFirstColumn="0" w:lastRowLastColumn="0"/>
            </w:pPr>
            <w:r>
              <w:t>1.80% p.a.</w:t>
            </w:r>
          </w:p>
        </w:tc>
      </w:tr>
      <w:tr w:rsidR="000E34BF" w14:paraId="7FF97DE4" w14:textId="77777777" w:rsidTr="000E34BF">
        <w:tc>
          <w:tcPr>
            <w:cnfStyle w:val="001000000000" w:firstRow="0" w:lastRow="0" w:firstColumn="1" w:lastColumn="0" w:oddVBand="0" w:evenVBand="0" w:oddHBand="0" w:evenHBand="0" w:firstRowFirstColumn="0" w:firstRowLastColumn="0" w:lastRowFirstColumn="0" w:lastRowLastColumn="0"/>
            <w:tcW w:w="2160" w:type="dxa"/>
          </w:tcPr>
          <w:p w14:paraId="6911A22D" w14:textId="77777777" w:rsidR="000E34BF" w:rsidRDefault="00000000">
            <w:r>
              <w:t>Hold to Maturity</w:t>
            </w:r>
          </w:p>
        </w:tc>
        <w:tc>
          <w:tcPr>
            <w:tcW w:w="2160" w:type="dxa"/>
          </w:tcPr>
          <w:p w14:paraId="648786A4" w14:textId="77777777" w:rsidR="000E34BF" w:rsidRDefault="00000000">
            <w:pPr>
              <w:cnfStyle w:val="000000000000" w:firstRow="0" w:lastRow="0" w:firstColumn="0" w:lastColumn="0" w:oddVBand="0" w:evenVBand="0" w:oddHBand="0" w:evenHBand="0" w:firstRowFirstColumn="0" w:firstRowLastColumn="0" w:lastRowFirstColumn="0" w:lastRowLastColumn="0"/>
            </w:pPr>
            <w:r>
              <w:t>5 years</w:t>
            </w:r>
          </w:p>
        </w:tc>
        <w:tc>
          <w:tcPr>
            <w:tcW w:w="2160" w:type="dxa"/>
          </w:tcPr>
          <w:p w14:paraId="3E4529CE" w14:textId="77777777" w:rsidR="000E34BF" w:rsidRDefault="00000000">
            <w:pPr>
              <w:cnfStyle w:val="000000000000" w:firstRow="0" w:lastRow="0" w:firstColumn="0" w:lastColumn="0" w:oddVBand="0" w:evenVBand="0" w:oddHBand="0" w:evenHBand="0" w:firstRowFirstColumn="0" w:firstRowLastColumn="0" w:lastRowFirstColumn="0" w:lastRowLastColumn="0"/>
            </w:pPr>
            <w:r>
              <w:t>105.47 – 109.37%</w:t>
            </w:r>
          </w:p>
        </w:tc>
        <w:tc>
          <w:tcPr>
            <w:tcW w:w="2160" w:type="dxa"/>
          </w:tcPr>
          <w:p w14:paraId="7E6190B5" w14:textId="77777777" w:rsidR="000E34BF" w:rsidRDefault="00000000">
            <w:pPr>
              <w:cnfStyle w:val="000000000000" w:firstRow="0" w:lastRow="0" w:firstColumn="0" w:lastColumn="0" w:oddVBand="0" w:evenVBand="0" w:oddHBand="0" w:evenHBand="0" w:firstRowFirstColumn="0" w:firstRowLastColumn="0" w:lastRowFirstColumn="0" w:lastRowLastColumn="0"/>
            </w:pPr>
            <w:r>
              <w:t>1.80% p.a.</w:t>
            </w:r>
          </w:p>
        </w:tc>
      </w:tr>
    </w:tbl>
    <w:p w14:paraId="215F83B3" w14:textId="77777777" w:rsidR="000E34BF" w:rsidRDefault="000E34BF"/>
    <w:p w14:paraId="684C24D8" w14:textId="77777777" w:rsidR="000E34BF" w:rsidRDefault="00000000">
      <w:r>
        <w:t>Note: The ranges in put/redemption prices correspond to the range in coupon (0.00–0.75%). A lower coupon means a higher redemption premium to deliver the same 1.80% YTM.</w:t>
      </w:r>
    </w:p>
    <w:p w14:paraId="4C2E62DC" w14:textId="77777777" w:rsidR="000E34BF" w:rsidRDefault="00000000">
      <w:pPr>
        <w:pStyle w:val="Heading2"/>
      </w:pPr>
      <w:r>
        <w:t>5b. USD Yield — The FX Caveat</w:t>
      </w:r>
    </w:p>
    <w:p w14:paraId="2A937D72" w14:textId="77777777" w:rsidR="000E34BF" w:rsidRDefault="00000000">
      <w:r w:rsidRPr="00840C0B">
        <w:rPr>
          <w:highlight w:val="blue"/>
        </w:rPr>
        <w:t>The 1.80% yield is in RMB terms</w:t>
      </w:r>
      <w:r>
        <w:t xml:space="preserve">. </w:t>
      </w:r>
      <w:r w:rsidRPr="00840C0B">
        <w:rPr>
          <w:highlight w:val="blue"/>
        </w:rPr>
        <w:t>The actual USD return depends on where USDCNH settles at the payment date</w:t>
      </w:r>
      <w:r>
        <w:t>. If CNH depreciates by more than the yield premium, the bondholder could receive a negative USD return even holding to put/maturity.</w:t>
      </w:r>
    </w:p>
    <w:p w14:paraId="77404AFD" w14:textId="77777777" w:rsidR="000E34BF" w:rsidRDefault="00000000">
      <w:pPr>
        <w:pStyle w:val="ListBullet"/>
      </w:pPr>
      <w:r>
        <w:t>Break-even: If USDCNH moves from 6.9391 to ~7.06 over 3 years (~1.8%), the entire RMB put premium is wiped out in USD terms. Any CNH weakening beyond that produces a negative USD yield on the bond floor.</w:t>
      </w:r>
    </w:p>
    <w:p w14:paraId="7889BE2C" w14:textId="77777777" w:rsidR="000E34BF" w:rsidRDefault="00000000">
      <w:r>
        <w:br w:type="page"/>
      </w:r>
    </w:p>
    <w:p w14:paraId="57519E56" w14:textId="77777777" w:rsidR="000E34BF" w:rsidRDefault="00000000">
      <w:pPr>
        <w:pStyle w:val="Heading1"/>
      </w:pPr>
      <w:r>
        <w:lastRenderedPageBreak/>
        <w:t>6. Key Risks</w:t>
      </w:r>
    </w:p>
    <w:p w14:paraId="713428EC" w14:textId="77777777" w:rsidR="000E34BF" w:rsidRDefault="00000000">
      <w:pPr>
        <w:pStyle w:val="Heading2"/>
      </w:pPr>
      <w:r w:rsidRPr="00840C0B">
        <w:rPr>
          <w:highlight w:val="blue"/>
        </w:rPr>
        <w:t>6a. FX Risk (Primary Risk for Currency Linked CB)</w:t>
      </w:r>
    </w:p>
    <w:p w14:paraId="7912E436" w14:textId="77777777" w:rsidR="000E34BF" w:rsidRDefault="00000000">
      <w:r>
        <w:t xml:space="preserve">This is the single most important risk for this bond. As a Currency Linked CB, the bondholder is explicitly exposed to </w:t>
      </w:r>
      <w:r w:rsidRPr="00840C0B">
        <w:rPr>
          <w:highlight w:val="blue"/>
        </w:rPr>
        <w:t>USDCNH movements</w:t>
      </w:r>
      <w:r>
        <w:t>.</w:t>
      </w:r>
    </w:p>
    <w:p w14:paraId="64C9DCD5" w14:textId="77777777" w:rsidR="000E34BF" w:rsidRDefault="00000000">
      <w:pPr>
        <w:pStyle w:val="ListBullet"/>
      </w:pPr>
      <w:r w:rsidRPr="00840C0B">
        <w:rPr>
          <w:highlight w:val="blue"/>
        </w:rPr>
        <w:t>USD Settlement Risk</w:t>
      </w:r>
      <w:r>
        <w:t>:</w:t>
      </w:r>
    </w:p>
    <w:p w14:paraId="2F29C2E7" w14:textId="77777777" w:rsidR="000E34BF" w:rsidRDefault="00000000">
      <w:r>
        <w:t>All cash flows (coupons, put, redemption) are fixed in RMB but settled in USD at the prevailing USDCNH rate. If CNH weakens, you receive fewer USD. Over a 3–5 year horizon, USDCNH can move significantly (10–15% swings are not uncommon).</w:t>
      </w:r>
    </w:p>
    <w:p w14:paraId="7026E47E" w14:textId="77777777" w:rsidR="000E34BF" w:rsidRDefault="00000000">
      <w:pPr>
        <w:pStyle w:val="ListBullet"/>
      </w:pPr>
      <w:r w:rsidRPr="00EB1BD0">
        <w:rPr>
          <w:highlight w:val="blue"/>
        </w:rPr>
        <w:t>Parity / Equity Conversion FX Risk</w:t>
      </w:r>
      <w:r>
        <w:t>:</w:t>
      </w:r>
    </w:p>
    <w:p w14:paraId="1F18A80B" w14:textId="77777777" w:rsidR="000E34BF" w:rsidRDefault="00000000">
      <w:r>
        <w:t xml:space="preserve">If you convert, you receive </w:t>
      </w:r>
      <w:r w:rsidRPr="00EB1BD0">
        <w:rPr>
          <w:highlight w:val="blue"/>
        </w:rPr>
        <w:t>HKD-denominated H shares</w:t>
      </w:r>
      <w:r>
        <w:t xml:space="preserve">. The initial conversion price is set using a fixed CNH/HKD rate (0.8895). </w:t>
      </w:r>
      <w:r w:rsidRPr="00EB1BD0">
        <w:rPr>
          <w:highlight w:val="blue"/>
        </w:rPr>
        <w:t>Any divergence between CNH and HKD</w:t>
      </w:r>
      <w:r>
        <w:t xml:space="preserve"> (possible if the HKD peg comes under pressure or CNH moves independently) creates a </w:t>
      </w:r>
      <w:r w:rsidRPr="00EB1BD0">
        <w:rPr>
          <w:highlight w:val="blue"/>
        </w:rPr>
        <w:t>cross-rate risk on parity</w:t>
      </w:r>
      <w:r>
        <w:t>.</w:t>
      </w:r>
    </w:p>
    <w:p w14:paraId="0FF361A0" w14:textId="77777777" w:rsidR="000E34BF" w:rsidRDefault="00000000">
      <w:pPr>
        <w:pStyle w:val="ListBullet"/>
      </w:pPr>
      <w:r w:rsidRPr="00EB1BD0">
        <w:rPr>
          <w:highlight w:val="blue"/>
        </w:rPr>
        <w:t>NDF Hedging Cost</w:t>
      </w:r>
      <w:r>
        <w:t>:</w:t>
      </w:r>
    </w:p>
    <w:p w14:paraId="06F4F060" w14:textId="77777777" w:rsidR="000E34BF" w:rsidRDefault="00000000">
      <w:r>
        <w:t>CNH is deliverable offshore, but hedging still has a cost. The CNH forward curve may trade at a discount or premium to spot, and the bid-offer spread on longer-dated CNH forwards (2–5 years) can be 20–50 bps wide, eating into yield.</w:t>
      </w:r>
    </w:p>
    <w:p w14:paraId="7DB63DA8" w14:textId="77777777" w:rsidR="000E34BF" w:rsidRDefault="00000000">
      <w:pPr>
        <w:pStyle w:val="Heading2"/>
      </w:pPr>
      <w:r>
        <w:t>6b. Credit Risk</w:t>
      </w:r>
    </w:p>
    <w:p w14:paraId="53684B5E" w14:textId="77777777" w:rsidR="000E34BF" w:rsidRDefault="00000000">
      <w:r>
        <w:t>Zoomlion is a Chinese heavy industry / construction machinery company. The bonds are direct, unsubordinated, unconditional but UNSECURED obligations.</w:t>
      </w:r>
    </w:p>
    <w:p w14:paraId="6320405E" w14:textId="77777777" w:rsidR="000E34BF" w:rsidRDefault="00000000">
      <w:pPr>
        <w:pStyle w:val="ListBullet"/>
      </w:pPr>
      <w:r>
        <w:t>Sector: Heavy machinery and construction equipment — cyclical, tied to China's infrastructure and property cycles.</w:t>
      </w:r>
    </w:p>
    <w:p w14:paraId="67525394" w14:textId="77777777" w:rsidR="000E34BF" w:rsidRDefault="00000000">
      <w:pPr>
        <w:pStyle w:val="ListBullet"/>
      </w:pPr>
      <w:r>
        <w:t>No guarantee: The bonds are not guaranteed by any parent, subsidiary, or government entity.</w:t>
      </w:r>
    </w:p>
    <w:p w14:paraId="5C5D3127" w14:textId="77777777" w:rsidR="000E34BF" w:rsidRDefault="00000000">
      <w:pPr>
        <w:pStyle w:val="ListBullet"/>
      </w:pPr>
      <w:r>
        <w:t>Cross-default: Events of default include cross-acceleration at USD 30 million or equivalent.</w:t>
      </w:r>
    </w:p>
    <w:p w14:paraId="7E337D94" w14:textId="77777777" w:rsidR="000E34BF" w:rsidRDefault="00000000">
      <w:pPr>
        <w:pStyle w:val="ListBullet"/>
      </w:pPr>
      <w:r>
        <w:t>PRC regulatory risk: As a PRC-incorporated issuer, there may be restrictions on remittance of funds offshore for bond payments, particularly in a stress scenario.</w:t>
      </w:r>
    </w:p>
    <w:p w14:paraId="1865A3DC" w14:textId="77777777" w:rsidR="000E34BF" w:rsidRDefault="00000000">
      <w:pPr>
        <w:pStyle w:val="Heading2"/>
      </w:pPr>
      <w:r>
        <w:t>6c. Issuer Call Risk (Soft Call)</w:t>
      </w:r>
    </w:p>
    <w:p w14:paraId="0E4BE39A" w14:textId="77777777" w:rsidR="000E34BF" w:rsidRDefault="00000000">
      <w:r>
        <w:t>After February 19, 2028 (Year 2), the issuer can call the bonds if the H share price (translated to RMB at prevailing rate) exceeds 130% of the conversion price (translated to RMB at fixed rate) for 15 out of 30 consecutive trading days.</w:t>
      </w:r>
    </w:p>
    <w:p w14:paraId="106732A9" w14:textId="77777777" w:rsidR="000E34BF" w:rsidRDefault="00000000">
      <w:pPr>
        <w:pStyle w:val="ListBullet"/>
      </w:pPr>
      <w:r>
        <w:t xml:space="preserve">If called, bondholders receive the Early Redemption Amount (1.80% YTM accrued), NOT the full equity upside. This effectively caps the bondholder's upside — if the stock rallies </w:t>
      </w:r>
      <w:r>
        <w:lastRenderedPageBreak/>
        <w:t>strongly, the issuer can force early redemption, and bondholders must convert or accept the early redemption amount.</w:t>
      </w:r>
    </w:p>
    <w:p w14:paraId="620F3B35" w14:textId="77777777" w:rsidR="000E34BF" w:rsidRDefault="00000000">
      <w:pPr>
        <w:pStyle w:val="ListBullet"/>
      </w:pPr>
      <w:r>
        <w:t>The 130% trigger in RMB terms means the actual HKD stock price trigger depends on the CNH/HKD cross-rate at the time, adding another FX dimension.</w:t>
      </w:r>
    </w:p>
    <w:p w14:paraId="7D5F5AD5" w14:textId="77777777" w:rsidR="000E34BF" w:rsidRDefault="00000000">
      <w:pPr>
        <w:pStyle w:val="Heading2"/>
      </w:pPr>
      <w:r>
        <w:t>6d. Interest Rate Risk (Rho)</w:t>
      </w:r>
    </w:p>
    <w:p w14:paraId="4E2CA3E0" w14:textId="77777777" w:rsidR="000E34BF" w:rsidRDefault="00000000">
      <w:r>
        <w:t>As a Currency Linked CB:</w:t>
      </w:r>
    </w:p>
    <w:p w14:paraId="2197A404" w14:textId="77777777" w:rsidR="000E34BF" w:rsidRDefault="00000000">
      <w:pPr>
        <w:pStyle w:val="ListBullet"/>
      </w:pPr>
      <w:r>
        <w:t>Short rho to CNH rates: If CNH interest rates rise, the forward CNH weakens, reducing the USD-equivalent value of the bond's fixed RMB cash flows. This directly lowers the bond floor in USD terms.</w:t>
      </w:r>
    </w:p>
    <w:p w14:paraId="517BE68C" w14:textId="77777777" w:rsidR="000E34BF" w:rsidRDefault="00000000">
      <w:pPr>
        <w:pStyle w:val="ListBullet"/>
      </w:pPr>
      <w:r>
        <w:t>~Zero rho to US rates: The FX linkage means that changes in USD rates are offset by corresponding moves in the USDCNH forward curve. The bond floor in USD terms is largely insensitive to US rate moves.</w:t>
      </w:r>
    </w:p>
    <w:p w14:paraId="19487270" w14:textId="77777777" w:rsidR="000E34BF" w:rsidRDefault="00000000">
      <w:pPr>
        <w:pStyle w:val="Heading2"/>
      </w:pPr>
      <w:r>
        <w:t>6e. Equity / Parity Risk</w:t>
      </w:r>
    </w:p>
    <w:p w14:paraId="0B5AE38B" w14:textId="77777777" w:rsidR="000E34BF" w:rsidRDefault="00000000">
      <w:r>
        <w:t>The conversion option is on 1157 HK (H shares). At 18.58% premium to HK$8.45, the initial conversion price is HK$10.02. The equity option value depends on:</w:t>
      </w:r>
    </w:p>
    <w:p w14:paraId="38D80F75" w14:textId="77777777" w:rsidR="000E34BF" w:rsidRDefault="00000000">
      <w:pPr>
        <w:pStyle w:val="ListBullet"/>
      </w:pPr>
      <w:r>
        <w:t>Stock performance: Zoomlion's H share price needs to exceed HK$10.02 for the conversion option to be in-the-money.</w:t>
      </w:r>
    </w:p>
    <w:p w14:paraId="53D5CBAD" w14:textId="77777777" w:rsidR="000E34BF" w:rsidRDefault="00000000">
      <w:pPr>
        <w:pStyle w:val="ListBullet"/>
      </w:pPr>
      <w:r>
        <w:t>H-share vs A-share discount: Zoomlion also has A shares (000157 CH). The H/A discount can widen, suppressing H share performance even if fundamentals improve.</w:t>
      </w:r>
    </w:p>
    <w:p w14:paraId="4BF39353" w14:textId="77777777" w:rsidR="000E34BF" w:rsidRDefault="00000000">
      <w:pPr>
        <w:pStyle w:val="ListBullet"/>
      </w:pPr>
      <w:r>
        <w:t>Implied volatility: The CB embeds a long equity option. If implied vol declines, the option component loses value even if the stock doesn't move.</w:t>
      </w:r>
    </w:p>
    <w:p w14:paraId="5A67AB12" w14:textId="77777777" w:rsidR="000E34BF" w:rsidRDefault="00000000">
      <w:pPr>
        <w:pStyle w:val="Heading2"/>
      </w:pPr>
      <w:r>
        <w:t>6f. Liquidity Risk</w:t>
      </w:r>
    </w:p>
    <w:p w14:paraId="561ABC29" w14:textId="77777777" w:rsidR="000E34BF" w:rsidRDefault="00000000">
      <w:r>
        <w:t>Minimum denomination of RMB 2,000,000 (~US$288K) means this is an institutional product. Secondary market liquidity depends on dealer willingness to make markets. Asian CB liquidity can be thin, with bid-offer spreads of 0.5–1.5 points.</w:t>
      </w:r>
    </w:p>
    <w:p w14:paraId="5AB15CF1" w14:textId="77777777" w:rsidR="000E34BF" w:rsidRDefault="00000000">
      <w:pPr>
        <w:pStyle w:val="Heading2"/>
      </w:pPr>
      <w:r>
        <w:t>6g. Regulatory &amp; Political Risk</w:t>
      </w:r>
    </w:p>
    <w:p w14:paraId="6147608A" w14:textId="77777777" w:rsidR="000E34BF" w:rsidRDefault="00000000">
      <w:pPr>
        <w:pStyle w:val="ListBullet"/>
      </w:pPr>
      <w:r>
        <w:t>PRC capital controls: The issuer is a PRC company. In a stress scenario, there could be restrictions on transferring RMB offshore to meet USD settlement obligations.</w:t>
      </w:r>
    </w:p>
    <w:p w14:paraId="0A4F89EB" w14:textId="77777777" w:rsidR="000E34BF" w:rsidRDefault="00000000">
      <w:pPr>
        <w:pStyle w:val="ListBullet"/>
      </w:pPr>
      <w:r>
        <w:t>Selling restrictions: Reg S only (Category 1). Not registered in the US, EU, UK, HK, Singapore, Japan, or PRC. This limits the investor base and secondary liquidity.</w:t>
      </w:r>
    </w:p>
    <w:p w14:paraId="286AB28C" w14:textId="77777777" w:rsidR="000E34BF" w:rsidRDefault="00000000">
      <w:pPr>
        <w:pStyle w:val="ListBullet"/>
      </w:pPr>
      <w:r>
        <w:t>Hong Kong listing risk: If H shares are de-listed or suspended for 30 consecutive days, bondholders can put — but recovery in a distressed scenario is uncertain.</w:t>
      </w:r>
    </w:p>
    <w:p w14:paraId="205064DA" w14:textId="77777777" w:rsidR="000E34BF" w:rsidRDefault="00000000">
      <w:pPr>
        <w:pStyle w:val="Heading2"/>
      </w:pPr>
      <w:r>
        <w:t>6h. Dilution &amp; Anti-Dilution</w:t>
      </w:r>
    </w:p>
    <w:p w14:paraId="4739B751" w14:textId="77777777" w:rsidR="000E34BF" w:rsidRDefault="00000000">
      <w:r>
        <w:t>Standard anti-dilution protections are included (consolidation, subdivision, distributions, rights issues below 95% of Current Market Price, etc.). However:</w:t>
      </w:r>
    </w:p>
    <w:p w14:paraId="0C3A7A24" w14:textId="77777777" w:rsidR="000E34BF" w:rsidRDefault="00000000">
      <w:pPr>
        <w:pStyle w:val="ListBullet"/>
      </w:pPr>
      <w:r>
        <w:lastRenderedPageBreak/>
        <w:t>Conversion at full size (RMB 6B with upsize) into H shares could be dilutive. At the initial conversion ratio, full conversion = ~672M new H shares (potentially significant relative to free float).</w:t>
      </w:r>
    </w:p>
    <w:p w14:paraId="3A6C7724" w14:textId="77777777" w:rsidR="000E34BF" w:rsidRDefault="00000000">
      <w:pPr>
        <w:pStyle w:val="ListBullet"/>
      </w:pPr>
      <w:r>
        <w:t>Dividend protection: Conversion price adjusts for all dividends paid on H Shares.</w:t>
      </w:r>
    </w:p>
    <w:p w14:paraId="6E238587" w14:textId="77777777" w:rsidR="000E34BF" w:rsidRDefault="00000000">
      <w:r>
        <w:br w:type="page"/>
      </w:r>
    </w:p>
    <w:p w14:paraId="63C689FF" w14:textId="77777777" w:rsidR="000E34BF" w:rsidRDefault="00000000">
      <w:pPr>
        <w:pStyle w:val="Heading1"/>
      </w:pPr>
      <w:r>
        <w:lastRenderedPageBreak/>
        <w:t>7. Risk Summary Matrix</w:t>
      </w:r>
    </w:p>
    <w:tbl>
      <w:tblPr>
        <w:tblStyle w:val="LightList-Accent1"/>
        <w:tblW w:w="0" w:type="auto"/>
        <w:tblLook w:val="04A0" w:firstRow="1" w:lastRow="0" w:firstColumn="1" w:lastColumn="0" w:noHBand="0" w:noVBand="1"/>
      </w:tblPr>
      <w:tblGrid>
        <w:gridCol w:w="2880"/>
        <w:gridCol w:w="2880"/>
        <w:gridCol w:w="2880"/>
      </w:tblGrid>
      <w:tr w:rsidR="000E34BF" w14:paraId="43AD3A44"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A8E283" w14:textId="77777777" w:rsidR="000E34BF" w:rsidRDefault="00000000">
            <w:r>
              <w:t>Risk Factor</w:t>
            </w:r>
          </w:p>
        </w:tc>
        <w:tc>
          <w:tcPr>
            <w:tcW w:w="2880" w:type="dxa"/>
          </w:tcPr>
          <w:p w14:paraId="3406A47E" w14:textId="77777777" w:rsidR="000E34BF" w:rsidRDefault="00000000">
            <w:pPr>
              <w:cnfStyle w:val="100000000000" w:firstRow="1" w:lastRow="0" w:firstColumn="0" w:lastColumn="0" w:oddVBand="0" w:evenVBand="0" w:oddHBand="0" w:evenHBand="0" w:firstRowFirstColumn="0" w:firstRowLastColumn="0" w:lastRowFirstColumn="0" w:lastRowLastColumn="0"/>
            </w:pPr>
            <w:r>
              <w:t>Severity</w:t>
            </w:r>
          </w:p>
        </w:tc>
        <w:tc>
          <w:tcPr>
            <w:tcW w:w="2880" w:type="dxa"/>
          </w:tcPr>
          <w:p w14:paraId="7DE134A3" w14:textId="77777777" w:rsidR="000E34BF" w:rsidRDefault="00000000">
            <w:pPr>
              <w:cnfStyle w:val="100000000000" w:firstRow="1" w:lastRow="0" w:firstColumn="0" w:lastColumn="0" w:oddVBand="0" w:evenVBand="0" w:oddHBand="0" w:evenHBand="0" w:firstRowFirstColumn="0" w:firstRowLastColumn="0" w:lastRowFirstColumn="0" w:lastRowLastColumn="0"/>
            </w:pPr>
            <w:r>
              <w:t>Key Consideration</w:t>
            </w:r>
          </w:p>
        </w:tc>
      </w:tr>
      <w:tr w:rsidR="000E34BF" w14:paraId="0DEA7F71"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10FA7" w14:textId="77777777" w:rsidR="000E34BF" w:rsidRDefault="00000000">
            <w:r>
              <w:t>FX (USDCNH)</w:t>
            </w:r>
          </w:p>
        </w:tc>
        <w:tc>
          <w:tcPr>
            <w:tcW w:w="2880" w:type="dxa"/>
          </w:tcPr>
          <w:p w14:paraId="28E2686A" w14:textId="77777777" w:rsidR="000E34BF" w:rsidRDefault="00000000">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10CC6FD2" w14:textId="77777777" w:rsidR="000E34BF" w:rsidRDefault="00000000">
            <w:pPr>
              <w:cnfStyle w:val="000000100000" w:firstRow="0" w:lastRow="0" w:firstColumn="0" w:lastColumn="0" w:oddVBand="0" w:evenVBand="0" w:oddHBand="1" w:evenHBand="0" w:firstRowFirstColumn="0" w:firstRowLastColumn="0" w:lastRowFirstColumn="0" w:lastRowLastColumn="0"/>
            </w:pPr>
            <w:r>
              <w:t>Primary risk — all cash flows in RMB settled at prevailing FX; 3-5yr CNH can move 10-15%</w:t>
            </w:r>
          </w:p>
        </w:tc>
      </w:tr>
      <w:tr w:rsidR="000E34BF" w14:paraId="2BF3FAC7" w14:textId="77777777" w:rsidTr="000E34BF">
        <w:tc>
          <w:tcPr>
            <w:cnfStyle w:val="001000000000" w:firstRow="0" w:lastRow="0" w:firstColumn="1" w:lastColumn="0" w:oddVBand="0" w:evenVBand="0" w:oddHBand="0" w:evenHBand="0" w:firstRowFirstColumn="0" w:firstRowLastColumn="0" w:lastRowFirstColumn="0" w:lastRowLastColumn="0"/>
            <w:tcW w:w="2880" w:type="dxa"/>
          </w:tcPr>
          <w:p w14:paraId="7827D5B5" w14:textId="77777777" w:rsidR="000E34BF" w:rsidRDefault="00000000">
            <w:r>
              <w:t>Credit</w:t>
            </w:r>
          </w:p>
        </w:tc>
        <w:tc>
          <w:tcPr>
            <w:tcW w:w="2880" w:type="dxa"/>
          </w:tcPr>
          <w:p w14:paraId="2B3E81C8" w14:textId="77777777" w:rsidR="000E34BF" w:rsidRDefault="00000000">
            <w:pPr>
              <w:cnfStyle w:val="000000000000" w:firstRow="0" w:lastRow="0" w:firstColumn="0" w:lastColumn="0" w:oddVBand="0" w:evenVBand="0" w:oddHBand="0" w:evenHBand="0" w:firstRowFirstColumn="0" w:firstRowLastColumn="0" w:lastRowFirstColumn="0" w:lastRowLastColumn="0"/>
            </w:pPr>
            <w:r>
              <w:t>MEDIUM-HIGH</w:t>
            </w:r>
          </w:p>
        </w:tc>
        <w:tc>
          <w:tcPr>
            <w:tcW w:w="2880" w:type="dxa"/>
          </w:tcPr>
          <w:p w14:paraId="1805A768" w14:textId="77777777" w:rsidR="000E34BF" w:rsidRDefault="00000000">
            <w:pPr>
              <w:cnfStyle w:val="000000000000" w:firstRow="0" w:lastRow="0" w:firstColumn="0" w:lastColumn="0" w:oddVBand="0" w:evenVBand="0" w:oddHBand="0" w:evenHBand="0" w:firstRowFirstColumn="0" w:firstRowLastColumn="0" w:lastRowFirstColumn="0" w:lastRowLastColumn="0"/>
            </w:pPr>
            <w:r>
              <w:t>Unsecured PRC issuer in cyclical heavy industry; cross-default at USD 30M</w:t>
            </w:r>
          </w:p>
        </w:tc>
      </w:tr>
      <w:tr w:rsidR="000E34BF" w14:paraId="43AE77C2"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E86E66" w14:textId="77777777" w:rsidR="000E34BF" w:rsidRDefault="00000000">
            <w:r>
              <w:t>Issuer Call</w:t>
            </w:r>
          </w:p>
        </w:tc>
        <w:tc>
          <w:tcPr>
            <w:tcW w:w="2880" w:type="dxa"/>
          </w:tcPr>
          <w:p w14:paraId="74E00B2E" w14:textId="77777777" w:rsidR="000E34BF"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5219D287" w14:textId="77777777" w:rsidR="000E34BF" w:rsidRDefault="00000000">
            <w:pPr>
              <w:cnfStyle w:val="000000100000" w:firstRow="0" w:lastRow="0" w:firstColumn="0" w:lastColumn="0" w:oddVBand="0" w:evenVBand="0" w:oddHBand="1" w:evenHBand="0" w:firstRowFirstColumn="0" w:firstRowLastColumn="0" w:lastRowFirstColumn="0" w:lastRowLastColumn="0"/>
            </w:pPr>
            <w:r>
              <w:t>Soft call after Year 2 at 130% trigger; caps upside if stock rallies</w:t>
            </w:r>
          </w:p>
        </w:tc>
      </w:tr>
      <w:tr w:rsidR="000E34BF" w14:paraId="1FB401B7" w14:textId="77777777" w:rsidTr="000E34BF">
        <w:tc>
          <w:tcPr>
            <w:cnfStyle w:val="001000000000" w:firstRow="0" w:lastRow="0" w:firstColumn="1" w:lastColumn="0" w:oddVBand="0" w:evenVBand="0" w:oddHBand="0" w:evenHBand="0" w:firstRowFirstColumn="0" w:firstRowLastColumn="0" w:lastRowFirstColumn="0" w:lastRowLastColumn="0"/>
            <w:tcW w:w="2880" w:type="dxa"/>
          </w:tcPr>
          <w:p w14:paraId="17352AD7" w14:textId="77777777" w:rsidR="000E34BF" w:rsidRDefault="00000000">
            <w:r>
              <w:t>CNH Interest Rates</w:t>
            </w:r>
          </w:p>
        </w:tc>
        <w:tc>
          <w:tcPr>
            <w:tcW w:w="2880" w:type="dxa"/>
          </w:tcPr>
          <w:p w14:paraId="6DB93A04" w14:textId="77777777" w:rsidR="000E34BF"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880" w:type="dxa"/>
          </w:tcPr>
          <w:p w14:paraId="75F3A954" w14:textId="77777777" w:rsidR="000E34BF" w:rsidRDefault="00000000">
            <w:pPr>
              <w:cnfStyle w:val="000000000000" w:firstRow="0" w:lastRow="0" w:firstColumn="0" w:lastColumn="0" w:oddVBand="0" w:evenVBand="0" w:oddHBand="0" w:evenHBand="0" w:firstRowFirstColumn="0" w:firstRowLastColumn="0" w:lastRowFirstColumn="0" w:lastRowLastColumn="0"/>
            </w:pPr>
            <w:r>
              <w:t>Short rho — rising CNH rates weaken forward CNH, eroding USD bond floor</w:t>
            </w:r>
          </w:p>
        </w:tc>
      </w:tr>
      <w:tr w:rsidR="000E34BF" w14:paraId="151B75B8"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B2893E" w14:textId="77777777" w:rsidR="000E34BF" w:rsidRDefault="00000000">
            <w:r>
              <w:t>Equity / Parity</w:t>
            </w:r>
          </w:p>
        </w:tc>
        <w:tc>
          <w:tcPr>
            <w:tcW w:w="2880" w:type="dxa"/>
          </w:tcPr>
          <w:p w14:paraId="7747FF77" w14:textId="77777777" w:rsidR="000E34BF"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2020604F" w14:textId="77777777" w:rsidR="000E34BF" w:rsidRDefault="00000000">
            <w:pPr>
              <w:cnfStyle w:val="000000100000" w:firstRow="0" w:lastRow="0" w:firstColumn="0" w:lastColumn="0" w:oddVBand="0" w:evenVBand="0" w:oddHBand="1" w:evenHBand="0" w:firstRowFirstColumn="0" w:firstRowLastColumn="0" w:lastRowFirstColumn="0" w:lastRowLastColumn="0"/>
            </w:pPr>
            <w:r>
              <w:t>18.58% premium; need stock above HK$10.02; H/A discount a factor</w:t>
            </w:r>
          </w:p>
        </w:tc>
      </w:tr>
      <w:tr w:rsidR="000E34BF" w14:paraId="744FA742" w14:textId="77777777" w:rsidTr="000E34BF">
        <w:tc>
          <w:tcPr>
            <w:cnfStyle w:val="001000000000" w:firstRow="0" w:lastRow="0" w:firstColumn="1" w:lastColumn="0" w:oddVBand="0" w:evenVBand="0" w:oddHBand="0" w:evenHBand="0" w:firstRowFirstColumn="0" w:firstRowLastColumn="0" w:lastRowFirstColumn="0" w:lastRowLastColumn="0"/>
            <w:tcW w:w="2880" w:type="dxa"/>
          </w:tcPr>
          <w:p w14:paraId="597FBE1A" w14:textId="77777777" w:rsidR="000E34BF" w:rsidRDefault="00000000">
            <w:r>
              <w:t>Liquidity</w:t>
            </w:r>
          </w:p>
        </w:tc>
        <w:tc>
          <w:tcPr>
            <w:tcW w:w="2880" w:type="dxa"/>
          </w:tcPr>
          <w:p w14:paraId="14ACD65F" w14:textId="77777777" w:rsidR="000E34BF"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880" w:type="dxa"/>
          </w:tcPr>
          <w:p w14:paraId="45A8B5B4" w14:textId="77777777" w:rsidR="000E34BF" w:rsidRDefault="00000000">
            <w:pPr>
              <w:cnfStyle w:val="000000000000" w:firstRow="0" w:lastRow="0" w:firstColumn="0" w:lastColumn="0" w:oddVBand="0" w:evenVBand="0" w:oddHBand="0" w:evenHBand="0" w:firstRowFirstColumn="0" w:firstRowLastColumn="0" w:lastRowFirstColumn="0" w:lastRowLastColumn="0"/>
            </w:pPr>
            <w:r>
              <w:t>RMB 2M minimum; institutional only; Asian CB secondary can be thin</w:t>
            </w:r>
          </w:p>
        </w:tc>
      </w:tr>
      <w:tr w:rsidR="000E34BF" w14:paraId="5A65BF97"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D08C42" w14:textId="77777777" w:rsidR="000E34BF" w:rsidRDefault="00000000">
            <w:r>
              <w:t>Regulatory / Political</w:t>
            </w:r>
          </w:p>
        </w:tc>
        <w:tc>
          <w:tcPr>
            <w:tcW w:w="2880" w:type="dxa"/>
          </w:tcPr>
          <w:p w14:paraId="11A18E6E" w14:textId="77777777" w:rsidR="000E34BF"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7DE1CC40" w14:textId="77777777" w:rsidR="000E34BF" w:rsidRDefault="00000000">
            <w:pPr>
              <w:cnfStyle w:val="000000100000" w:firstRow="0" w:lastRow="0" w:firstColumn="0" w:lastColumn="0" w:oddVBand="0" w:evenVBand="0" w:oddHBand="1" w:evenHBand="0" w:firstRowFirstColumn="0" w:firstRowLastColumn="0" w:lastRowFirstColumn="0" w:lastRowLastColumn="0"/>
            </w:pPr>
            <w:r>
              <w:t>PRC capital controls; Reg S only; limited investor base</w:t>
            </w:r>
          </w:p>
        </w:tc>
      </w:tr>
      <w:tr w:rsidR="000E34BF" w14:paraId="16241662" w14:textId="77777777" w:rsidTr="000E34BF">
        <w:tc>
          <w:tcPr>
            <w:cnfStyle w:val="001000000000" w:firstRow="0" w:lastRow="0" w:firstColumn="1" w:lastColumn="0" w:oddVBand="0" w:evenVBand="0" w:oddHBand="0" w:evenHBand="0" w:firstRowFirstColumn="0" w:firstRowLastColumn="0" w:lastRowFirstColumn="0" w:lastRowLastColumn="0"/>
            <w:tcW w:w="2880" w:type="dxa"/>
          </w:tcPr>
          <w:p w14:paraId="0C73E5F1" w14:textId="77777777" w:rsidR="000E34BF" w:rsidRDefault="00000000">
            <w:r>
              <w:t>Dilution</w:t>
            </w:r>
          </w:p>
        </w:tc>
        <w:tc>
          <w:tcPr>
            <w:tcW w:w="2880" w:type="dxa"/>
          </w:tcPr>
          <w:p w14:paraId="5548F91C" w14:textId="77777777" w:rsidR="000E34BF" w:rsidRDefault="00000000">
            <w:pPr>
              <w:cnfStyle w:val="000000000000" w:firstRow="0" w:lastRow="0" w:firstColumn="0" w:lastColumn="0" w:oddVBand="0" w:evenVBand="0" w:oddHBand="0" w:evenHBand="0" w:firstRowFirstColumn="0" w:firstRowLastColumn="0" w:lastRowFirstColumn="0" w:lastRowLastColumn="0"/>
            </w:pPr>
            <w:r>
              <w:t>LOW-MEDIUM</w:t>
            </w:r>
          </w:p>
        </w:tc>
        <w:tc>
          <w:tcPr>
            <w:tcW w:w="2880" w:type="dxa"/>
          </w:tcPr>
          <w:p w14:paraId="6B89879A" w14:textId="77777777" w:rsidR="000E34BF" w:rsidRDefault="00000000">
            <w:pPr>
              <w:cnfStyle w:val="000000000000" w:firstRow="0" w:lastRow="0" w:firstColumn="0" w:lastColumn="0" w:oddVBand="0" w:evenVBand="0" w:oddHBand="0" w:evenHBand="0" w:firstRowFirstColumn="0" w:firstRowLastColumn="0" w:lastRowFirstColumn="0" w:lastRowLastColumn="0"/>
            </w:pPr>
            <w:r>
              <w:t>Full conversion could create ~672M new H shares; anti-dilution clauses included</w:t>
            </w:r>
          </w:p>
        </w:tc>
      </w:tr>
    </w:tbl>
    <w:p w14:paraId="017B75C3" w14:textId="77777777" w:rsidR="000E34BF" w:rsidRDefault="00000000">
      <w:r>
        <w:br w:type="page"/>
      </w:r>
    </w:p>
    <w:p w14:paraId="78616A3E" w14:textId="77777777" w:rsidR="000E34BF" w:rsidRDefault="00000000">
      <w:pPr>
        <w:pStyle w:val="Heading1"/>
      </w:pPr>
      <w:r>
        <w:lastRenderedPageBreak/>
        <w:t>8. Scenario Analysis — Hold to Put (3 Years)</w:t>
      </w:r>
    </w:p>
    <w:p w14:paraId="4C35B367" w14:textId="77777777" w:rsidR="000E34BF" w:rsidRDefault="00000000">
      <w:r>
        <w:t>Assuming 0% coupon (worst case for coupon, best case for redemption premium), put price = 105.52%, per RMB 2,000,000 bond:</w:t>
      </w:r>
    </w:p>
    <w:tbl>
      <w:tblPr>
        <w:tblStyle w:val="LightList-Accent1"/>
        <w:tblW w:w="0" w:type="auto"/>
        <w:tblLook w:val="04A0" w:firstRow="1" w:lastRow="0" w:firstColumn="1" w:lastColumn="0" w:noHBand="0" w:noVBand="1"/>
      </w:tblPr>
      <w:tblGrid>
        <w:gridCol w:w="1728"/>
        <w:gridCol w:w="1728"/>
        <w:gridCol w:w="1728"/>
        <w:gridCol w:w="1728"/>
        <w:gridCol w:w="1728"/>
      </w:tblGrid>
      <w:tr w:rsidR="000E34BF" w14:paraId="3C91F4B4"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304491" w14:textId="77777777" w:rsidR="000E34BF" w:rsidRDefault="00000000">
            <w:r>
              <w:t>Scenario</w:t>
            </w:r>
          </w:p>
        </w:tc>
        <w:tc>
          <w:tcPr>
            <w:tcW w:w="1728" w:type="dxa"/>
          </w:tcPr>
          <w:p w14:paraId="2DC359D3" w14:textId="77777777" w:rsidR="000E34BF" w:rsidRDefault="00000000">
            <w:pPr>
              <w:cnfStyle w:val="100000000000" w:firstRow="1" w:lastRow="0" w:firstColumn="0" w:lastColumn="0" w:oddVBand="0" w:evenVBand="0" w:oddHBand="0" w:evenHBand="0" w:firstRowFirstColumn="0" w:firstRowLastColumn="0" w:lastRowFirstColumn="0" w:lastRowLastColumn="0"/>
            </w:pPr>
            <w:r>
              <w:t>USDCNH at Put</w:t>
            </w:r>
          </w:p>
        </w:tc>
        <w:tc>
          <w:tcPr>
            <w:tcW w:w="1728" w:type="dxa"/>
          </w:tcPr>
          <w:p w14:paraId="3A59C3C0" w14:textId="77777777" w:rsidR="000E34BF" w:rsidRDefault="00000000">
            <w:pPr>
              <w:cnfStyle w:val="100000000000" w:firstRow="1" w:lastRow="0" w:firstColumn="0" w:lastColumn="0" w:oddVBand="0" w:evenVBand="0" w:oddHBand="0" w:evenHBand="0" w:firstRowFirstColumn="0" w:firstRowLastColumn="0" w:lastRowFirstColumn="0" w:lastRowLastColumn="0"/>
            </w:pPr>
            <w:r>
              <w:t>RMB Proceeds</w:t>
            </w:r>
          </w:p>
        </w:tc>
        <w:tc>
          <w:tcPr>
            <w:tcW w:w="1728" w:type="dxa"/>
          </w:tcPr>
          <w:p w14:paraId="20B77D43" w14:textId="77777777" w:rsidR="000E34BF" w:rsidRDefault="00000000">
            <w:pPr>
              <w:cnfStyle w:val="100000000000" w:firstRow="1" w:lastRow="0" w:firstColumn="0" w:lastColumn="0" w:oddVBand="0" w:evenVBand="0" w:oddHBand="0" w:evenHBand="0" w:firstRowFirstColumn="0" w:firstRowLastColumn="0" w:lastRowFirstColumn="0" w:lastRowLastColumn="0"/>
            </w:pPr>
            <w:r>
              <w:t>USD Proceeds</w:t>
            </w:r>
          </w:p>
        </w:tc>
        <w:tc>
          <w:tcPr>
            <w:tcW w:w="1728" w:type="dxa"/>
          </w:tcPr>
          <w:p w14:paraId="3A4D2505" w14:textId="77777777" w:rsidR="000E34BF" w:rsidRDefault="00000000">
            <w:pPr>
              <w:cnfStyle w:val="100000000000" w:firstRow="1" w:lastRow="0" w:firstColumn="0" w:lastColumn="0" w:oddVBand="0" w:evenVBand="0" w:oddHBand="0" w:evenHBand="0" w:firstRowFirstColumn="0" w:firstRowLastColumn="0" w:lastRowFirstColumn="0" w:lastRowLastColumn="0"/>
            </w:pPr>
            <w:r>
              <w:t>USD Return</w:t>
            </w:r>
          </w:p>
        </w:tc>
      </w:tr>
      <w:tr w:rsidR="000E34BF" w14:paraId="494C6523"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656698" w14:textId="77777777" w:rsidR="000E34BF" w:rsidRDefault="00000000">
            <w:r>
              <w:t>CNH strengthens</w:t>
            </w:r>
          </w:p>
        </w:tc>
        <w:tc>
          <w:tcPr>
            <w:tcW w:w="1728" w:type="dxa"/>
          </w:tcPr>
          <w:p w14:paraId="3B1DC0D1" w14:textId="77777777" w:rsidR="000E34BF" w:rsidRDefault="00000000">
            <w:pPr>
              <w:cnfStyle w:val="000000100000" w:firstRow="0" w:lastRow="0" w:firstColumn="0" w:lastColumn="0" w:oddVBand="0" w:evenVBand="0" w:oddHBand="1" w:evenHBand="0" w:firstRowFirstColumn="0" w:firstRowLastColumn="0" w:lastRowFirstColumn="0" w:lastRowLastColumn="0"/>
            </w:pPr>
            <w:r>
              <w:t>6.50</w:t>
            </w:r>
          </w:p>
        </w:tc>
        <w:tc>
          <w:tcPr>
            <w:tcW w:w="1728" w:type="dxa"/>
          </w:tcPr>
          <w:p w14:paraId="7F7AE578" w14:textId="77777777" w:rsidR="000E34BF" w:rsidRDefault="00000000">
            <w:pPr>
              <w:cnfStyle w:val="000000100000" w:firstRow="0" w:lastRow="0" w:firstColumn="0" w:lastColumn="0" w:oddVBand="0" w:evenVBand="0" w:oddHBand="1" w:evenHBand="0" w:firstRowFirstColumn="0" w:firstRowLastColumn="0" w:lastRowFirstColumn="0" w:lastRowLastColumn="0"/>
            </w:pPr>
            <w:r>
              <w:t>2,110,400</w:t>
            </w:r>
          </w:p>
        </w:tc>
        <w:tc>
          <w:tcPr>
            <w:tcW w:w="1728" w:type="dxa"/>
          </w:tcPr>
          <w:p w14:paraId="28C21ABD" w14:textId="77777777" w:rsidR="000E34BF" w:rsidRDefault="00000000">
            <w:pPr>
              <w:cnfStyle w:val="000000100000" w:firstRow="0" w:lastRow="0" w:firstColumn="0" w:lastColumn="0" w:oddVBand="0" w:evenVBand="0" w:oddHBand="1" w:evenHBand="0" w:firstRowFirstColumn="0" w:firstRowLastColumn="0" w:lastRowFirstColumn="0" w:lastRowLastColumn="0"/>
            </w:pPr>
            <w:r>
              <w:t>$324,677</w:t>
            </w:r>
          </w:p>
        </w:tc>
        <w:tc>
          <w:tcPr>
            <w:tcW w:w="1728" w:type="dxa"/>
          </w:tcPr>
          <w:p w14:paraId="39889F19" w14:textId="77777777" w:rsidR="000E34BF" w:rsidRDefault="00000000">
            <w:pPr>
              <w:cnfStyle w:val="000000100000" w:firstRow="0" w:lastRow="0" w:firstColumn="0" w:lastColumn="0" w:oddVBand="0" w:evenVBand="0" w:oddHBand="1" w:evenHBand="0" w:firstRowFirstColumn="0" w:firstRowLastColumn="0" w:lastRowFirstColumn="0" w:lastRowLastColumn="0"/>
            </w:pPr>
            <w:r>
              <w:t>+12.6%</w:t>
            </w:r>
          </w:p>
        </w:tc>
      </w:tr>
      <w:tr w:rsidR="000E34BF" w14:paraId="41D27F55" w14:textId="77777777" w:rsidTr="000E34BF">
        <w:tc>
          <w:tcPr>
            <w:cnfStyle w:val="001000000000" w:firstRow="0" w:lastRow="0" w:firstColumn="1" w:lastColumn="0" w:oddVBand="0" w:evenVBand="0" w:oddHBand="0" w:evenHBand="0" w:firstRowFirstColumn="0" w:firstRowLastColumn="0" w:lastRowFirstColumn="0" w:lastRowLastColumn="0"/>
            <w:tcW w:w="1728" w:type="dxa"/>
          </w:tcPr>
          <w:p w14:paraId="12D0CE81" w14:textId="77777777" w:rsidR="000E34BF" w:rsidRDefault="00000000">
            <w:r>
              <w:t>FX unchanged</w:t>
            </w:r>
          </w:p>
        </w:tc>
        <w:tc>
          <w:tcPr>
            <w:tcW w:w="1728" w:type="dxa"/>
          </w:tcPr>
          <w:p w14:paraId="6F8ED5B8" w14:textId="77777777" w:rsidR="000E34BF" w:rsidRDefault="00000000">
            <w:pPr>
              <w:cnfStyle w:val="000000000000" w:firstRow="0" w:lastRow="0" w:firstColumn="0" w:lastColumn="0" w:oddVBand="0" w:evenVBand="0" w:oddHBand="0" w:evenHBand="0" w:firstRowFirstColumn="0" w:firstRowLastColumn="0" w:lastRowFirstColumn="0" w:lastRowLastColumn="0"/>
            </w:pPr>
            <w:r>
              <w:t>6.94</w:t>
            </w:r>
          </w:p>
        </w:tc>
        <w:tc>
          <w:tcPr>
            <w:tcW w:w="1728" w:type="dxa"/>
          </w:tcPr>
          <w:p w14:paraId="55A9F026" w14:textId="77777777" w:rsidR="000E34BF" w:rsidRDefault="00000000">
            <w:pPr>
              <w:cnfStyle w:val="000000000000" w:firstRow="0" w:lastRow="0" w:firstColumn="0" w:lastColumn="0" w:oddVBand="0" w:evenVBand="0" w:oddHBand="0" w:evenHBand="0" w:firstRowFirstColumn="0" w:firstRowLastColumn="0" w:lastRowFirstColumn="0" w:lastRowLastColumn="0"/>
            </w:pPr>
            <w:r>
              <w:t>2,110,400</w:t>
            </w:r>
          </w:p>
        </w:tc>
        <w:tc>
          <w:tcPr>
            <w:tcW w:w="1728" w:type="dxa"/>
          </w:tcPr>
          <w:p w14:paraId="736EC8D4" w14:textId="77777777" w:rsidR="000E34BF" w:rsidRDefault="00000000">
            <w:pPr>
              <w:cnfStyle w:val="000000000000" w:firstRow="0" w:lastRow="0" w:firstColumn="0" w:lastColumn="0" w:oddVBand="0" w:evenVBand="0" w:oddHBand="0" w:evenHBand="0" w:firstRowFirstColumn="0" w:firstRowLastColumn="0" w:lastRowFirstColumn="0" w:lastRowLastColumn="0"/>
            </w:pPr>
            <w:r>
              <w:t>$304,094</w:t>
            </w:r>
          </w:p>
        </w:tc>
        <w:tc>
          <w:tcPr>
            <w:tcW w:w="1728" w:type="dxa"/>
          </w:tcPr>
          <w:p w14:paraId="7C1B63D9" w14:textId="77777777" w:rsidR="000E34BF" w:rsidRDefault="00000000">
            <w:pPr>
              <w:cnfStyle w:val="000000000000" w:firstRow="0" w:lastRow="0" w:firstColumn="0" w:lastColumn="0" w:oddVBand="0" w:evenVBand="0" w:oddHBand="0" w:evenHBand="0" w:firstRowFirstColumn="0" w:firstRowLastColumn="0" w:lastRowFirstColumn="0" w:lastRowLastColumn="0"/>
            </w:pPr>
            <w:r>
              <w:t>+5.5%</w:t>
            </w:r>
          </w:p>
        </w:tc>
      </w:tr>
      <w:tr w:rsidR="000E34BF" w14:paraId="2ACCBED4"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6BB153" w14:textId="77777777" w:rsidR="000E34BF" w:rsidRDefault="00000000">
            <w:r>
              <w:t>Mild CNH weakening</w:t>
            </w:r>
          </w:p>
        </w:tc>
        <w:tc>
          <w:tcPr>
            <w:tcW w:w="1728" w:type="dxa"/>
          </w:tcPr>
          <w:p w14:paraId="157EA801" w14:textId="77777777" w:rsidR="000E34BF" w:rsidRDefault="00000000">
            <w:pPr>
              <w:cnfStyle w:val="000000100000" w:firstRow="0" w:lastRow="0" w:firstColumn="0" w:lastColumn="0" w:oddVBand="0" w:evenVBand="0" w:oddHBand="1" w:evenHBand="0" w:firstRowFirstColumn="0" w:firstRowLastColumn="0" w:lastRowFirstColumn="0" w:lastRowLastColumn="0"/>
            </w:pPr>
            <w:r>
              <w:t>7.30</w:t>
            </w:r>
          </w:p>
        </w:tc>
        <w:tc>
          <w:tcPr>
            <w:tcW w:w="1728" w:type="dxa"/>
          </w:tcPr>
          <w:p w14:paraId="36FFE297" w14:textId="77777777" w:rsidR="000E34BF" w:rsidRDefault="00000000">
            <w:pPr>
              <w:cnfStyle w:val="000000100000" w:firstRow="0" w:lastRow="0" w:firstColumn="0" w:lastColumn="0" w:oddVBand="0" w:evenVBand="0" w:oddHBand="1" w:evenHBand="0" w:firstRowFirstColumn="0" w:firstRowLastColumn="0" w:lastRowFirstColumn="0" w:lastRowLastColumn="0"/>
            </w:pPr>
            <w:r>
              <w:t>2,110,400</w:t>
            </w:r>
          </w:p>
        </w:tc>
        <w:tc>
          <w:tcPr>
            <w:tcW w:w="1728" w:type="dxa"/>
          </w:tcPr>
          <w:p w14:paraId="11A4857D" w14:textId="77777777" w:rsidR="000E34BF" w:rsidRDefault="00000000">
            <w:pPr>
              <w:cnfStyle w:val="000000100000" w:firstRow="0" w:lastRow="0" w:firstColumn="0" w:lastColumn="0" w:oddVBand="0" w:evenVBand="0" w:oddHBand="1" w:evenHBand="0" w:firstRowFirstColumn="0" w:firstRowLastColumn="0" w:lastRowFirstColumn="0" w:lastRowLastColumn="0"/>
            </w:pPr>
            <w:r>
              <w:t>$289,096</w:t>
            </w:r>
          </w:p>
        </w:tc>
        <w:tc>
          <w:tcPr>
            <w:tcW w:w="1728" w:type="dxa"/>
          </w:tcPr>
          <w:p w14:paraId="6FA1BC96" w14:textId="77777777" w:rsidR="000E34BF" w:rsidRDefault="00000000">
            <w:pPr>
              <w:cnfStyle w:val="000000100000" w:firstRow="0" w:lastRow="0" w:firstColumn="0" w:lastColumn="0" w:oddVBand="0" w:evenVBand="0" w:oddHBand="1" w:evenHBand="0" w:firstRowFirstColumn="0" w:firstRowLastColumn="0" w:lastRowFirstColumn="0" w:lastRowLastColumn="0"/>
            </w:pPr>
            <w:r>
              <w:t>+0.3%</w:t>
            </w:r>
          </w:p>
        </w:tc>
      </w:tr>
      <w:tr w:rsidR="000E34BF" w14:paraId="6306C539" w14:textId="77777777" w:rsidTr="000E34BF">
        <w:tc>
          <w:tcPr>
            <w:cnfStyle w:val="001000000000" w:firstRow="0" w:lastRow="0" w:firstColumn="1" w:lastColumn="0" w:oddVBand="0" w:evenVBand="0" w:oddHBand="0" w:evenHBand="0" w:firstRowFirstColumn="0" w:firstRowLastColumn="0" w:lastRowFirstColumn="0" w:lastRowLastColumn="0"/>
            <w:tcW w:w="1728" w:type="dxa"/>
          </w:tcPr>
          <w:p w14:paraId="0BC19A12" w14:textId="77777777" w:rsidR="000E34BF" w:rsidRDefault="00000000">
            <w:r>
              <w:t>CNH weakens</w:t>
            </w:r>
          </w:p>
        </w:tc>
        <w:tc>
          <w:tcPr>
            <w:tcW w:w="1728" w:type="dxa"/>
          </w:tcPr>
          <w:p w14:paraId="1D4049DB" w14:textId="77777777" w:rsidR="000E34BF" w:rsidRDefault="00000000">
            <w:pPr>
              <w:cnfStyle w:val="000000000000" w:firstRow="0" w:lastRow="0" w:firstColumn="0" w:lastColumn="0" w:oddVBand="0" w:evenVBand="0" w:oddHBand="0" w:evenHBand="0" w:firstRowFirstColumn="0" w:firstRowLastColumn="0" w:lastRowFirstColumn="0" w:lastRowLastColumn="0"/>
            </w:pPr>
            <w:r>
              <w:t>7.60</w:t>
            </w:r>
          </w:p>
        </w:tc>
        <w:tc>
          <w:tcPr>
            <w:tcW w:w="1728" w:type="dxa"/>
          </w:tcPr>
          <w:p w14:paraId="465E1B91" w14:textId="77777777" w:rsidR="000E34BF" w:rsidRDefault="00000000">
            <w:pPr>
              <w:cnfStyle w:val="000000000000" w:firstRow="0" w:lastRow="0" w:firstColumn="0" w:lastColumn="0" w:oddVBand="0" w:evenVBand="0" w:oddHBand="0" w:evenHBand="0" w:firstRowFirstColumn="0" w:firstRowLastColumn="0" w:lastRowFirstColumn="0" w:lastRowLastColumn="0"/>
            </w:pPr>
            <w:r>
              <w:t>2,110,400</w:t>
            </w:r>
          </w:p>
        </w:tc>
        <w:tc>
          <w:tcPr>
            <w:tcW w:w="1728" w:type="dxa"/>
          </w:tcPr>
          <w:p w14:paraId="23546EAE" w14:textId="77777777" w:rsidR="000E34BF" w:rsidRDefault="00000000">
            <w:pPr>
              <w:cnfStyle w:val="000000000000" w:firstRow="0" w:lastRow="0" w:firstColumn="0" w:lastColumn="0" w:oddVBand="0" w:evenVBand="0" w:oddHBand="0" w:evenHBand="0" w:firstRowFirstColumn="0" w:firstRowLastColumn="0" w:lastRowFirstColumn="0" w:lastRowLastColumn="0"/>
            </w:pPr>
            <w:r>
              <w:t>$277,684</w:t>
            </w:r>
          </w:p>
        </w:tc>
        <w:tc>
          <w:tcPr>
            <w:tcW w:w="1728" w:type="dxa"/>
          </w:tcPr>
          <w:p w14:paraId="7926DD5A" w14:textId="77777777" w:rsidR="000E34BF" w:rsidRDefault="00000000">
            <w:pPr>
              <w:cnfStyle w:val="000000000000" w:firstRow="0" w:lastRow="0" w:firstColumn="0" w:lastColumn="0" w:oddVBand="0" w:evenVBand="0" w:oddHBand="0" w:evenHBand="0" w:firstRowFirstColumn="0" w:firstRowLastColumn="0" w:lastRowFirstColumn="0" w:lastRowLastColumn="0"/>
            </w:pPr>
            <w:r>
              <w:t>-3.6%</w:t>
            </w:r>
          </w:p>
        </w:tc>
      </w:tr>
    </w:tbl>
    <w:p w14:paraId="15C8FB8B" w14:textId="77777777" w:rsidR="000E34BF" w:rsidRDefault="000E34BF"/>
    <w:p w14:paraId="5A66C32F" w14:textId="77777777" w:rsidR="000E34BF" w:rsidRDefault="00000000">
      <w:r>
        <w:t>Initial investment at USDCNH 6.9391: RMB 2,000,000 / 6.9391 = US$288,226</w:t>
      </w:r>
    </w:p>
    <w:p w14:paraId="335ACB0D" w14:textId="77777777" w:rsidR="000E34BF" w:rsidRDefault="00000000">
      <w:r>
        <w:t>Key takeaway: A ~5% CNH depreciation over 3 years completely eliminates the bond floor yield. The bondholder is effectively making a bet on CNH stability or appreciation alongside the equity conversion option.</w:t>
      </w:r>
    </w:p>
    <w:p w14:paraId="3D2C778E" w14:textId="77777777" w:rsidR="000E34BF" w:rsidRDefault="00000000">
      <w:r>
        <w:br w:type="page"/>
      </w:r>
    </w:p>
    <w:p w14:paraId="6DF36783" w14:textId="77777777" w:rsidR="000E34BF" w:rsidRDefault="00000000">
      <w:pPr>
        <w:pStyle w:val="Heading1"/>
      </w:pPr>
      <w:r>
        <w:lastRenderedPageBreak/>
        <w:t>9. Structural Summary</w:t>
      </w:r>
    </w:p>
    <w:p w14:paraId="2DD70021" w14:textId="77777777" w:rsidR="000E34BF" w:rsidRDefault="00000000">
      <w:pPr>
        <w:pStyle w:val="Heading2"/>
      </w:pPr>
      <w:r>
        <w:t>Cash Flow Timeline</w:t>
      </w:r>
    </w:p>
    <w:tbl>
      <w:tblPr>
        <w:tblStyle w:val="LightList-Accent1"/>
        <w:tblW w:w="0" w:type="auto"/>
        <w:tblLook w:val="04A0" w:firstRow="1" w:lastRow="0" w:firstColumn="1" w:lastColumn="0" w:noHBand="0" w:noVBand="1"/>
      </w:tblPr>
      <w:tblGrid>
        <w:gridCol w:w="2880"/>
        <w:gridCol w:w="2880"/>
        <w:gridCol w:w="2880"/>
      </w:tblGrid>
      <w:tr w:rsidR="000E34BF" w14:paraId="4055E079" w14:textId="77777777" w:rsidTr="000E3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CCF6D" w14:textId="77777777" w:rsidR="000E34BF" w:rsidRDefault="00000000">
            <w:r>
              <w:t>Date</w:t>
            </w:r>
          </w:p>
        </w:tc>
        <w:tc>
          <w:tcPr>
            <w:tcW w:w="2880" w:type="dxa"/>
          </w:tcPr>
          <w:p w14:paraId="4E1E4F7B" w14:textId="77777777" w:rsidR="000E34BF" w:rsidRDefault="00000000">
            <w:pPr>
              <w:cnfStyle w:val="100000000000" w:firstRow="1" w:lastRow="0" w:firstColumn="0" w:lastColumn="0" w:oddVBand="0" w:evenVBand="0" w:oddHBand="0" w:evenHBand="0" w:firstRowFirstColumn="0" w:firstRowLastColumn="0" w:lastRowFirstColumn="0" w:lastRowLastColumn="0"/>
            </w:pPr>
            <w:r>
              <w:t>Event</w:t>
            </w:r>
          </w:p>
        </w:tc>
        <w:tc>
          <w:tcPr>
            <w:tcW w:w="2880" w:type="dxa"/>
          </w:tcPr>
          <w:p w14:paraId="7BDBF513" w14:textId="77777777" w:rsidR="000E34BF" w:rsidRDefault="00000000">
            <w:pPr>
              <w:cnfStyle w:val="100000000000" w:firstRow="1" w:lastRow="0" w:firstColumn="0" w:lastColumn="0" w:oddVBand="0" w:evenVBand="0" w:oddHBand="0" w:evenHBand="0" w:firstRowFirstColumn="0" w:firstRowLastColumn="0" w:lastRowFirstColumn="0" w:lastRowLastColumn="0"/>
            </w:pPr>
            <w:r>
              <w:t>Details</w:t>
            </w:r>
          </w:p>
        </w:tc>
      </w:tr>
      <w:tr w:rsidR="000E34BF" w14:paraId="3D73BE1B"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91647D" w14:textId="77777777" w:rsidR="000E34BF" w:rsidRDefault="00000000">
            <w:r>
              <w:t>Jan 28, 2026</w:t>
            </w:r>
          </w:p>
        </w:tc>
        <w:tc>
          <w:tcPr>
            <w:tcW w:w="2880" w:type="dxa"/>
          </w:tcPr>
          <w:p w14:paraId="19C8E3C8" w14:textId="77777777" w:rsidR="000E34BF" w:rsidRDefault="00000000">
            <w:pPr>
              <w:cnfStyle w:val="000000100000" w:firstRow="0" w:lastRow="0" w:firstColumn="0" w:lastColumn="0" w:oddVBand="0" w:evenVBand="0" w:oddHBand="1" w:evenHBand="0" w:firstRowFirstColumn="0" w:firstRowLastColumn="0" w:lastRowFirstColumn="0" w:lastRowLastColumn="0"/>
            </w:pPr>
            <w:r>
              <w:t>Pricing</w:t>
            </w:r>
          </w:p>
        </w:tc>
        <w:tc>
          <w:tcPr>
            <w:tcW w:w="2880" w:type="dxa"/>
          </w:tcPr>
          <w:p w14:paraId="4AD7375D" w14:textId="77777777" w:rsidR="000E34BF" w:rsidRDefault="00000000">
            <w:pPr>
              <w:cnfStyle w:val="000000100000" w:firstRow="0" w:lastRow="0" w:firstColumn="0" w:lastColumn="0" w:oddVBand="0" w:evenVBand="0" w:oddHBand="1" w:evenHBand="0" w:firstRowFirstColumn="0" w:firstRowLastColumn="0" w:lastRowFirstColumn="0" w:lastRowLastColumn="0"/>
            </w:pPr>
            <w:r>
              <w:t>FX rates fixed; conversion price set at HK$10.02</w:t>
            </w:r>
          </w:p>
        </w:tc>
      </w:tr>
      <w:tr w:rsidR="000E34BF" w14:paraId="034B0439" w14:textId="77777777" w:rsidTr="000E34BF">
        <w:tc>
          <w:tcPr>
            <w:cnfStyle w:val="001000000000" w:firstRow="0" w:lastRow="0" w:firstColumn="1" w:lastColumn="0" w:oddVBand="0" w:evenVBand="0" w:oddHBand="0" w:evenHBand="0" w:firstRowFirstColumn="0" w:firstRowLastColumn="0" w:lastRowFirstColumn="0" w:lastRowLastColumn="0"/>
            <w:tcW w:w="2880" w:type="dxa"/>
          </w:tcPr>
          <w:p w14:paraId="1C50EB0D" w14:textId="77777777" w:rsidR="000E34BF" w:rsidRDefault="00000000">
            <w:r>
              <w:t>Feb 5, 2026</w:t>
            </w:r>
          </w:p>
        </w:tc>
        <w:tc>
          <w:tcPr>
            <w:tcW w:w="2880" w:type="dxa"/>
          </w:tcPr>
          <w:p w14:paraId="67561202" w14:textId="77777777" w:rsidR="000E34BF" w:rsidRDefault="00000000">
            <w:pPr>
              <w:cnfStyle w:val="000000000000" w:firstRow="0" w:lastRow="0" w:firstColumn="0" w:lastColumn="0" w:oddVBand="0" w:evenVBand="0" w:oddHBand="0" w:evenHBand="0" w:firstRowFirstColumn="0" w:firstRowLastColumn="0" w:lastRowFirstColumn="0" w:lastRowLastColumn="0"/>
            </w:pPr>
            <w:r>
              <w:t>Settlement</w:t>
            </w:r>
          </w:p>
        </w:tc>
        <w:tc>
          <w:tcPr>
            <w:tcW w:w="2880" w:type="dxa"/>
          </w:tcPr>
          <w:p w14:paraId="6BFDD115" w14:textId="77777777" w:rsidR="000E34BF" w:rsidRDefault="00000000">
            <w:pPr>
              <w:cnfStyle w:val="000000000000" w:firstRow="0" w:lastRow="0" w:firstColumn="0" w:lastColumn="0" w:oddVBand="0" w:evenVBand="0" w:oddHBand="0" w:evenHBand="0" w:firstRowFirstColumn="0" w:firstRowLastColumn="0" w:lastRowFirstColumn="0" w:lastRowLastColumn="0"/>
            </w:pPr>
            <w:r>
              <w:t>Bonds delivered via Euroclear/Clearstream</w:t>
            </w:r>
          </w:p>
        </w:tc>
      </w:tr>
      <w:tr w:rsidR="000E34BF" w14:paraId="3943ACCE"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DC044" w14:textId="77777777" w:rsidR="000E34BF" w:rsidRDefault="00000000">
            <w:r>
              <w:t>~Mar 18, 2026</w:t>
            </w:r>
          </w:p>
        </w:tc>
        <w:tc>
          <w:tcPr>
            <w:tcW w:w="2880" w:type="dxa"/>
          </w:tcPr>
          <w:p w14:paraId="0EF5EE70" w14:textId="77777777" w:rsidR="000E34BF" w:rsidRDefault="00000000">
            <w:pPr>
              <w:cnfStyle w:val="000000100000" w:firstRow="0" w:lastRow="0" w:firstColumn="0" w:lastColumn="0" w:oddVBand="0" w:evenVBand="0" w:oddHBand="1" w:evenHBand="0" w:firstRowFirstColumn="0" w:firstRowLastColumn="0" w:lastRowFirstColumn="0" w:lastRowLastColumn="0"/>
            </w:pPr>
            <w:r>
              <w:t>Conversion opens</w:t>
            </w:r>
          </w:p>
        </w:tc>
        <w:tc>
          <w:tcPr>
            <w:tcW w:w="2880" w:type="dxa"/>
          </w:tcPr>
          <w:p w14:paraId="0BC9014D" w14:textId="77777777" w:rsidR="000E34BF" w:rsidRDefault="00000000">
            <w:pPr>
              <w:cnfStyle w:val="000000100000" w:firstRow="0" w:lastRow="0" w:firstColumn="0" w:lastColumn="0" w:oddVBand="0" w:evenVBand="0" w:oddHBand="1" w:evenHBand="0" w:firstRowFirstColumn="0" w:firstRowLastColumn="0" w:lastRowFirstColumn="0" w:lastRowLastColumn="0"/>
            </w:pPr>
            <w:r>
              <w:t>41 days after closing; can convert into 1157 HK</w:t>
            </w:r>
          </w:p>
        </w:tc>
      </w:tr>
      <w:tr w:rsidR="000E34BF" w14:paraId="3B7D88BB" w14:textId="77777777" w:rsidTr="000E34BF">
        <w:tc>
          <w:tcPr>
            <w:cnfStyle w:val="001000000000" w:firstRow="0" w:lastRow="0" w:firstColumn="1" w:lastColumn="0" w:oddVBand="0" w:evenVBand="0" w:oddHBand="0" w:evenHBand="0" w:firstRowFirstColumn="0" w:firstRowLastColumn="0" w:lastRowFirstColumn="0" w:lastRowLastColumn="0"/>
            <w:tcW w:w="2880" w:type="dxa"/>
          </w:tcPr>
          <w:p w14:paraId="74493FC3" w14:textId="77777777" w:rsidR="000E34BF" w:rsidRDefault="00000000">
            <w:r>
              <w:t>Feb 19, 2028</w:t>
            </w:r>
          </w:p>
        </w:tc>
        <w:tc>
          <w:tcPr>
            <w:tcW w:w="2880" w:type="dxa"/>
          </w:tcPr>
          <w:p w14:paraId="39200F61" w14:textId="77777777" w:rsidR="000E34BF" w:rsidRDefault="00000000">
            <w:pPr>
              <w:cnfStyle w:val="000000000000" w:firstRow="0" w:lastRow="0" w:firstColumn="0" w:lastColumn="0" w:oddVBand="0" w:evenVBand="0" w:oddHBand="0" w:evenHBand="0" w:firstRowFirstColumn="0" w:firstRowLastColumn="0" w:lastRowFirstColumn="0" w:lastRowLastColumn="0"/>
            </w:pPr>
            <w:r>
              <w:t>Issuer call enabled</w:t>
            </w:r>
          </w:p>
        </w:tc>
        <w:tc>
          <w:tcPr>
            <w:tcW w:w="2880" w:type="dxa"/>
          </w:tcPr>
          <w:p w14:paraId="1DFAD9AD" w14:textId="77777777" w:rsidR="000E34BF" w:rsidRDefault="00000000">
            <w:pPr>
              <w:cnfStyle w:val="000000000000" w:firstRow="0" w:lastRow="0" w:firstColumn="0" w:lastColumn="0" w:oddVBand="0" w:evenVBand="0" w:oddHBand="0" w:evenHBand="0" w:firstRowFirstColumn="0" w:firstRowLastColumn="0" w:lastRowFirstColumn="0" w:lastRowLastColumn="0"/>
            </w:pPr>
            <w:r>
              <w:t>Soft call at 130% trigger (in RMB terms)</w:t>
            </w:r>
          </w:p>
        </w:tc>
      </w:tr>
      <w:tr w:rsidR="000E34BF" w14:paraId="7C8F6107" w14:textId="77777777" w:rsidTr="000E3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34154" w14:textId="77777777" w:rsidR="000E34BF" w:rsidRDefault="00000000">
            <w:r>
              <w:t>Feb 5, 2029</w:t>
            </w:r>
          </w:p>
        </w:tc>
        <w:tc>
          <w:tcPr>
            <w:tcW w:w="2880" w:type="dxa"/>
          </w:tcPr>
          <w:p w14:paraId="641E13B9" w14:textId="77777777" w:rsidR="000E34BF" w:rsidRDefault="00000000">
            <w:pPr>
              <w:cnfStyle w:val="000000100000" w:firstRow="0" w:lastRow="0" w:firstColumn="0" w:lastColumn="0" w:oddVBand="0" w:evenVBand="0" w:oddHBand="1" w:evenHBand="0" w:firstRowFirstColumn="0" w:firstRowLastColumn="0" w:lastRowFirstColumn="0" w:lastRowLastColumn="0"/>
            </w:pPr>
            <w:r>
              <w:t>Bondholder put</w:t>
            </w:r>
          </w:p>
        </w:tc>
        <w:tc>
          <w:tcPr>
            <w:tcW w:w="2880" w:type="dxa"/>
          </w:tcPr>
          <w:p w14:paraId="70E782BC" w14:textId="77777777" w:rsidR="000E34BF" w:rsidRDefault="00000000">
            <w:pPr>
              <w:cnfStyle w:val="000000100000" w:firstRow="0" w:lastRow="0" w:firstColumn="0" w:lastColumn="0" w:oddVBand="0" w:evenVBand="0" w:oddHBand="1" w:evenHBand="0" w:firstRowFirstColumn="0" w:firstRowLastColumn="0" w:lastRowFirstColumn="0" w:lastRowLastColumn="0"/>
            </w:pPr>
            <w:r>
              <w:t>Put at 103.22–105.52% (RMB), settled in USD at prevailing FX</w:t>
            </w:r>
          </w:p>
        </w:tc>
      </w:tr>
    </w:tbl>
    <w:p w14:paraId="238A37C4" w14:textId="77777777" w:rsidR="000E34BF" w:rsidRDefault="00000000">
      <w:pPr>
        <w:pStyle w:val="Heading2"/>
      </w:pPr>
      <w:r>
        <w:t>What You Own (Decomposition)</w:t>
      </w:r>
    </w:p>
    <w:p w14:paraId="088A152D" w14:textId="77777777" w:rsidR="000E34BF" w:rsidRDefault="00000000">
      <w:r>
        <w:t>A long position in this CB can be decomposed into:</w:t>
      </w:r>
    </w:p>
    <w:p w14:paraId="345B10F4" w14:textId="77777777" w:rsidR="000E34BF" w:rsidRDefault="00000000">
      <w:pPr>
        <w:pStyle w:val="ListNumber"/>
      </w:pPr>
      <w:r>
        <w:t>A 3-year RMB-denominated credit bond on Zoomlion (yielding 1.80% in RMB, puttable at Year 3)</w:t>
      </w:r>
    </w:p>
    <w:p w14:paraId="24A61D8F" w14:textId="77777777" w:rsidR="000E34BF" w:rsidRDefault="00000000">
      <w:pPr>
        <w:pStyle w:val="ListNumber"/>
      </w:pPr>
      <w:r>
        <w:t>A long call option on 1157 HK H shares (at HK$10.02 strike, ~5-year expiry)</w:t>
      </w:r>
    </w:p>
    <w:p w14:paraId="13C8C447" w14:textId="77777777" w:rsidR="000E34BF" w:rsidRDefault="00000000">
      <w:pPr>
        <w:pStyle w:val="ListNumber"/>
      </w:pPr>
      <w:r>
        <w:t>A short USDCNH position (you are long RMB, short USD on all bond cash flows)</w:t>
      </w:r>
    </w:p>
    <w:p w14:paraId="181E9CA8" w14:textId="77777777" w:rsidR="000E34BF" w:rsidRDefault="00000000">
      <w:pPr>
        <w:pStyle w:val="ListNumber"/>
      </w:pPr>
      <w:r>
        <w:t>A short issuer call option (issuer can call after Year 2 at 130% trigger)</w:t>
      </w:r>
    </w:p>
    <w:p w14:paraId="696C89BC" w14:textId="77777777" w:rsidR="000E34BF" w:rsidRDefault="000E34BF"/>
    <w:p w14:paraId="03ECCDB0" w14:textId="77777777" w:rsidR="000E34BF" w:rsidRDefault="00000000">
      <w:r>
        <w:t>This decomposition highlights why FX is the dominant risk factor — component #3 means you are inherently taking a view on CNH by owning this bond.</w:t>
      </w:r>
    </w:p>
    <w:sectPr w:rsidR="000E34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025031">
    <w:abstractNumId w:val="8"/>
  </w:num>
  <w:num w:numId="2" w16cid:durableId="1517042179">
    <w:abstractNumId w:val="6"/>
  </w:num>
  <w:num w:numId="3" w16cid:durableId="841555299">
    <w:abstractNumId w:val="5"/>
  </w:num>
  <w:num w:numId="4" w16cid:durableId="2017806930">
    <w:abstractNumId w:val="4"/>
  </w:num>
  <w:num w:numId="5" w16cid:durableId="1390417200">
    <w:abstractNumId w:val="7"/>
  </w:num>
  <w:num w:numId="6" w16cid:durableId="999651891">
    <w:abstractNumId w:val="3"/>
  </w:num>
  <w:num w:numId="7" w16cid:durableId="737171016">
    <w:abstractNumId w:val="2"/>
  </w:num>
  <w:num w:numId="8" w16cid:durableId="760026526">
    <w:abstractNumId w:val="1"/>
  </w:num>
  <w:num w:numId="9" w16cid:durableId="85466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4BF"/>
    <w:rsid w:val="00111131"/>
    <w:rsid w:val="0015074B"/>
    <w:rsid w:val="0029639D"/>
    <w:rsid w:val="00326F90"/>
    <w:rsid w:val="00840C0B"/>
    <w:rsid w:val="00AA1D8D"/>
    <w:rsid w:val="00B47730"/>
    <w:rsid w:val="00CB0664"/>
    <w:rsid w:val="00EB1B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DD5D2"/>
  <w14:defaultImageDpi w14:val="300"/>
  <w15:docId w15:val="{4FA9FC33-E475-4D67-B342-F7C1B5CBF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2477</Words>
  <Characters>12812</Characters>
  <Application>Microsoft Office Word</Application>
  <DocSecurity>0</DocSecurity>
  <Lines>457</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 Young Bang</cp:lastModifiedBy>
  <cp:revision>3</cp:revision>
  <dcterms:created xsi:type="dcterms:W3CDTF">2013-12-23T23:15:00Z</dcterms:created>
  <dcterms:modified xsi:type="dcterms:W3CDTF">2026-03-10T15:03:00Z</dcterms:modified>
  <cp:category/>
</cp:coreProperties>
</file>