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p>
    <w:p>
      <w:pPr>
        <w:spacing w:before="0" w:after="40"/>
      </w:pPr>
      <w:r>
        <w:rPr>
          <w:rFonts w:ascii="Arial" w:cs="Arial" w:eastAsia="Arial" w:hAnsi="Arial"/>
          <w:b/>
          <w:bCs/>
          <w:color w:val="1A2E4A"/>
          <w:sz w:val="46"/>
          <w:szCs w:val="46"/>
        </w:rPr>
        <w:t xml:space="preserve">ASIA CB STRUCTURE TYPES</w:t>
      </w:r>
    </w:p>
    <w:p>
      <w:pPr>
        <w:spacing w:before="0" w:after="60"/>
      </w:pPr>
      <w:r>
        <w:rPr>
          <w:rFonts w:ascii="Arial" w:cs="Arial" w:eastAsia="Arial" w:hAnsi="Arial"/>
          <w:b/>
          <w:bCs/>
          <w:color w:val="006D6D"/>
          <w:sz w:val="22"/>
          <w:szCs w:val="22"/>
        </w:rPr>
        <w:t xml:space="preserve">COMPO CB · FLEXI CB · CURRENCY LINKED CB</w:t>
      </w:r>
    </w:p>
    <w:p>
      <w:pPr>
        <w:pBdr>
          <w:bottom w:val="single" w:color="006D6D" w:sz="18"/>
        </w:pBdr>
        <w:spacing w:before="0" w:after="0"/>
      </w:pPr>
    </w:p>
    <w:p>
      <w:pPr>
        <w:spacing w:before="0" w:after="80"/>
      </w:pPr>
    </w:p>
    <w:p>
      <w:pPr>
        <w:spacing w:before="60" w:after="110"/>
      </w:pPr>
      <w:r>
        <w:rPr>
          <w:rFonts w:ascii="Arial" w:cs="Arial" w:eastAsia="Arial" w:hAnsi="Arial"/>
          <w:i/>
          <w:iCs/>
          <w:color w:val="475569"/>
          <w:sz w:val="20"/>
          <w:szCs w:val="20"/>
        </w:rPr>
        <w:t xml:space="preserve">This document explains the three principal cross-currency convertible bond structures used in Asia — Compo, Flexi, and Currency Linked — with a focus on how each structure is discounted, what rho sensitivities it carries, and how the bond floor is affected. Real bond examples are used for each type.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150"/>
              <w:left w:type="dxa" w:w="280"/>
              <w:bottom w:type="dxa" w:w="150"/>
              <w:right w:type="dxa" w:w="280"/>
            </w:tcMar>
          </w:tcPr>
          <w:p>
            <w:pPr>
              <w:jc w:val="center"/>
            </w:pPr>
            <w:r>
              <w:rPr>
                <w:rFonts w:ascii="Arial" w:cs="Arial" w:eastAsia="Arial" w:hAnsi="Arial"/>
                <w:b/>
                <w:bCs/>
                <w:color w:val="FFFFFF"/>
                <w:sz w:val="20"/>
                <w:szCs w:val="20"/>
              </w:rPr>
              <w:t xml:space="preserve">MASTER COMPARISON: THREE CB STRUCTURE TYPES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Property</w:t>
            </w:r>
          </w:p>
        </w:tc>
        <w:tc>
          <w:tcPr>
            <w:tcW w:type="dxa" w:w="238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Compo CB</w:t>
            </w:r>
          </w:p>
        </w:tc>
        <w:tc>
          <w:tcPr>
            <w:tcW w:type="dxa" w:w="238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Flexi CB</w:t>
            </w:r>
          </w:p>
        </w:tc>
        <w:tc>
          <w:tcPr>
            <w:tcW w:type="dxa" w:w="24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Currency Linked CB</w:t>
            </w:r>
          </w:p>
        </w:tc>
      </w:tr>
      <w:tr>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Example bond</w:t>
            </w:r>
          </w:p>
        </w:tc>
        <w:tc>
          <w:tcPr>
            <w:tcW w:type="dxa" w:w="2380"/>
            <w:tcBorders>
              <w:top w:val="none" w:color="FFFFFF" w:sz="0"/>
              <w:left w:val="none" w:color="FFFFFF" w:sz="0"/>
              <w:bottom w:val="single" w:color="CBD5E1" w:sz="4"/>
              <w:right w:val="none" w:color="FFFFFF" w:sz="0"/>
            </w:tcBorders>
            <w:shd w:fill="EFF6FF" w:val="clear"/>
            <w:tcMar>
              <w:top w:type="dxa" w:w="90"/>
              <w:left w:type="dxa" w:w="160"/>
              <w:bottom w:type="dxa" w:w="90"/>
              <w:right w:type="dxa" w:w="160"/>
            </w:tcMar>
          </w:tcPr>
          <w:p>
            <w:r>
              <w:rPr>
                <w:rFonts w:ascii="Arial" w:cs="Arial" w:eastAsia="Arial" w:hAnsi="Arial"/>
                <w:b/>
                <w:bCs/>
                <w:color w:val="1E3A5F"/>
                <w:sz w:val="18"/>
                <w:szCs w:val="18"/>
              </w:rPr>
              <w:t xml:space="preserve">Zhen Ding (4958.TT)</w:t>
            </w:r>
          </w:p>
        </w:tc>
        <w:tc>
          <w:tcPr>
            <w:tcW w:type="dxa" w:w="2380"/>
            <w:tcBorders>
              <w:top w:val="none" w:color="FFFFFF" w:sz="0"/>
              <w:left w:val="none" w:color="FFFFFF" w:sz="0"/>
              <w:bottom w:val="single" w:color="CBD5E1" w:sz="4"/>
              <w:right w:val="none" w:color="FFFFFF" w:sz="0"/>
            </w:tcBorders>
            <w:shd w:fill="F5F3FF" w:val="clear"/>
            <w:tcMar>
              <w:top w:type="dxa" w:w="90"/>
              <w:left w:type="dxa" w:w="160"/>
              <w:bottom w:type="dxa" w:w="90"/>
              <w:right w:type="dxa" w:w="160"/>
            </w:tcMar>
          </w:tcPr>
          <w:p>
            <w:r>
              <w:rPr>
                <w:rFonts w:ascii="Arial" w:cs="Arial" w:eastAsia="Arial" w:hAnsi="Arial"/>
                <w:b/>
                <w:bCs/>
                <w:color w:val="4C1D95"/>
                <w:sz w:val="18"/>
                <w:szCs w:val="18"/>
              </w:rPr>
              <w:t xml:space="preserve">HKEX (0388.HK)</w:t>
            </w:r>
          </w:p>
        </w:tc>
        <w:tc>
          <w:tcPr>
            <w:tcW w:type="dxa" w:w="2400"/>
            <w:tcBorders>
              <w:top w:val="none" w:color="FFFFFF" w:sz="0"/>
              <w:left w:val="none" w:color="FFFFFF" w:sz="0"/>
              <w:bottom w:val="single" w:color="CBD5E1" w:sz="4"/>
              <w:right w:val="none" w:color="FFFFFF" w:sz="0"/>
            </w:tcBorders>
            <w:shd w:fill="ECFDF5" w:val="clear"/>
            <w:tcMar>
              <w:top w:type="dxa" w:w="90"/>
              <w:left w:type="dxa" w:w="160"/>
              <w:bottom w:type="dxa" w:w="90"/>
              <w:right w:type="dxa" w:w="160"/>
            </w:tcMar>
          </w:tcPr>
          <w:p>
            <w:r>
              <w:rPr>
                <w:rFonts w:ascii="Arial" w:cs="Arial" w:eastAsia="Arial" w:hAnsi="Arial"/>
                <w:b/>
                <w:bCs/>
                <w:color w:val="064E3B"/>
                <w:sz w:val="18"/>
                <w:szCs w:val="18"/>
              </w:rPr>
              <w:t xml:space="preserve">Hon Hai 29 (2317.TT)</w:t>
            </w:r>
          </w:p>
        </w:tc>
      </w:tr>
      <w:tr>
        <w:tc>
          <w:tcPr>
            <w:tcW w:type="dxa" w:w="22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Bond currency</w:t>
            </w:r>
          </w:p>
        </w:tc>
        <w:tc>
          <w:tcPr>
            <w:tcW w:type="dxa" w:w="23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w:t>
            </w:r>
          </w:p>
        </w:tc>
        <w:tc>
          <w:tcPr>
            <w:tcW w:type="dxa" w:w="23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w:t>
            </w:r>
          </w:p>
        </w:tc>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w:t>
            </w:r>
          </w:p>
        </w:tc>
      </w:tr>
      <w:tr>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Equity / share currency</w:t>
            </w:r>
          </w:p>
        </w:tc>
        <w:tc>
          <w:tcPr>
            <w:tcW w:type="dxa" w:w="23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NTD</w:t>
            </w:r>
          </w:p>
        </w:tc>
        <w:tc>
          <w:tcPr>
            <w:tcW w:type="dxa" w:w="23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HKD</w:t>
            </w:r>
          </w:p>
        </w:tc>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NTD</w:t>
            </w:r>
          </w:p>
        </w:tc>
      </w:tr>
      <w:tr>
        <w:tc>
          <w:tcPr>
            <w:tcW w:type="dxa" w:w="22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FX rate at conversion</w:t>
            </w:r>
          </w:p>
        </w:tc>
        <w:tc>
          <w:tcPr>
            <w:tcW w:type="dxa" w:w="23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at issuance</w:t>
            </w:r>
          </w:p>
        </w:tc>
        <w:tc>
          <w:tcPr>
            <w:tcW w:type="dxa" w:w="23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SPOT at conversion</w:t>
            </w:r>
          </w:p>
        </w:tc>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at issuance</w:t>
            </w:r>
          </w:p>
        </w:tc>
      </w:tr>
      <w:tr>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Bond floor discount curve</w:t>
            </w:r>
          </w:p>
        </w:tc>
        <w:tc>
          <w:tcPr>
            <w:tcW w:type="dxa" w:w="23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curve</w:t>
            </w:r>
          </w:p>
        </w:tc>
        <w:tc>
          <w:tcPr>
            <w:tcW w:type="dxa" w:w="23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curve</w:t>
            </w:r>
          </w:p>
        </w:tc>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curve</w:t>
            </w:r>
          </w:p>
        </w:tc>
      </w:tr>
      <w:tr>
        <w:tc>
          <w:tcPr>
            <w:tcW w:type="dxa" w:w="22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Rho to local rates</w:t>
            </w:r>
          </w:p>
        </w:tc>
        <w:tc>
          <w:tcPr>
            <w:tcW w:type="dxa" w:w="23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CB is long local forward by delta amount</w:t>
            </w:r>
          </w:p>
        </w:tc>
        <w:tc>
          <w:tcPr>
            <w:tcW w:type="dxa" w:w="23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CB is long local forward by delta amount</w:t>
            </w:r>
          </w:p>
        </w:tc>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CB is long local forward by delta amount</w:t>
            </w:r>
          </w:p>
        </w:tc>
      </w:tr>
      <w:tr>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Rho to US rates</w:t>
            </w:r>
          </w:p>
        </w:tc>
        <w:tc>
          <w:tcPr>
            <w:tcW w:type="dxa" w:w="23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long rho of local rate vs US rate → long local FX forward</w:t>
            </w:r>
          </w:p>
        </w:tc>
        <w:tc>
          <w:tcPr>
            <w:tcW w:type="dxa" w:w="23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ZERO — no net rho to US rates</w:t>
            </w:r>
          </w:p>
        </w:tc>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ZERO — no net rho to US rates</w:t>
            </w:r>
          </w:p>
        </w:tc>
      </w:tr>
      <w:tr>
        <w:tc>
          <w:tcPr>
            <w:tcW w:type="dxa" w:w="22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Embedded FX forward</w:t>
            </w:r>
          </w:p>
        </w:tc>
        <w:tc>
          <w:tcPr>
            <w:tcW w:type="dxa" w:w="23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YES — delta amount of NTD NDF embedded</w:t>
            </w:r>
          </w:p>
        </w:tc>
        <w:tc>
          <w:tcPr>
            <w:tcW w:type="dxa" w:w="23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NO — FX risk resolved at spot at conversion</w:t>
            </w:r>
          </w:p>
        </w:tc>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YES — but structured to neutralise US rate sensitivity</w:t>
            </w:r>
          </w:p>
        </w:tc>
      </w:tr>
      <w:tr>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FX basis in valuation</w:t>
            </w:r>
          </w:p>
        </w:tc>
        <w:tc>
          <w:tcPr>
            <w:tcW w:type="dxa" w:w="23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Must bridge USD floor ↔ NTD equity using NDF-implied rate</w:t>
            </w:r>
          </w:p>
        </w:tc>
        <w:tc>
          <w:tcPr>
            <w:tcW w:type="dxa" w:w="23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No FX basis — USD bond converts at live spot</w:t>
            </w:r>
          </w:p>
        </w:tc>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rate bridges both sides; rho to US rates self-cancels</w:t>
            </w:r>
          </w:p>
        </w:tc>
      </w:tr>
    </w:tbl>
    <w:p>
      <w:pPr>
        <w:spacing w:before="0" w:after="120"/>
      </w:pPr>
    </w:p>
    <w:p>
      <w:pPr>
        <w:pStyle w:val="Heading1"/>
        <w:pBdr>
          <w:bottom w:val="single" w:color="006D6D" w:sz="10"/>
        </w:pBdr>
        <w:spacing w:before="400" w:after="160"/>
      </w:pPr>
      <w:r>
        <w:rPr>
          <w:rFonts w:ascii="Arial" w:cs="Arial" w:eastAsia="Arial" w:hAnsi="Arial"/>
          <w:b/>
          <w:bCs/>
          <w:color w:val="1A2E4A"/>
          <w:sz w:val="28"/>
          <w:szCs w:val="28"/>
        </w:rPr>
        <w:t xml:space="preserve">The Core Concept — Why CB Structure Type Matters for Rho</w:t>
      </w:r>
    </w:p>
    <w:p>
      <w:pPr>
        <w:spacing w:before="60" w:after="110"/>
      </w:pPr>
      <w:r>
        <w:rPr>
          <w:rFonts w:ascii="Arial" w:cs="Arial" w:eastAsia="Arial" w:hAnsi="Arial"/>
          <w:color w:val="1E293B"/>
          <w:sz w:val="20"/>
          <w:szCs w:val="20"/>
        </w:rPr>
        <w:t xml:space="preserve">All three CB structures share the same bond floor discount methodology: the zero-coupon USD redemption is discounted using the USD yield curve. This makes the bond floor sensitive to US rates in the same way for all three types.</w:t>
      </w:r>
    </w:p>
    <w:p>
      <w:pPr>
        <w:spacing w:before="60" w:after="110"/>
      </w:pPr>
      <w:r>
        <w:rPr>
          <w:rFonts w:ascii="Arial" w:cs="Arial" w:eastAsia="Arial" w:hAnsi="Arial"/>
          <w:color w:val="1E293B"/>
          <w:sz w:val="20"/>
          <w:szCs w:val="20"/>
        </w:rPr>
        <w:t xml:space="preserve">What differs is the EQUITY CONVERSION leg — specifically how the NTD or HKD equity payout is translated back into USD, and whether that translation mechanism embeds sensitivity to the relationship between local rates and US rates.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Component</w:t>
            </w:r>
          </w:p>
        </w:tc>
        <w:tc>
          <w:tcPr>
            <w:tcW w:type="dxa" w:w="18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Applies to</w:t>
            </w:r>
          </w:p>
        </w:tc>
        <w:tc>
          <w:tcPr>
            <w:tcW w:type="dxa" w:w="20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Discount Rate</w:t>
            </w:r>
          </w:p>
        </w:tc>
        <w:tc>
          <w:tcPr>
            <w:tcW w:type="dxa" w:w="31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What Changes Across Types</w:t>
            </w:r>
          </w:p>
        </w:tc>
      </w:tr>
      <w:tr>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Bond Floor (zero coupon PV)</w:t>
            </w:r>
          </w:p>
        </w:tc>
        <w:tc>
          <w:tcPr>
            <w:tcW w:type="dxa" w:w="1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All three</w:t>
            </w:r>
          </w:p>
        </w:tc>
        <w:tc>
          <w:tcPr>
            <w:tcW w:type="dxa" w:w="2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r_USD = USD yield curve</w:t>
            </w:r>
          </w:p>
        </w:tc>
        <w:tc>
          <w:tcPr>
            <w:tcW w:type="dxa" w:w="31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Identical across all three types. Bond floor = Face / (1+r_USD)^T</w:t>
            </w:r>
          </w:p>
        </w:tc>
      </w:tr>
      <w:tr>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Equity Conversion (NTD/HKD → USD)</w:t>
            </w:r>
          </w:p>
        </w:tc>
        <w:tc>
          <w:tcPr>
            <w:tcW w:type="dxa" w:w="1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All three</w:t>
            </w:r>
          </w:p>
        </w:tc>
        <w:tc>
          <w:tcPr>
            <w:tcW w:type="dxa" w:w="20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r_local (implied via NDF or spot)</w:t>
            </w:r>
          </w:p>
        </w:tc>
        <w:tc>
          <w:tcPr>
            <w:tcW w:type="dxa" w:w="31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The FX TRANSLATION mechanism differs — fixed rate, spot, or structured fixed — creating different rho profiles</w:t>
            </w:r>
          </w:p>
        </w:tc>
      </w:tr>
      <w:tr>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FX Option / FX Forward</w:t>
            </w:r>
          </w:p>
        </w:tc>
        <w:tc>
          <w:tcPr>
            <w:tcW w:type="dxa" w:w="1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Compo only</w:t>
            </w:r>
          </w:p>
        </w:tc>
        <w:tc>
          <w:tcPr>
            <w:tcW w:type="dxa" w:w="2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r_USD minus r_local differential</w:t>
            </w:r>
          </w:p>
        </w:tc>
        <w:tc>
          <w:tcPr>
            <w:tcW w:type="dxa" w:w="31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The embedded NDF forward creates cross-currency rho. Absent in flexi and neutralised in currency linked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1280"/>
        <w:gridCol w:w="8080"/>
      </w:tblGrid>
      <w:tr>
        <w:tc>
          <w:tcPr>
            <w:tcW w:type="dxa" w:w="1280"/>
            <w:tcBorders>
              <w:top w:val="none" w:color="FFFFFF" w:sz="0"/>
              <w:left w:val="none" w:color="FFFFFF" w:sz="0"/>
              <w:bottom w:val="none" w:color="FFFFFF" w:sz="0"/>
              <w:right w:val="none" w:color="FFFFFF" w:sz="0"/>
            </w:tcBorders>
            <w:shd w:fill="1E3A5F" w:val="clear"/>
            <w:tcMar>
              <w:top w:type="dxa" w:w="130"/>
              <w:left w:type="dxa" w:w="140"/>
              <w:bottom w:type="dxa" w:w="130"/>
              <w:right w:type="dxa" w:w="120"/>
            </w:tcMar>
            <w:vAlign w:val="center"/>
          </w:tcPr>
          <w:p>
            <w:pPr>
              <w:jc w:val="center"/>
            </w:pPr>
            <w:r>
              <w:rPr>
                <w:rFonts w:ascii="Arial" w:cs="Arial" w:eastAsia="Arial" w:hAnsi="Arial"/>
                <w:b/>
                <w:bCs/>
                <w:color w:val="FFFFFF"/>
                <w:sz w:val="16"/>
                <w:szCs w:val="16"/>
              </w:rPr>
              <w:t xml:space="preserve">KEY INSIGHT</w:t>
            </w:r>
          </w:p>
        </w:tc>
        <w:tc>
          <w:tcPr>
            <w:tcW w:type="dxa" w:w="8080"/>
            <w:tcBorders>
              <w:top w:val="none" w:color="FFFFFF" w:sz="0"/>
              <w:left w:val="none" w:color="FFFFFF" w:sz="0"/>
              <w:bottom w:val="none" w:color="FFFFFF" w:sz="0"/>
              <w:right w:val="none" w:color="FFFFFF" w:sz="0"/>
            </w:tcBorders>
            <w:shd w:fill="EFF6FF" w:val="clear"/>
            <w:tcMar>
              <w:top w:type="dxa" w:w="120"/>
              <w:left w:type="dxa" w:w="180"/>
              <w:bottom w:type="dxa" w:w="120"/>
              <w:right w:type="dxa" w:w="140"/>
            </w:tcMar>
          </w:tcPr>
          <w:p>
            <w:pPr>
              <w:spacing w:before="28" w:after="28"/>
            </w:pPr>
            <w:r>
              <w:rPr>
                <w:rFonts w:ascii="Arial" w:cs="Arial" w:eastAsia="Arial" w:hAnsi="Arial"/>
                <w:color w:val="1E293B"/>
                <w:sz w:val="19"/>
                <w:szCs w:val="19"/>
              </w:rPr>
              <w:t xml:space="preserve">The rho to local rates is IDENTICAL across all three types because all three are long the local forward by the delta amount — the CB converts NTD/HKD equity into USD, so any rise in local rates (which lowers the NDF or makes local currency cheaper forward) reduces the conversion value. The rho to US rates is what DIFFERS: only the compo CB carries it, because only the compo CB has a fixed FX rate that creates a live NDF position sensitive to the USD/local rate differential.</w:t>
            </w:r>
          </w:p>
        </w:tc>
      </w:tr>
    </w:tbl>
    <w:p>
      <w:pPr>
        <w:spacing w:before="0" w:after="0"/>
      </w:pPr>
    </w:p>
    <w:p>
      <w:pPr>
        <w:pageBreakBefore/>
        <w:spacing w:before="0" w:after="0"/>
      </w:pPr>
    </w:p>
    <w:p>
      <w:pPr>
        <w:spacing w:before="500" w:after="60"/>
      </w:pPr>
      <w:r>
        <w:rPr>
          <w:rFonts w:ascii="Arial" w:cs="Arial" w:eastAsia="Arial" w:hAnsi="Arial"/>
          <w:b/>
          <w:bCs/>
          <w:color w:val="F1F5F9"/>
          <w:sz w:val="52"/>
          <w:szCs w:val="52"/>
        </w:rPr>
        <w:t xml:space="preserve">PART 1</w:t>
      </w:r>
    </w:p>
    <w:p>
      <w:pPr>
        <w:pBdr>
          <w:bottom w:val="single" w:color="006D6D" w:sz="14"/>
        </w:pBdr>
        <w:spacing w:before="0" w:after="60"/>
      </w:pPr>
      <w:r>
        <w:rPr>
          <w:rFonts w:ascii="Arial" w:cs="Arial" w:eastAsia="Arial" w:hAnsi="Arial"/>
          <w:b/>
          <w:bCs/>
          <w:color w:val="1A2E4A"/>
          <w:sz w:val="32"/>
          <w:szCs w:val="32"/>
        </w:rPr>
        <w:t xml:space="preserve">Compo CB</w:t>
      </w:r>
    </w:p>
    <w:p>
      <w:pPr>
        <w:spacing w:before="60" w:after="280"/>
      </w:pPr>
      <w:r>
        <w:rPr>
          <w:rFonts w:ascii="Arial" w:cs="Arial" w:eastAsia="Arial" w:hAnsi="Arial"/>
          <w:i/>
          <w:iCs/>
          <w:color w:val="475569"/>
          <w:sz w:val="20"/>
          <w:szCs w:val="20"/>
        </w:rPr>
        <w:t xml:space="preserve">Composite structure — fixed FX rate at issuance, US rate rho from embedded NDF forward</w:t>
      </w:r>
    </w:p>
    <w:p>
      <w:pPr>
        <w:pStyle w:val="Heading1"/>
        <w:pBdr>
          <w:bottom w:val="single" w:color="006D6D" w:sz="10"/>
        </w:pBdr>
        <w:spacing w:before="400" w:after="160"/>
      </w:pPr>
      <w:r>
        <w:rPr>
          <w:rFonts w:ascii="Arial" w:cs="Arial" w:eastAsia="Arial" w:hAnsi="Arial"/>
          <w:b/>
          <w:bCs/>
          <w:color w:val="1A2E4A"/>
          <w:sz w:val="28"/>
          <w:szCs w:val="28"/>
        </w:rPr>
        <w:t xml:space="preserve">Part 1 — Compo CB: Zhen Ding Technology (4958.TT)</w:t>
      </w:r>
    </w:p>
    <w:p>
      <w:pPr>
        <w:pStyle w:val="Heading2"/>
        <w:spacing w:before="300" w:after="120"/>
      </w:pPr>
      <w:r>
        <w:rPr>
          <w:rFonts w:ascii="Arial" w:cs="Arial" w:eastAsia="Arial" w:hAnsi="Arial"/>
          <w:b/>
          <w:bCs/>
          <w:color w:val="006D6D"/>
          <w:sz w:val="23"/>
          <w:szCs w:val="23"/>
        </w:rPr>
        <w:t xml:space="preserve">1.1  Term Sheet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Term</w:t>
            </w:r>
          </w:p>
        </w:tc>
        <w:tc>
          <w:tcPr>
            <w:tcW w:type="dxa" w:w="65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Detail</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Issuer</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Zhen Ding Technology Holding Limited (TWSE: 4958)</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ISIN</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XS2742707644</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Issue Size</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400,000,000</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Issue Date</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24 January 2024</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Maturity Date</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24 January 2029 (5-year tenor)</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Coupon</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0.00% per annum (zero coupon)</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Yield to Maturity</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3.375% (accreting bond floor)</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Conversion Price</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NT$109.62 per common share (set at pricing, 24 Jan 2024)</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Equity Underlying</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Zhen Ding Technology ordinary shares (TWSE: 4958)</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Settlement Currency</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(bond face and redemption)</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Share Currency</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NTD (underlying equity trades in New Taiwan Dollars)</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FX Rate</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at issuance (embedded in conversion terms — standard Taiwan CB structure)</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Listing</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Singapore Exchange (SGX)</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Bookrunners</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Citigroup Global Markets Limited; UBS AG Hong Kong Branch</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CB Type</w:t>
            </w:r>
          </w:p>
        </w:tc>
        <w:tc>
          <w:tcPr>
            <w:tcW w:type="dxa" w:w="6560"/>
            <w:tcBorders>
              <w:top w:val="none" w:color="FFFFFF" w:sz="0"/>
              <w:left w:val="none" w:color="FFFFFF" w:sz="0"/>
              <w:bottom w:val="single" w:color="CBD5E1" w:sz="4"/>
              <w:right w:val="none" w:color="FFFFFF" w:sz="0"/>
            </w:tcBorders>
            <w:shd w:fill="EFF6FF" w:val="clear"/>
            <w:tcMar>
              <w:top w:type="dxa" w:w="90"/>
              <w:left w:type="dxa" w:w="160"/>
              <w:bottom w:type="dxa" w:w="90"/>
              <w:right w:type="dxa" w:w="160"/>
            </w:tcMar>
          </w:tcPr>
          <w:p>
            <w:r>
              <w:rPr>
                <w:rFonts w:ascii="Arial" w:cs="Arial" w:eastAsia="Arial" w:hAnsi="Arial"/>
                <w:b/>
                <w:bCs/>
                <w:color w:val="1E3A5F"/>
                <w:sz w:val="18"/>
                <w:szCs w:val="18"/>
              </w:rPr>
              <w:t xml:space="preserve">COMPO CB — fixed FX rate at issuance, USD bond converts into NTD shares at locked rate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1280"/>
        <w:gridCol w:w="8080"/>
      </w:tblGrid>
      <w:tr>
        <w:tc>
          <w:tcPr>
            <w:tcW w:type="dxa" w:w="1280"/>
            <w:tcBorders>
              <w:top w:val="none" w:color="FFFFFF" w:sz="0"/>
              <w:left w:val="none" w:color="FFFFFF" w:sz="0"/>
              <w:bottom w:val="none" w:color="FFFFFF" w:sz="0"/>
              <w:right w:val="none" w:color="FFFFFF" w:sz="0"/>
            </w:tcBorders>
            <w:shd w:fill="1E3A5F" w:val="clear"/>
            <w:tcMar>
              <w:top w:type="dxa" w:w="130"/>
              <w:left w:type="dxa" w:w="140"/>
              <w:bottom w:type="dxa" w:w="130"/>
              <w:right w:type="dxa" w:w="120"/>
            </w:tcMar>
            <w:vAlign w:val="center"/>
          </w:tcPr>
          <w:p>
            <w:pPr>
              <w:jc w:val="center"/>
            </w:pPr>
            <w:r>
              <w:rPr>
                <w:rFonts w:ascii="Arial" w:cs="Arial" w:eastAsia="Arial" w:hAnsi="Arial"/>
                <w:b/>
                <w:bCs/>
                <w:color w:val="FFFFFF"/>
                <w:sz w:val="16"/>
                <w:szCs w:val="16"/>
              </w:rPr>
              <w:t xml:space="preserve">ABOUT ZHEN DING</w:t>
            </w:r>
          </w:p>
        </w:tc>
        <w:tc>
          <w:tcPr>
            <w:tcW w:type="dxa" w:w="8080"/>
            <w:tcBorders>
              <w:top w:val="none" w:color="FFFFFF" w:sz="0"/>
              <w:left w:val="none" w:color="FFFFFF" w:sz="0"/>
              <w:bottom w:val="none" w:color="FFFFFF" w:sz="0"/>
              <w:right w:val="none" w:color="FFFFFF" w:sz="0"/>
            </w:tcBorders>
            <w:shd w:fill="EFF6FF" w:val="clear"/>
            <w:tcMar>
              <w:top w:type="dxa" w:w="120"/>
              <w:left w:type="dxa" w:w="180"/>
              <w:bottom w:type="dxa" w:w="120"/>
              <w:right w:type="dxa" w:w="140"/>
            </w:tcMar>
          </w:tcPr>
          <w:p>
            <w:pPr>
              <w:spacing w:before="28" w:after="28"/>
            </w:pPr>
            <w:r>
              <w:rPr>
                <w:rFonts w:ascii="Arial" w:cs="Arial" w:eastAsia="Arial" w:hAnsi="Arial"/>
                <w:color w:val="1E293B"/>
                <w:sz w:val="19"/>
                <w:szCs w:val="19"/>
              </w:rPr>
              <w:t xml:space="preserve">Zhen Ding Technology (ZDT) is a Foxconn-affiliated printed circuit board (PCB) manufacturer listed on the Taiwan Stock Exchange. This was ZDT's fourth overseas CB issuance. The book was multiple times oversubscribed shortly after launch, attracting leading European long-only funds, and was the first sizeable Taiwan international CB of 2024. Proceeds fund raw material purchases from overseas.</w:t>
            </w:r>
          </w:p>
        </w:tc>
      </w:tr>
    </w:tbl>
    <w:p>
      <w:pPr>
        <w:spacing w:before="0" w:after="80"/>
      </w:pPr>
    </w:p>
    <w:p>
      <w:pPr>
        <w:pStyle w:val="Heading2"/>
        <w:spacing w:before="300" w:after="120"/>
      </w:pPr>
      <w:r>
        <w:rPr>
          <w:rFonts w:ascii="Arial" w:cs="Arial" w:eastAsia="Arial" w:hAnsi="Arial"/>
          <w:b/>
          <w:bCs/>
          <w:color w:val="006D6D"/>
          <w:sz w:val="23"/>
          <w:szCs w:val="23"/>
        </w:rPr>
        <w:t xml:space="preserve">1.2  Why Zhen Ding Is a Compo CB</w:t>
      </w:r>
    </w:p>
    <w:p>
      <w:pPr>
        <w:spacing w:before="60" w:after="110"/>
      </w:pPr>
      <w:r>
        <w:rPr>
          <w:rFonts w:ascii="Arial" w:cs="Arial" w:eastAsia="Arial" w:hAnsi="Arial"/>
          <w:color w:val="1E293B"/>
          <w:sz w:val="20"/>
          <w:szCs w:val="20"/>
        </w:rPr>
        <w:t xml:space="preserve">A Compo CB (composite convertible bond) is one where the bond is denominated in USD but the conversion delivers shares priced in a different currency (here NTD), bridged by a FIXED FX rate locked at issuance.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Step</w:t>
            </w:r>
          </w:p>
        </w:tc>
        <w:tc>
          <w:tcPr>
            <w:tcW w:type="dxa" w:w="40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Calculation</w:t>
            </w:r>
          </w:p>
        </w:tc>
        <w:tc>
          <w:tcPr>
            <w:tcW w:type="dxa" w:w="33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FX Treatment</w:t>
            </w:r>
          </w:p>
        </w:tc>
      </w:tr>
      <w:tr>
        <w:tc>
          <w:tcPr>
            <w:tcW w:type="dxa" w:w="2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1. Bond face value</w:t>
            </w:r>
          </w:p>
        </w:tc>
        <w:tc>
          <w:tcPr>
            <w:tcW w:type="dxa" w:w="4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400,000,000</w:t>
            </w:r>
          </w:p>
        </w:tc>
        <w:tc>
          <w:tcPr>
            <w:tcW w:type="dxa" w:w="33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Denominated in USD</w:t>
            </w:r>
          </w:p>
        </w:tc>
      </w:tr>
      <w:tr>
        <w:tc>
          <w:tcPr>
            <w:tcW w:type="dxa" w:w="20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2. Convert to NTD principal</w:t>
            </w:r>
          </w:p>
        </w:tc>
        <w:tc>
          <w:tcPr>
            <w:tcW w:type="dxa" w:w="40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face × Fixed Rate (e.g. ~30.x NTD/USD at issuance)</w:t>
            </w:r>
          </w:p>
        </w:tc>
        <w:tc>
          <w:tcPr>
            <w:tcW w:type="dxa" w:w="33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rate locked at bond pricing date</w:t>
            </w:r>
          </w:p>
        </w:tc>
      </w:tr>
      <w:tr>
        <w:tc>
          <w:tcPr>
            <w:tcW w:type="dxa" w:w="2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3. Derive share count</w:t>
            </w:r>
          </w:p>
        </w:tc>
        <w:tc>
          <w:tcPr>
            <w:tcW w:type="dxa" w:w="4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NTD principal ÷ NT$109.62 conversion price</w:t>
            </w:r>
          </w:p>
        </w:tc>
        <w:tc>
          <w:tcPr>
            <w:tcW w:type="dxa" w:w="33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No FX exposure here — pure NTD arithmetic</w:t>
            </w:r>
          </w:p>
        </w:tc>
      </w:tr>
      <w:tr>
        <w:tc>
          <w:tcPr>
            <w:tcW w:type="dxa" w:w="20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4. Conversion payout</w:t>
            </w:r>
          </w:p>
        </w:tc>
        <w:tc>
          <w:tcPr>
            <w:tcW w:type="dxa" w:w="40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Share count × NTD stock price at conversion</w:t>
            </w:r>
          </w:p>
        </w:tc>
        <w:tc>
          <w:tcPr>
            <w:tcW w:type="dxa" w:w="33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NTD equity value</w:t>
            </w:r>
          </w:p>
        </w:tc>
      </w:tr>
      <w:tr>
        <w:tc>
          <w:tcPr>
            <w:tcW w:type="dxa" w:w="2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5. Return to USD</w:t>
            </w:r>
          </w:p>
        </w:tc>
        <w:tc>
          <w:tcPr>
            <w:tcW w:type="dxa" w:w="4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NTD equity value ÷ Fixed Rate</w:t>
            </w:r>
          </w:p>
        </w:tc>
        <w:tc>
          <w:tcPr>
            <w:tcW w:type="dxa" w:w="33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rate used again — this is the compo element</w:t>
            </w:r>
          </w:p>
        </w:tc>
      </w:tr>
    </w:tbl>
    <w:p>
      <w:pPr>
        <w:spacing w:before="0" w:after="60"/>
      </w:pPr>
    </w:p>
    <w:p>
      <w:pPr>
        <w:spacing w:before="60" w:after="110"/>
      </w:pPr>
      <w:r>
        <w:rPr>
          <w:rFonts w:ascii="Arial" w:cs="Arial" w:eastAsia="Arial" w:hAnsi="Arial"/>
          <w:color w:val="1E293B"/>
          <w:sz w:val="20"/>
          <w:szCs w:val="20"/>
        </w:rPr>
        <w:t xml:space="preserve">Because both step 2 and step 5 use the same FIXED rate, the bondholder is economically long a NTD forward at that fixed rate — they will receive NTD equity at maturity converted at a rate that may differ significantly from where spot USDTWD trades at the time of conversion.</w:t>
      </w:r>
    </w:p>
    <w:p>
      <w:pPr>
        <w:spacing w:before="0" w:after="80"/>
      </w:pPr>
    </w:p>
    <w:p>
      <w:pPr>
        <w:pStyle w:val="Heading2"/>
        <w:spacing w:before="300" w:after="120"/>
      </w:pPr>
      <w:r>
        <w:rPr>
          <w:rFonts w:ascii="Arial" w:cs="Arial" w:eastAsia="Arial" w:hAnsi="Arial"/>
          <w:b/>
          <w:bCs/>
          <w:color w:val="006D6D"/>
          <w:sz w:val="23"/>
          <w:szCs w:val="23"/>
        </w:rPr>
        <w:t xml:space="preserve">1.3  Rho Sensitivity to Local (NTD) Rates</w:t>
      </w:r>
    </w:p>
    <w:p>
      <w:pPr>
        <w:spacing w:before="60" w:after="110"/>
      </w:pPr>
      <w:r>
        <w:rPr>
          <w:rFonts w:ascii="Arial" w:cs="Arial" w:eastAsia="Arial" w:hAnsi="Arial"/>
          <w:color w:val="1E293B"/>
          <w:sz w:val="20"/>
          <w:szCs w:val="20"/>
        </w:rPr>
        <w:t xml:space="preserve">The compo CB is LONG rho to local (NTD) rates. This means: when NTD interest rates RISE, the bond price also rises.</w:t>
      </w:r>
    </w:p>
    <w:p>
      <w:pPr>
        <w:spacing w:before="0" w:after="60"/>
      </w:pPr>
    </w:p>
    <w:p>
      <w:pPr>
        <w:pBdr>
          <w:left w:val="single" w:color="006D6D" w:sz="20"/>
        </w:pBdr>
        <w:shd w:fill="F8FAFC" w:val="clear"/>
        <w:spacing w:before="140" w:after="140"/>
        <w:ind w:left="200" w:right="200"/>
        <w:jc w:val="center"/>
      </w:pPr>
      <w:r>
        <w:rPr>
          <w:rFonts w:ascii="Cambria Math" w:cs="Cambria Math" w:eastAsia="Cambria Math" w:hAnsi="Cambria Math"/>
          <w:b/>
          <w:bCs/>
          <w:color w:val="1A2E4A"/>
          <w:sz w:val="21"/>
          <w:szCs w:val="21"/>
        </w:rPr>
        <w:t xml:space="preserve">NDF = Spot × (1 + r_NTD)^T ÷ (1 + r_USD)^T</w:t>
      </w:r>
    </w:p>
    <w:p>
      <w:pPr>
        <w:spacing w:before="0" w:after="60"/>
      </w:pPr>
    </w:p>
    <w:p>
      <w:pPr>
        <w:spacing w:before="60" w:after="110"/>
      </w:pPr>
      <w:r>
        <w:rPr>
          <w:rFonts w:ascii="Arial" w:cs="Arial" w:eastAsia="Arial" w:hAnsi="Arial"/>
          <w:color w:val="1E293B"/>
          <w:sz w:val="20"/>
          <w:szCs w:val="20"/>
        </w:rPr>
        <w:t xml:space="preserve">When r_NTD rises → NDF falls below spot → NTD trades at a bigger forward discount → the fixed FX rate (which is above the NDF) becomes relatively more attractive → the conversion option is worth more → bond price rises.</w:t>
      </w:r>
    </w:p>
    <w:p>
      <w:pPr>
        <w:spacing w:before="60" w:after="110"/>
      </w:pPr>
      <w:r>
        <w:rPr>
          <w:rFonts w:ascii="Arial" w:cs="Arial" w:eastAsia="Arial" w:hAnsi="Arial"/>
          <w:color w:val="1E293B"/>
          <w:sz w:val="20"/>
          <w:szCs w:val="20"/>
        </w:rPr>
        <w:t xml:space="preserve">This rho exists for all three CB types because all three are long the local equity forward by the delta amount. Holding a 40-delta CB means you are economically long 40% of the delta-equivalent equity position, which in turn is long the NTD (or HKD) forward.</w:t>
      </w:r>
    </w:p>
    <w:p>
      <w:pPr>
        <w:spacing w:before="0" w:after="80"/>
      </w:pPr>
    </w:p>
    <w:p>
      <w:pPr>
        <w:pStyle w:val="Heading2"/>
        <w:spacing w:before="300" w:after="120"/>
      </w:pPr>
      <w:r>
        <w:rPr>
          <w:rFonts w:ascii="Arial" w:cs="Arial" w:eastAsia="Arial" w:hAnsi="Arial"/>
          <w:b/>
          <w:bCs/>
          <w:color w:val="006D6D"/>
          <w:sz w:val="23"/>
          <w:szCs w:val="23"/>
        </w:rPr>
        <w:t xml:space="preserve">1.4  Rho Sensitivity to US Rates — The Compo CB Distinction</w:t>
      </w:r>
    </w:p>
    <w:p>
      <w:pPr>
        <w:spacing w:before="60" w:after="110"/>
      </w:pPr>
      <w:r>
        <w:rPr>
          <w:rFonts w:ascii="Arial" w:cs="Arial" w:eastAsia="Arial" w:hAnsi="Arial"/>
          <w:color w:val="1E293B"/>
          <w:sz w:val="20"/>
          <w:szCs w:val="20"/>
        </w:rPr>
        <w:t xml:space="preserve">The compo CB has a POSITIVE rho to US rates that neither the flexi CB nor the currency linked CB carries. This rho arises from the fixed FX rate creating a live NDF position:</w:t>
      </w:r>
    </w:p>
    <w:p>
      <w:pPr>
        <w:spacing w:before="0" w:after="60"/>
      </w:pPr>
    </w:p>
    <w:p>
      <w:pPr>
        <w:pBdr>
          <w:left w:val="single" w:color="006D6D" w:sz="20"/>
        </w:pBdr>
        <w:shd w:fill="F8FAFC" w:val="clear"/>
        <w:spacing w:before="140" w:after="140"/>
        <w:ind w:left="200" w:right="200"/>
        <w:jc w:val="center"/>
      </w:pPr>
      <w:r>
        <w:rPr>
          <w:rFonts w:ascii="Cambria Math" w:cs="Cambria Math" w:eastAsia="Cambria Math" w:hAnsi="Cambria Math"/>
          <w:b/>
          <w:bCs/>
          <w:color w:val="1A2E4A"/>
          <w:sz w:val="21"/>
          <w:szCs w:val="21"/>
        </w:rPr>
        <w:t xml:space="preserve">When r_USD rises → NDF rises (NTD strengthens forward) → Fixed Rate gap over NDF widens → Conversion option value falls</w:t>
      </w:r>
    </w:p>
    <w:p>
      <w:pPr>
        <w:spacing w:before="0" w:after="40"/>
      </w:pPr>
    </w:p>
    <w:p>
      <w:pPr>
        <w:pBdr>
          <w:left w:val="single" w:color="006D6D" w:sz="20"/>
        </w:pBdr>
        <w:shd w:fill="F8FAFC" w:val="clear"/>
        <w:spacing w:before="140" w:after="140"/>
        <w:ind w:left="200" w:right="200"/>
        <w:jc w:val="center"/>
      </w:pPr>
      <w:r>
        <w:rPr>
          <w:rFonts w:ascii="Cambria Math" w:cs="Cambria Math" w:eastAsia="Cambria Math" w:hAnsi="Cambria Math"/>
          <w:b/>
          <w:bCs/>
          <w:color w:val="1A2E4A"/>
          <w:sz w:val="21"/>
          <w:szCs w:val="21"/>
        </w:rPr>
        <w:t xml:space="preserve">But bond floor also falls (higher USD discount rate) → two competing effects</w:t>
      </w:r>
    </w:p>
    <w:p>
      <w:pPr>
        <w:spacing w:before="0" w:after="60"/>
      </w:pPr>
    </w:p>
    <w:p>
      <w:pPr>
        <w:spacing w:before="60" w:after="110"/>
      </w:pPr>
      <w:r>
        <w:rPr>
          <w:rFonts w:ascii="Arial" w:cs="Arial" w:eastAsia="Arial" w:hAnsi="Arial"/>
          <w:color w:val="1E293B"/>
          <w:sz w:val="20"/>
          <w:szCs w:val="20"/>
        </w:rPr>
        <w:t xml:space="preserve">The NET rho to US rates in a compo CB is described as: "long rho of local rate relative to US rate → long local FX forward". This means:</w:t>
      </w:r>
    </w:p>
    <w:p>
      <w:pPr>
        <w:pStyle w:val="ListParagraph"/>
        <w:numPr>
          <w:ilvl w:val="0"/>
          <w:numId w:val="2"/>
        </w:numPr>
        <w:spacing w:before="50" w:after="80"/>
      </w:pPr>
      <w:r>
        <w:rPr>
          <w:rFonts w:ascii="Arial" w:cs="Arial" w:eastAsia="Arial" w:hAnsi="Arial"/>
          <w:color w:val="1E293B"/>
          <w:sz w:val="20"/>
          <w:szCs w:val="20"/>
        </w:rPr>
        <w:t xml:space="preserve">The bondholder is effectively long the SPREAD between NTD rates and USD rates</w:t>
      </w:r>
    </w:p>
    <w:p>
      <w:pPr>
        <w:pStyle w:val="ListParagraph"/>
        <w:numPr>
          <w:ilvl w:val="0"/>
          <w:numId w:val="2"/>
        </w:numPr>
        <w:spacing w:before="50" w:after="80"/>
      </w:pPr>
      <w:r>
        <w:rPr>
          <w:rFonts w:ascii="Arial" w:cs="Arial" w:eastAsia="Arial" w:hAnsi="Arial"/>
          <w:color w:val="1E293B"/>
          <w:sz w:val="20"/>
          <w:szCs w:val="20"/>
        </w:rPr>
        <w:t xml:space="preserve">Higher USD rates (holding NTD rates constant) → NDF rises → Fixed Rate premium over NDF narrows → FX option loses value</w:t>
      </w:r>
    </w:p>
    <w:p>
      <w:pPr>
        <w:pStyle w:val="ListParagraph"/>
        <w:numPr>
          <w:ilvl w:val="0"/>
          <w:numId w:val="2"/>
        </w:numPr>
        <w:spacing w:before="50" w:after="80"/>
      </w:pPr>
      <w:r>
        <w:rPr>
          <w:rFonts w:ascii="Arial" w:cs="Arial" w:eastAsia="Arial" w:hAnsi="Arial"/>
          <w:color w:val="1E293B"/>
          <w:sz w:val="20"/>
          <w:szCs w:val="20"/>
        </w:rPr>
        <w:t xml:space="preserve">The net position is equivalent to being long a forward on local currency vs USD — the fixed FX rate creates a synthetic NTD forward that is sensitive to the USD/NTD rate differential</w:t>
      </w:r>
    </w:p>
    <w:p>
      <w:pPr>
        <w:pStyle w:val="ListParagraph"/>
        <w:numPr>
          <w:ilvl w:val="0"/>
          <w:numId w:val="2"/>
        </w:numPr>
        <w:spacing w:before="50" w:after="80"/>
      </w:pPr>
      <w:r>
        <w:rPr>
          <w:rFonts w:ascii="Arial" w:cs="Arial" w:eastAsia="Arial" w:hAnsi="Arial"/>
          <w:color w:val="1E293B"/>
          <w:sz w:val="20"/>
          <w:szCs w:val="20"/>
        </w:rPr>
        <w:t xml:space="preserve">This is a unique risk that ONLY the compo CB carries — it requires specific hedging via NDF overlays (as discussed in prior FX basis and hedging cost documents)</w:t>
      </w:r>
    </w:p>
    <w:p>
      <w:pPr>
        <w:spacing w:before="0" w:after="80"/>
      </w:pPr>
    </w:p>
    <w:p>
      <w:pPr>
        <w:pStyle w:val="Heading2"/>
        <w:spacing w:before="300" w:after="120"/>
      </w:pPr>
      <w:r>
        <w:rPr>
          <w:rFonts w:ascii="Arial" w:cs="Arial" w:eastAsia="Arial" w:hAnsi="Arial"/>
          <w:b/>
          <w:bCs/>
          <w:color w:val="006D6D"/>
          <w:sz w:val="23"/>
          <w:szCs w:val="23"/>
        </w:rPr>
        <w:t xml:space="preserve">1.5  Bond Floor Calculation</w:t>
      </w:r>
    </w:p>
    <w:p>
      <w:pPr>
        <w:spacing w:before="60" w:after="110"/>
      </w:pPr>
      <w:r>
        <w:rPr>
          <w:rFonts w:ascii="Arial" w:cs="Arial" w:eastAsia="Arial" w:hAnsi="Arial"/>
          <w:color w:val="1E293B"/>
          <w:sz w:val="20"/>
          <w:szCs w:val="20"/>
        </w:rPr>
        <w:t xml:space="preserve">Despite converting into NTD shares, the bond floor is discounted entirely at USD rates:</w:t>
      </w:r>
    </w:p>
    <w:p>
      <w:pPr>
        <w:spacing w:before="0" w:after="60"/>
      </w:pPr>
    </w:p>
    <w:p>
      <w:pPr>
        <w:pBdr>
          <w:left w:val="single" w:color="006D6D" w:sz="20"/>
        </w:pBdr>
        <w:shd w:fill="F8FAFC" w:val="clear"/>
        <w:spacing w:before="140" w:after="140"/>
        <w:ind w:left="200" w:right="200"/>
        <w:jc w:val="center"/>
      </w:pPr>
      <w:r>
        <w:rPr>
          <w:rFonts w:ascii="Cambria Math" w:cs="Cambria Math" w:eastAsia="Cambria Math" w:hAnsi="Cambria Math"/>
          <w:b/>
          <w:bCs/>
          <w:color w:val="1A2E4A"/>
          <w:sz w:val="21"/>
          <w:szCs w:val="21"/>
        </w:rPr>
        <w:t xml:space="preserve">Bond Floor = USD 400M ÷ (1 + r_USD)^5  =  USD 400M ÷ (1.03375)^5  ≈  USD 284M  (≈71% of face)</w:t>
      </w:r>
    </w:p>
    <w:p>
      <w:pPr>
        <w:spacing w:before="0" w:after="60"/>
      </w:pPr>
    </w:p>
    <w:p>
      <w:pPr>
        <w:spacing w:before="60" w:after="110"/>
      </w:pPr>
      <w:r>
        <w:rPr>
          <w:rFonts w:ascii="Arial" w:cs="Arial" w:eastAsia="Arial" w:hAnsi="Arial"/>
          <w:color w:val="1E293B"/>
          <w:sz w:val="20"/>
          <w:szCs w:val="20"/>
        </w:rPr>
        <w:t xml:space="preserve">The NTD interest rate plays NO role in the bond floor calculation. It only enters through the equity conversion option value and the FX adjustment.</w:t>
      </w:r>
    </w:p>
    <w:p>
      <w:pPr>
        <w:spacing w:before="0" w:after="0"/>
      </w:pPr>
    </w:p>
    <w:p>
      <w:pPr>
        <w:pageBreakBefore/>
        <w:spacing w:before="0" w:after="0"/>
      </w:pPr>
    </w:p>
    <w:p>
      <w:pPr>
        <w:spacing w:before="500" w:after="60"/>
      </w:pPr>
      <w:r>
        <w:rPr>
          <w:rFonts w:ascii="Arial" w:cs="Arial" w:eastAsia="Arial" w:hAnsi="Arial"/>
          <w:b/>
          <w:bCs/>
          <w:color w:val="F1F5F9"/>
          <w:sz w:val="52"/>
          <w:szCs w:val="52"/>
        </w:rPr>
        <w:t xml:space="preserve">PART 2</w:t>
      </w:r>
    </w:p>
    <w:p>
      <w:pPr>
        <w:pBdr>
          <w:bottom w:val="single" w:color="006D6D" w:sz="14"/>
        </w:pBdr>
        <w:spacing w:before="0" w:after="60"/>
      </w:pPr>
      <w:r>
        <w:rPr>
          <w:rFonts w:ascii="Arial" w:cs="Arial" w:eastAsia="Arial" w:hAnsi="Arial"/>
          <w:b/>
          <w:bCs/>
          <w:color w:val="1A2E4A"/>
          <w:sz w:val="32"/>
          <w:szCs w:val="32"/>
        </w:rPr>
        <w:t xml:space="preserve">Flexi CB</w:t>
      </w:r>
    </w:p>
    <w:p>
      <w:pPr>
        <w:spacing w:before="60" w:after="280"/>
      </w:pPr>
      <w:r>
        <w:rPr>
          <w:rFonts w:ascii="Arial" w:cs="Arial" w:eastAsia="Arial" w:hAnsi="Arial"/>
          <w:i/>
          <w:iCs/>
          <w:color w:val="475569"/>
          <w:sz w:val="20"/>
          <w:szCs w:val="20"/>
        </w:rPr>
        <w:t xml:space="preserve">Flexible FX settlement at spot — no embedded NDF, zero rho to US rates</w:t>
      </w:r>
    </w:p>
    <w:p>
      <w:pPr>
        <w:pStyle w:val="Heading1"/>
        <w:pBdr>
          <w:bottom w:val="single" w:color="006D6D" w:sz="10"/>
        </w:pBdr>
        <w:spacing w:before="400" w:after="160"/>
      </w:pPr>
      <w:r>
        <w:rPr>
          <w:rFonts w:ascii="Arial" w:cs="Arial" w:eastAsia="Arial" w:hAnsi="Arial"/>
          <w:b/>
          <w:bCs/>
          <w:color w:val="1A2E4A"/>
          <w:sz w:val="28"/>
          <w:szCs w:val="28"/>
        </w:rPr>
        <w:t xml:space="preserve">Part 2 — Flexi CB: Hong Kong Exchanges and Clearing (0388.HK)</w:t>
      </w:r>
    </w:p>
    <w:p>
      <w:pPr>
        <w:pStyle w:val="Heading2"/>
        <w:spacing w:before="300" w:after="120"/>
      </w:pPr>
      <w:r>
        <w:rPr>
          <w:rFonts w:ascii="Arial" w:cs="Arial" w:eastAsia="Arial" w:hAnsi="Arial"/>
          <w:b/>
          <w:bCs/>
          <w:color w:val="006D6D"/>
          <w:sz w:val="23"/>
          <w:szCs w:val="23"/>
        </w:rPr>
        <w:t xml:space="preserve">2.1  What Is a Flexi CB</w:t>
      </w:r>
    </w:p>
    <w:p>
      <w:pPr>
        <w:spacing w:before="60" w:after="110"/>
      </w:pPr>
      <w:r>
        <w:rPr>
          <w:rFonts w:ascii="Arial" w:cs="Arial" w:eastAsia="Arial" w:hAnsi="Arial"/>
          <w:color w:val="1E293B"/>
          <w:sz w:val="20"/>
          <w:szCs w:val="20"/>
        </w:rPr>
        <w:t xml:space="preserve">A Flexi CB is a USD-denominated convertible bond where the equity conversion is settled at the PREVAILING SPOT FX rate at the time of conversion, rather than a rate fixed at issuance. The bondholder receives the USD equivalent of the local-currency shares calculated using whatever the spot rate is on the conversion date.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1280"/>
        <w:gridCol w:w="8080"/>
      </w:tblGrid>
      <w:tr>
        <w:tc>
          <w:tcPr>
            <w:tcW w:type="dxa" w:w="1280"/>
            <w:tcBorders>
              <w:top w:val="none" w:color="FFFFFF" w:sz="0"/>
              <w:left w:val="none" w:color="FFFFFF" w:sz="0"/>
              <w:bottom w:val="none" w:color="FFFFFF" w:sz="0"/>
              <w:right w:val="none" w:color="FFFFFF" w:sz="0"/>
            </w:tcBorders>
            <w:shd w:fill="4C1D95" w:val="clear"/>
            <w:tcMar>
              <w:top w:type="dxa" w:w="130"/>
              <w:left w:type="dxa" w:w="140"/>
              <w:bottom w:type="dxa" w:w="130"/>
              <w:right w:type="dxa" w:w="120"/>
            </w:tcMar>
            <w:vAlign w:val="center"/>
          </w:tcPr>
          <w:p>
            <w:pPr>
              <w:jc w:val="center"/>
            </w:pPr>
            <w:r>
              <w:rPr>
                <w:rFonts w:ascii="Arial" w:cs="Arial" w:eastAsia="Arial" w:hAnsi="Arial"/>
                <w:b/>
                <w:bCs/>
                <w:color w:val="FFFFFF"/>
                <w:sz w:val="16"/>
                <w:szCs w:val="16"/>
              </w:rPr>
              <w:t xml:space="preserve">FLEXI vs COMPO</w:t>
            </w:r>
          </w:p>
        </w:tc>
        <w:tc>
          <w:tcPr>
            <w:tcW w:type="dxa" w:w="8080"/>
            <w:tcBorders>
              <w:top w:val="none" w:color="FFFFFF" w:sz="0"/>
              <w:left w:val="none" w:color="FFFFFF" w:sz="0"/>
              <w:bottom w:val="none" w:color="FFFFFF" w:sz="0"/>
              <w:right w:val="none" w:color="FFFFFF" w:sz="0"/>
            </w:tcBorders>
            <w:shd w:fill="F5F3FF" w:val="clear"/>
            <w:tcMar>
              <w:top w:type="dxa" w:w="120"/>
              <w:left w:type="dxa" w:w="180"/>
              <w:bottom w:type="dxa" w:w="120"/>
              <w:right w:type="dxa" w:w="140"/>
            </w:tcMar>
          </w:tcPr>
          <w:p>
            <w:pPr>
              <w:spacing w:before="28" w:after="28"/>
            </w:pPr>
            <w:r>
              <w:rPr>
                <w:rFonts w:ascii="Arial" w:cs="Arial" w:eastAsia="Arial" w:hAnsi="Arial"/>
                <w:color w:val="1E293B"/>
                <w:sz w:val="19"/>
                <w:szCs w:val="19"/>
              </w:rPr>
              <w:t xml:space="preserve">Compo: Bond USD → NTD shares at FIXED FX rate (locked at day 0). Creates an embedded NTD forward. Flexi: Bond USD → HKD shares at LIVE SPOT rate (on conversion date). No forward. No embedded NDF. The word 'flexi' refers to the flexible (spot) FX settlement — the investor does not lock in a fixed exchange rate.</w:t>
            </w:r>
          </w:p>
        </w:tc>
      </w:tr>
    </w:tbl>
    <w:p>
      <w:pPr>
        <w:spacing w:before="0" w:after="80"/>
      </w:pPr>
    </w:p>
    <w:p>
      <w:pPr>
        <w:pStyle w:val="Heading2"/>
        <w:spacing w:before="300" w:after="120"/>
      </w:pPr>
      <w:r>
        <w:rPr>
          <w:rFonts w:ascii="Arial" w:cs="Arial" w:eastAsia="Arial" w:hAnsi="Arial"/>
          <w:b/>
          <w:bCs/>
          <w:color w:val="006D6D"/>
          <w:sz w:val="23"/>
          <w:szCs w:val="23"/>
        </w:rPr>
        <w:t xml:space="preserve">2.2  HKEX as the Flexi CB Example</w:t>
      </w:r>
    </w:p>
    <w:p>
      <w:pPr>
        <w:spacing w:before="60" w:after="110"/>
      </w:pPr>
      <w:r>
        <w:rPr>
          <w:rFonts w:ascii="Arial" w:cs="Arial" w:eastAsia="Arial" w:hAnsi="Arial"/>
          <w:color w:val="1E293B"/>
          <w:sz w:val="20"/>
          <w:szCs w:val="20"/>
        </w:rPr>
        <w:t xml:space="preserve">HKEX (Hong Kong Exchanges and Clearing Limited, 0388.HK) is the operator of Hong Kong's stock and derivatives exchanges. Its shares trade in HKD. A USD-denominated CB on HKEX equity is a natural flexi CB candidate because:</w:t>
      </w:r>
    </w:p>
    <w:p>
      <w:pPr>
        <w:pStyle w:val="ListParagraph"/>
        <w:numPr>
          <w:ilvl w:val="0"/>
          <w:numId w:val="2"/>
        </w:numPr>
        <w:spacing w:before="50" w:after="80"/>
      </w:pPr>
      <w:r>
        <w:rPr>
          <w:rFonts w:ascii="Arial" w:cs="Arial" w:eastAsia="Arial" w:hAnsi="Arial"/>
          <w:color w:val="1E293B"/>
          <w:sz w:val="20"/>
          <w:szCs w:val="20"/>
        </w:rPr>
        <w:t xml:space="preserve">The bond is issued in USD (for international investors)</w:t>
      </w:r>
    </w:p>
    <w:p>
      <w:pPr>
        <w:pStyle w:val="ListParagraph"/>
        <w:numPr>
          <w:ilvl w:val="0"/>
          <w:numId w:val="2"/>
        </w:numPr>
        <w:spacing w:before="50" w:after="80"/>
      </w:pPr>
      <w:r>
        <w:rPr>
          <w:rFonts w:ascii="Arial" w:cs="Arial" w:eastAsia="Arial" w:hAnsi="Arial"/>
          <w:color w:val="1E293B"/>
          <w:sz w:val="20"/>
          <w:szCs w:val="20"/>
        </w:rPr>
        <w:t xml:space="preserve">The underlying equity is priced in HKD</w:t>
      </w:r>
    </w:p>
    <w:p>
      <w:pPr>
        <w:pStyle w:val="ListParagraph"/>
        <w:numPr>
          <w:ilvl w:val="0"/>
          <w:numId w:val="2"/>
        </w:numPr>
        <w:spacing w:before="50" w:after="80"/>
      </w:pPr>
      <w:r>
        <w:rPr>
          <w:rFonts w:ascii="Arial" w:cs="Arial" w:eastAsia="Arial" w:hAnsi="Arial"/>
          <w:color w:val="1E293B"/>
          <w:sz w:val="20"/>
          <w:szCs w:val="20"/>
        </w:rPr>
        <w:t xml:space="preserve">At conversion, the investor receives HKD shares and the USD/HKD conversion is done at the spot rate on that day</w:t>
      </w:r>
    </w:p>
    <w:p>
      <w:pPr>
        <w:pStyle w:val="ListParagraph"/>
        <w:numPr>
          <w:ilvl w:val="0"/>
          <w:numId w:val="2"/>
        </w:numPr>
        <w:spacing w:before="50" w:after="80"/>
      </w:pPr>
      <w:r>
        <w:rPr>
          <w:rFonts w:ascii="Arial" w:cs="Arial" w:eastAsia="Arial" w:hAnsi="Arial"/>
          <w:color w:val="1E293B"/>
          <w:sz w:val="20"/>
          <w:szCs w:val="20"/>
        </w:rPr>
        <w:t xml:space="preserve">Critically: HKD is pegged to USD at 7.75–7.85 under the HKMA's Linked Exchange Rate System — there is virtually no free-floating FX risk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Term</w:t>
            </w:r>
          </w:p>
        </w:tc>
        <w:tc>
          <w:tcPr>
            <w:tcW w:type="dxa" w:w="65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Detail</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Issuer</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Hong Kong Exchanges and Clearing Limited</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Ticker</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0388.HK (HKEX: Main Board)</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Bond Currency</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Equity Currency</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HKD (shares trade in Hong Kong Dollars)</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Conversion FX</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SPOT USDCHD at conversion date — no fixed rate</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CB Type</w:t>
            </w:r>
          </w:p>
        </w:tc>
        <w:tc>
          <w:tcPr>
            <w:tcW w:type="dxa" w:w="6560"/>
            <w:tcBorders>
              <w:top w:val="none" w:color="FFFFFF" w:sz="0"/>
              <w:left w:val="none" w:color="FFFFFF" w:sz="0"/>
              <w:bottom w:val="single" w:color="CBD5E1" w:sz="4"/>
              <w:right w:val="none" w:color="FFFFFF" w:sz="0"/>
            </w:tcBorders>
            <w:shd w:fill="F5F3FF" w:val="clear"/>
            <w:tcMar>
              <w:top w:type="dxa" w:w="90"/>
              <w:left w:type="dxa" w:w="160"/>
              <w:bottom w:type="dxa" w:w="90"/>
              <w:right w:type="dxa" w:w="160"/>
            </w:tcMar>
          </w:tcPr>
          <w:p>
            <w:r>
              <w:rPr>
                <w:rFonts w:ascii="Arial" w:cs="Arial" w:eastAsia="Arial" w:hAnsi="Arial"/>
                <w:b/>
                <w:bCs/>
                <w:color w:val="4C1D95"/>
                <w:sz w:val="18"/>
                <w:szCs w:val="18"/>
              </w:rPr>
              <w:t xml:space="preserve">FLEXI CB — FX settlement at spot, no embedded NDF forward</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FX Regime</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HKD pegged to USD at 7.75–7.85 (HKMA Linked Exchange Rate)</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Rho to Local Rates</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CB is long HKD forward by delta amount (same as all CBs)</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Rho to US Rates</w:t>
            </w:r>
          </w:p>
        </w:tc>
        <w:tc>
          <w:tcPr>
            <w:tcW w:type="dxa" w:w="6560"/>
            <w:tcBorders>
              <w:top w:val="none" w:color="FFFFFF" w:sz="0"/>
              <w:left w:val="none" w:color="FFFFFF" w:sz="0"/>
              <w:bottom w:val="single" w:color="CBD5E1" w:sz="4"/>
              <w:right w:val="none" w:color="FFFFFF" w:sz="0"/>
            </w:tcBorders>
            <w:shd w:fill="ECFDF5" w:val="clear"/>
            <w:tcMar>
              <w:top w:type="dxa" w:w="90"/>
              <w:left w:type="dxa" w:w="160"/>
              <w:bottom w:type="dxa" w:w="90"/>
              <w:right w:type="dxa" w:w="160"/>
            </w:tcMar>
          </w:tcPr>
          <w:p>
            <w:r>
              <w:rPr>
                <w:rFonts w:ascii="Arial" w:cs="Arial" w:eastAsia="Arial" w:hAnsi="Arial"/>
                <w:b/>
                <w:bCs/>
                <w:color w:val="064E3B"/>
                <w:sz w:val="18"/>
                <w:szCs w:val="18"/>
              </w:rPr>
              <w:t xml:space="preserve">ZERO — no net rho to US rates</w:t>
            </w:r>
          </w:p>
        </w:tc>
      </w:tr>
    </w:tbl>
    <w:p>
      <w:pPr>
        <w:spacing w:before="0" w:after="80"/>
      </w:pPr>
    </w:p>
    <w:p>
      <w:pPr>
        <w:pStyle w:val="Heading2"/>
        <w:spacing w:before="300" w:after="120"/>
      </w:pPr>
      <w:r>
        <w:rPr>
          <w:rFonts w:ascii="Arial" w:cs="Arial" w:eastAsia="Arial" w:hAnsi="Arial"/>
          <w:b/>
          <w:bCs/>
          <w:color w:val="006D6D"/>
          <w:sz w:val="23"/>
          <w:szCs w:val="23"/>
        </w:rPr>
        <w:t xml:space="preserve">2.3  Why Rho to US Rates = 0 for the Flexi CB</w:t>
      </w:r>
    </w:p>
    <w:p>
      <w:pPr>
        <w:spacing w:before="60" w:after="110"/>
      </w:pPr>
      <w:r>
        <w:rPr>
          <w:rFonts w:ascii="Arial" w:cs="Arial" w:eastAsia="Arial" w:hAnsi="Arial"/>
          <w:color w:val="1E293B"/>
          <w:sz w:val="20"/>
          <w:szCs w:val="20"/>
        </w:rPr>
        <w:t xml:space="preserve">There are two reinforcing reasons why the flexi CB has zero net rho to US rates:</w:t>
      </w:r>
    </w:p>
    <w:p>
      <w:pPr>
        <w:spacing w:before="0" w:after="60"/>
      </w:pPr>
    </w:p>
    <w:p>
      <w:pPr>
        <w:pStyle w:val="Heading3"/>
        <w:spacing w:before="220" w:after="100"/>
      </w:pPr>
      <w:r>
        <w:rPr>
          <w:rFonts w:ascii="Arial" w:cs="Arial" w:eastAsia="Arial" w:hAnsi="Arial"/>
          <w:b/>
          <w:bCs/>
          <w:color w:val="1A2E4A"/>
          <w:sz w:val="20"/>
          <w:szCs w:val="20"/>
        </w:rPr>
        <w:t xml:space="preserve">Reason 1 — No Embedded FX Forward</w:t>
      </w:r>
    </w:p>
    <w:p>
      <w:pPr>
        <w:spacing w:before="60" w:after="110"/>
      </w:pPr>
      <w:r>
        <w:rPr>
          <w:rFonts w:ascii="Arial" w:cs="Arial" w:eastAsia="Arial" w:hAnsi="Arial"/>
          <w:color w:val="1E293B"/>
          <w:sz w:val="20"/>
          <w:szCs w:val="20"/>
        </w:rPr>
        <w:t xml:space="preserve">Because the conversion FX rate is the live SPOT rate (not a fixed rate), there is no NDF forward position embedded in the bond. When US rates move, the NDF would move — but the flexi CB does not reference the NDF at all. The conversion uses whatever spot is at that future date, so the NDF rate is irrelevant to the bond's value today. There is no fixed-rate-vs-NDF gap to create a rho.</w:t>
      </w:r>
    </w:p>
    <w:p>
      <w:pPr>
        <w:spacing w:before="0" w:after="80"/>
      </w:pPr>
    </w:p>
    <w:p>
      <w:pPr>
        <w:pStyle w:val="Heading3"/>
        <w:spacing w:before="220" w:after="100"/>
      </w:pPr>
      <w:r>
        <w:rPr>
          <w:rFonts w:ascii="Arial" w:cs="Arial" w:eastAsia="Arial" w:hAnsi="Arial"/>
          <w:b/>
          <w:bCs/>
          <w:color w:val="1A2E4A"/>
          <w:sz w:val="20"/>
          <w:szCs w:val="20"/>
        </w:rPr>
        <w:t xml:space="preserve">Reason 2 — HKD Peg Makes Local Rate ≈ US Rate</w:t>
      </w:r>
    </w:p>
    <w:p>
      <w:pPr>
        <w:spacing w:before="60" w:after="110"/>
      </w:pPr>
      <w:r>
        <w:rPr>
          <w:rFonts w:ascii="Arial" w:cs="Arial" w:eastAsia="Arial" w:hAnsi="Arial"/>
          <w:color w:val="1E293B"/>
          <w:sz w:val="20"/>
          <w:szCs w:val="20"/>
        </w:rPr>
        <w:t xml:space="preserve">For HKEX specifically, the HKD/USD exchange rate is fixed (pegged) by the HKMA. HKD interest rates therefore closely track USD rates — when the Fed raises rates, the HKMA follows to defend the peg, and HIBOR moves with LIBOR/SOFR. So 'local rate' (HKD HIBOR) and 'US rate' (USD SOFR) move together. Any rho to local rates IS rho to US rates — they are the same thing. This means there is no DIFFERENTIAL rho between local and US rates, which is precisely what the compo CB's extra rho to US rates represents.</w:t>
      </w:r>
    </w:p>
    <w:p>
      <w:pPr>
        <w:spacing w:before="0" w:after="60"/>
      </w:pPr>
    </w:p>
    <w:p>
      <w:pPr>
        <w:pBdr>
          <w:left w:val="single" w:color="006D6D" w:sz="20"/>
        </w:pBdr>
        <w:shd w:fill="F8FAFC" w:val="clear"/>
        <w:spacing w:before="140" w:after="140"/>
        <w:ind w:left="200" w:right="200"/>
        <w:jc w:val="center"/>
      </w:pPr>
      <w:r>
        <w:rPr>
          <w:rFonts w:ascii="Cambria Math" w:cs="Cambria Math" w:eastAsia="Cambria Math" w:hAnsi="Cambria Math"/>
          <w:b/>
          <w:bCs/>
          <w:color w:val="1A2E4A"/>
          <w:sz w:val="21"/>
          <w:szCs w:val="21"/>
        </w:rPr>
        <w:t xml:space="preserve">r_HKD ≈ r_USD  (due to peg)  →  r_HKD − r_USD ≈ 0  →  NDF ≈ Spot  →  no embedded FX forward value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1280"/>
        <w:gridCol w:w="8080"/>
      </w:tblGrid>
      <w:tr>
        <w:tc>
          <w:tcPr>
            <w:tcW w:type="dxa" w:w="1280"/>
            <w:tcBorders>
              <w:top w:val="none" w:color="FFFFFF" w:sz="0"/>
              <w:left w:val="none" w:color="FFFFFF" w:sz="0"/>
              <w:bottom w:val="none" w:color="FFFFFF" w:sz="0"/>
              <w:right w:val="none" w:color="FFFFFF" w:sz="0"/>
            </w:tcBorders>
            <w:shd w:fill="4C1D95" w:val="clear"/>
            <w:tcMar>
              <w:top w:type="dxa" w:w="130"/>
              <w:left w:type="dxa" w:w="140"/>
              <w:bottom w:type="dxa" w:w="130"/>
              <w:right w:type="dxa" w:w="120"/>
            </w:tcMar>
            <w:vAlign w:val="center"/>
          </w:tcPr>
          <w:p>
            <w:pPr>
              <w:jc w:val="center"/>
            </w:pPr>
            <w:r>
              <w:rPr>
                <w:rFonts w:ascii="Arial" w:cs="Arial" w:eastAsia="Arial" w:hAnsi="Arial"/>
                <w:b/>
                <w:bCs/>
                <w:color w:val="FFFFFF"/>
                <w:sz w:val="16"/>
                <w:szCs w:val="16"/>
              </w:rPr>
              <w:t xml:space="preserve">PRACTICAL IMPLICATION</w:t>
            </w:r>
          </w:p>
        </w:tc>
        <w:tc>
          <w:tcPr>
            <w:tcW w:type="dxa" w:w="8080"/>
            <w:tcBorders>
              <w:top w:val="none" w:color="FFFFFF" w:sz="0"/>
              <w:left w:val="none" w:color="FFFFFF" w:sz="0"/>
              <w:bottom w:val="none" w:color="FFFFFF" w:sz="0"/>
              <w:right w:val="none" w:color="FFFFFF" w:sz="0"/>
            </w:tcBorders>
            <w:shd w:fill="F5F3FF" w:val="clear"/>
            <w:tcMar>
              <w:top w:type="dxa" w:w="120"/>
              <w:left w:type="dxa" w:w="180"/>
              <w:bottom w:type="dxa" w:w="120"/>
              <w:right w:type="dxa" w:w="140"/>
            </w:tcMar>
          </w:tcPr>
          <w:p>
            <w:pPr>
              <w:spacing w:before="28" w:after="28"/>
            </w:pPr>
            <w:r>
              <w:rPr>
                <w:rFonts w:ascii="Arial" w:cs="Arial" w:eastAsia="Arial" w:hAnsi="Arial"/>
                <w:color w:val="1E293B"/>
                <w:sz w:val="19"/>
                <w:szCs w:val="19"/>
              </w:rPr>
              <w:t xml:space="preserve">A trader pricing the HKEX flexi CB does not need to model a separate NDF curve or apply a CIP-derived implied rate. The bond floor uses USD rates. The equity conversion uses the live HKD stock price divided by the live USDCHD spot (7.8). There is no FX basis to bridge. This significantly simplifies the pricer — compare to Wiwynn's compo structure which requires the full five-column NDF term structure to model correctly.</w:t>
            </w:r>
          </w:p>
        </w:tc>
      </w:tr>
    </w:tbl>
    <w:p>
      <w:pPr>
        <w:spacing w:before="0" w:after="80"/>
      </w:pPr>
    </w:p>
    <w:p>
      <w:pPr>
        <w:pStyle w:val="Heading2"/>
        <w:spacing w:before="300" w:after="120"/>
      </w:pPr>
      <w:r>
        <w:rPr>
          <w:rFonts w:ascii="Arial" w:cs="Arial" w:eastAsia="Arial" w:hAnsi="Arial"/>
          <w:b/>
          <w:bCs/>
          <w:color w:val="006D6D"/>
          <w:sz w:val="23"/>
          <w:szCs w:val="23"/>
        </w:rPr>
        <w:t xml:space="preserve">2.4  Bond Floor and Conversion Mechanics — Flexi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Calculation Step</w:t>
            </w:r>
          </w:p>
        </w:tc>
        <w:tc>
          <w:tcPr>
            <w:tcW w:type="dxa" w:w="348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Flexi CB (HKEX)</w:t>
            </w:r>
          </w:p>
        </w:tc>
        <w:tc>
          <w:tcPr>
            <w:tcW w:type="dxa" w:w="348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Compo CB (Zhen Ding)</w:t>
            </w:r>
          </w:p>
        </w:tc>
      </w:tr>
      <w:tr>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Bond Floor</w:t>
            </w:r>
          </w:p>
        </w:tc>
        <w:tc>
          <w:tcPr>
            <w:tcW w:type="dxa" w:w="34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Face ÷ (1+r_USD)^T — identical</w:t>
            </w:r>
          </w:p>
        </w:tc>
        <w:tc>
          <w:tcPr>
            <w:tcW w:type="dxa" w:w="34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Face ÷ (1+r_USD)^T — identical</w:t>
            </w:r>
          </w:p>
        </w:tc>
      </w:tr>
      <w:tr>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Shares at conversion</w:t>
            </w:r>
          </w:p>
        </w:tc>
        <w:tc>
          <w:tcPr>
            <w:tcW w:type="dxa" w:w="34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Face × 7.8 ÷ HKD_conversion_price</w:t>
            </w:r>
          </w:p>
        </w:tc>
        <w:tc>
          <w:tcPr>
            <w:tcW w:type="dxa" w:w="34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Face × Fixed_NTD_FX ÷ NTD_conversion_price</w:t>
            </w:r>
          </w:p>
        </w:tc>
      </w:tr>
      <w:tr>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Conversion value</w:t>
            </w:r>
          </w:p>
        </w:tc>
        <w:tc>
          <w:tcPr>
            <w:tcW w:type="dxa" w:w="34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Share count × HKD_stock ÷ Spot_USDHKD</w:t>
            </w:r>
          </w:p>
        </w:tc>
        <w:tc>
          <w:tcPr>
            <w:tcW w:type="dxa" w:w="34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Share count × NTD_stock ÷ Fixed_NTD_FX</w:t>
            </w:r>
          </w:p>
        </w:tc>
      </w:tr>
      <w:tr>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FX used</w:t>
            </w:r>
          </w:p>
        </w:tc>
        <w:tc>
          <w:tcPr>
            <w:tcW w:type="dxa" w:w="34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LIVE SPOT at conversion date</w:t>
            </w:r>
          </w:p>
        </w:tc>
        <w:tc>
          <w:tcPr>
            <w:tcW w:type="dxa" w:w="34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FX rate set at issuance</w:t>
            </w:r>
          </w:p>
        </w:tc>
      </w:tr>
      <w:tr>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NDF dependency</w:t>
            </w:r>
          </w:p>
        </w:tc>
        <w:tc>
          <w:tcPr>
            <w:tcW w:type="dxa" w:w="34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None</w:t>
            </w:r>
          </w:p>
        </w:tc>
        <w:tc>
          <w:tcPr>
            <w:tcW w:type="dxa" w:w="34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Critical — drives the FX option valuation</w:t>
            </w:r>
          </w:p>
        </w:tc>
      </w:tr>
      <w:tr>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Cross-currency rho</w:t>
            </w:r>
          </w:p>
        </w:tc>
        <w:tc>
          <w:tcPr>
            <w:tcW w:type="dxa" w:w="3480"/>
            <w:tcBorders>
              <w:top w:val="none" w:color="FFFFFF" w:sz="0"/>
              <w:left w:val="none" w:color="FFFFFF" w:sz="0"/>
              <w:bottom w:val="single" w:color="CBD5E1" w:sz="4"/>
              <w:right w:val="none" w:color="FFFFFF" w:sz="0"/>
            </w:tcBorders>
            <w:shd w:fill="ECFDF5" w:val="clear"/>
            <w:tcMar>
              <w:top w:type="dxa" w:w="90"/>
              <w:left w:type="dxa" w:w="160"/>
              <w:bottom w:type="dxa" w:w="90"/>
              <w:right w:type="dxa" w:w="160"/>
            </w:tcMar>
          </w:tcPr>
          <w:p>
            <w:r>
              <w:rPr>
                <w:rFonts w:ascii="Arial" w:cs="Arial" w:eastAsia="Arial" w:hAnsi="Arial"/>
                <w:b/>
                <w:bCs/>
                <w:color w:val="064E3B"/>
                <w:sz w:val="18"/>
                <w:szCs w:val="18"/>
              </w:rPr>
              <w:t xml:space="preserve">None</w:t>
            </w:r>
          </w:p>
        </w:tc>
        <w:tc>
          <w:tcPr>
            <w:tcW w:type="dxa" w:w="3480"/>
            <w:tcBorders>
              <w:top w:val="none" w:color="FFFFFF" w:sz="0"/>
              <w:left w:val="none" w:color="FFFFFF" w:sz="0"/>
              <w:bottom w:val="single" w:color="CBD5E1" w:sz="4"/>
              <w:right w:val="none" w:color="FFFFFF" w:sz="0"/>
            </w:tcBorders>
            <w:shd w:fill="FFF1F1" w:val="clear"/>
            <w:tcMar>
              <w:top w:type="dxa" w:w="90"/>
              <w:left w:type="dxa" w:w="160"/>
              <w:bottom w:type="dxa" w:w="90"/>
              <w:right w:type="dxa" w:w="160"/>
            </w:tcMar>
          </w:tcPr>
          <w:p>
            <w:r>
              <w:rPr>
                <w:rFonts w:ascii="Arial" w:cs="Arial" w:eastAsia="Arial" w:hAnsi="Arial"/>
                <w:b/>
                <w:bCs/>
                <w:color w:val="7F1D1D"/>
                <w:sz w:val="18"/>
                <w:szCs w:val="18"/>
              </w:rPr>
              <w:t xml:space="preserve">Present — long USD/NTD rate differential</w:t>
            </w:r>
          </w:p>
        </w:tc>
      </w:tr>
    </w:tbl>
    <w:p>
      <w:pPr>
        <w:spacing w:before="0" w:after="0"/>
      </w:pPr>
    </w:p>
    <w:p>
      <w:pPr>
        <w:pageBreakBefore/>
        <w:spacing w:before="0" w:after="0"/>
      </w:pPr>
    </w:p>
    <w:p>
      <w:pPr>
        <w:spacing w:before="500" w:after="60"/>
      </w:pPr>
      <w:r>
        <w:rPr>
          <w:rFonts w:ascii="Arial" w:cs="Arial" w:eastAsia="Arial" w:hAnsi="Arial"/>
          <w:b/>
          <w:bCs/>
          <w:color w:val="F1F5F9"/>
          <w:sz w:val="52"/>
          <w:szCs w:val="52"/>
        </w:rPr>
        <w:t xml:space="preserve">PART 3</w:t>
      </w:r>
    </w:p>
    <w:p>
      <w:pPr>
        <w:pBdr>
          <w:bottom w:val="single" w:color="006D6D" w:sz="14"/>
        </w:pBdr>
        <w:spacing w:before="0" w:after="60"/>
      </w:pPr>
      <w:r>
        <w:rPr>
          <w:rFonts w:ascii="Arial" w:cs="Arial" w:eastAsia="Arial" w:hAnsi="Arial"/>
          <w:b/>
          <w:bCs/>
          <w:color w:val="1A2E4A"/>
          <w:sz w:val="32"/>
          <w:szCs w:val="32"/>
        </w:rPr>
        <w:t xml:space="preserve">Currency Linked CB</w:t>
      </w:r>
    </w:p>
    <w:p>
      <w:pPr>
        <w:spacing w:before="60" w:after="280"/>
      </w:pPr>
      <w:r>
        <w:rPr>
          <w:rFonts w:ascii="Arial" w:cs="Arial" w:eastAsia="Arial" w:hAnsi="Arial"/>
          <w:i/>
          <w:iCs/>
          <w:color w:val="475569"/>
          <w:sz w:val="20"/>
          <w:szCs w:val="20"/>
        </w:rPr>
        <w:t xml:space="preserve">Fixed rate like compo — but US rate rho is zero; payout structured to neutralise rate differential</w:t>
      </w:r>
    </w:p>
    <w:p>
      <w:pPr>
        <w:pStyle w:val="Heading1"/>
        <w:pBdr>
          <w:bottom w:val="single" w:color="006D6D" w:sz="10"/>
        </w:pBdr>
        <w:spacing w:before="400" w:after="160"/>
      </w:pPr>
      <w:r>
        <w:rPr>
          <w:rFonts w:ascii="Arial" w:cs="Arial" w:eastAsia="Arial" w:hAnsi="Arial"/>
          <w:b/>
          <w:bCs/>
          <w:color w:val="1A2E4A"/>
          <w:sz w:val="28"/>
          <w:szCs w:val="28"/>
        </w:rPr>
        <w:t xml:space="preserve">Part 3 — Currency Linked CB: Hon Hai (Foxconn) 2029</w:t>
      </w:r>
    </w:p>
    <w:p>
      <w:pPr>
        <w:pStyle w:val="Heading2"/>
        <w:spacing w:before="300" w:after="120"/>
      </w:pPr>
      <w:r>
        <w:rPr>
          <w:rFonts w:ascii="Arial" w:cs="Arial" w:eastAsia="Arial" w:hAnsi="Arial"/>
          <w:b/>
          <w:bCs/>
          <w:color w:val="006D6D"/>
          <w:sz w:val="23"/>
          <w:szCs w:val="23"/>
        </w:rPr>
        <w:t xml:space="preserve">3.1  Term Sheet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Term</w:t>
            </w:r>
          </w:p>
        </w:tc>
        <w:tc>
          <w:tcPr>
            <w:tcW w:type="dxa" w:w="65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Detail</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Issuer</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Hon Hai Precision Industry Co., Ltd. (Foxconn) (TWSE: 2317)</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Commonly Known As</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Foxconn — world's largest electronics manufacturer</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Issue Size</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700,000,000</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Issue Date</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October 2024</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Maturity Date</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24 October 2029 (5-year tenor)</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Coupon</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0.00% per annum (zero coupon)</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Par Value</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200,000 per bond</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Conversion Price</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NT$300.00 per common share at issuance; adjusted to NT$288.94 effective 8 July 2025</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Equity Underlying</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Hon Hai Precision Industry ordinary shares (TWSE: 2317)</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Bond Currency</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Share Currency</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NTD (shares trade in New Taiwan Dollars)</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Listing</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Singapore Exchange (SGX)</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Dilution</w:t>
            </w:r>
          </w:p>
        </w:tc>
        <w:tc>
          <w:tcPr>
            <w:tcW w:type="dxa" w:w="65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~0.54% if all bonds convert to stock</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Proceeds Use</w:t>
            </w:r>
          </w:p>
        </w:tc>
        <w:tc>
          <w:tcPr>
            <w:tcW w:type="dxa" w:w="65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Fund raw material purchases from overseas</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CB Type</w:t>
            </w:r>
          </w:p>
        </w:tc>
        <w:tc>
          <w:tcPr>
            <w:tcW w:type="dxa" w:w="6560"/>
            <w:tcBorders>
              <w:top w:val="none" w:color="FFFFFF" w:sz="0"/>
              <w:left w:val="none" w:color="FFFFFF" w:sz="0"/>
              <w:bottom w:val="single" w:color="CBD5E1" w:sz="4"/>
              <w:right w:val="none" w:color="FFFFFF" w:sz="0"/>
            </w:tcBorders>
            <w:shd w:fill="ECFDF5" w:val="clear"/>
            <w:tcMar>
              <w:top w:type="dxa" w:w="90"/>
              <w:left w:type="dxa" w:w="160"/>
              <w:bottom w:type="dxa" w:w="90"/>
              <w:right w:type="dxa" w:w="160"/>
            </w:tcMar>
          </w:tcPr>
          <w:p>
            <w:r>
              <w:rPr>
                <w:rFonts w:ascii="Arial" w:cs="Arial" w:eastAsia="Arial" w:hAnsi="Arial"/>
                <w:b/>
                <w:bCs/>
                <w:color w:val="064E3B"/>
                <w:sz w:val="18"/>
                <w:szCs w:val="18"/>
              </w:rPr>
              <w:t xml:space="preserve">CURRENCY LINKED CB — fixed FX rate embedded but US rate rho neutralised by structure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1280"/>
        <w:gridCol w:w="8080"/>
      </w:tblGrid>
      <w:tr>
        <w:tc>
          <w:tcPr>
            <w:tcW w:type="dxa" w:w="1280"/>
            <w:tcBorders>
              <w:top w:val="none" w:color="FFFFFF" w:sz="0"/>
              <w:left w:val="none" w:color="FFFFFF" w:sz="0"/>
              <w:bottom w:val="none" w:color="FFFFFF" w:sz="0"/>
              <w:right w:val="none" w:color="FFFFFF" w:sz="0"/>
            </w:tcBorders>
            <w:shd w:fill="92400E" w:val="clear"/>
            <w:tcMar>
              <w:top w:type="dxa" w:w="130"/>
              <w:left w:type="dxa" w:w="140"/>
              <w:bottom w:type="dxa" w:w="130"/>
              <w:right w:type="dxa" w:w="120"/>
            </w:tcMar>
            <w:vAlign w:val="center"/>
          </w:tcPr>
          <w:p>
            <w:pPr>
              <w:jc w:val="center"/>
            </w:pPr>
            <w:r>
              <w:rPr>
                <w:rFonts w:ascii="Arial" w:cs="Arial" w:eastAsia="Arial" w:hAnsi="Arial"/>
                <w:b/>
                <w:bCs/>
                <w:color w:val="FFFFFF"/>
                <w:sz w:val="16"/>
                <w:szCs w:val="16"/>
              </w:rPr>
              <w:t xml:space="preserve">CONVERSION PRICE ADJUSTMENT</w:t>
            </w:r>
          </w:p>
        </w:tc>
        <w:tc>
          <w:tcPr>
            <w:tcW w:type="dxa" w:w="8080"/>
            <w:tcBorders>
              <w:top w:val="none" w:color="FFFFFF" w:sz="0"/>
              <w:left w:val="none" w:color="FFFFFF" w:sz="0"/>
              <w:bottom w:val="none" w:color="FFFFFF" w:sz="0"/>
              <w:right w:val="none" w:color="FFFFFF" w:sz="0"/>
            </w:tcBorders>
            <w:shd w:fill="FEF3C7" w:val="clear"/>
            <w:tcMar>
              <w:top w:type="dxa" w:w="120"/>
              <w:left w:type="dxa" w:w="180"/>
              <w:bottom w:type="dxa" w:w="120"/>
              <w:right w:type="dxa" w:w="140"/>
            </w:tcMar>
          </w:tcPr>
          <w:p>
            <w:pPr>
              <w:spacing w:before="28" w:after="28"/>
            </w:pPr>
            <w:r>
              <w:rPr>
                <w:rFonts w:ascii="Arial" w:cs="Arial" w:eastAsia="Arial" w:hAnsi="Arial"/>
                <w:color w:val="1E293B"/>
                <w:sz w:val="19"/>
                <w:szCs w:val="19"/>
              </w:rPr>
              <w:t xml:space="preserve">Hon Hai adjusted the conversion price from NT$300.00 to NT$288.94 (effective 8 July 2025), a reduction of ~3.7%. This is a standard anti-dilution adjustment triggered by a dividend distribution or corporate action, as specified in the original bond indenture. The prior 2021 overseas CB (due 2026) was simultaneously adjusted from NT$143.83 to NT$138.53.</w:t>
            </w:r>
          </w:p>
        </w:tc>
      </w:tr>
    </w:tbl>
    <w:p>
      <w:pPr>
        <w:spacing w:before="0" w:after="80"/>
      </w:pPr>
    </w:p>
    <w:p>
      <w:pPr>
        <w:pStyle w:val="Heading2"/>
        <w:spacing w:before="300" w:after="120"/>
      </w:pPr>
      <w:r>
        <w:rPr>
          <w:rFonts w:ascii="Arial" w:cs="Arial" w:eastAsia="Arial" w:hAnsi="Arial"/>
          <w:b/>
          <w:bCs/>
          <w:color w:val="006D6D"/>
          <w:sz w:val="23"/>
          <w:szCs w:val="23"/>
        </w:rPr>
        <w:t xml:space="preserve">3.2  What Is a Currency Linked CB</w:t>
      </w:r>
    </w:p>
    <w:p>
      <w:pPr>
        <w:spacing w:before="60" w:after="110"/>
      </w:pPr>
      <w:r>
        <w:rPr>
          <w:rFonts w:ascii="Arial" w:cs="Arial" w:eastAsia="Arial" w:hAnsi="Arial"/>
          <w:color w:val="1E293B"/>
          <w:sz w:val="20"/>
          <w:szCs w:val="20"/>
        </w:rPr>
        <w:t xml:space="preserve">A Currency Linked CB sits between a compo CB and a straight USD CB. Like a compo CB, it uses a FIXED FX rate embedded in the conversion terms — but unlike a compo CB, the structure is designed so that the net sensitivity to US interest rates is zero.</w:t>
      </w:r>
    </w:p>
    <w:p>
      <w:pPr>
        <w:spacing w:before="0" w:after="60"/>
      </w:pPr>
    </w:p>
    <w:p>
      <w:pPr>
        <w:spacing w:before="60" w:after="110"/>
      </w:pPr>
      <w:r>
        <w:rPr>
          <w:rFonts w:ascii="Arial" w:cs="Arial" w:eastAsia="Arial" w:hAnsi="Arial"/>
          <w:color w:val="1E293B"/>
          <w:sz w:val="20"/>
          <w:szCs w:val="20"/>
        </w:rPr>
        <w:t xml:space="preserve">The key structural difference from a compo CB is how the bond's redemption and conversion are architected:</w:t>
      </w:r>
    </w:p>
    <w:p>
      <w:pPr>
        <w:pStyle w:val="ListParagraph"/>
        <w:numPr>
          <w:ilvl w:val="0"/>
          <w:numId w:val="2"/>
        </w:numPr>
        <w:spacing w:before="50" w:after="80"/>
      </w:pPr>
      <w:r>
        <w:rPr>
          <w:rFonts w:ascii="Arial" w:cs="Arial" w:eastAsia="Arial" w:hAnsi="Arial"/>
          <w:color w:val="1E293B"/>
          <w:sz w:val="20"/>
          <w:szCs w:val="20"/>
        </w:rPr>
        <w:t xml:space="preserve">In a COMPO CB: the bondholder holds USD economic exposure that converts into NTD shares at a fixed rate. The fixed rate creates a live NDF forward position that moves with the USD/NTD rate differential.</w:t>
      </w:r>
    </w:p>
    <w:p>
      <w:pPr>
        <w:pStyle w:val="ListParagraph"/>
        <w:numPr>
          <w:ilvl w:val="0"/>
          <w:numId w:val="2"/>
        </w:numPr>
        <w:spacing w:before="50" w:after="80"/>
      </w:pPr>
      <w:r>
        <w:rPr>
          <w:rFonts w:ascii="Arial" w:cs="Arial" w:eastAsia="Arial" w:hAnsi="Arial"/>
          <w:color w:val="1E293B"/>
          <w:sz w:val="20"/>
          <w:szCs w:val="20"/>
        </w:rPr>
        <w:t xml:space="preserve">In a CURRENCY LINKED CB: the bond's redemption amount itself is referenced to a fixed USD/NTD rate. Both the bond floor and the equity payout are expressed through the same fixed NTD/USD relationship — there is no 'gap' between where USD rates price the bond floor and where NTD rates price the equity conversion, because the fixed rate applies symmetrically to both legs.</w:t>
      </w:r>
    </w:p>
    <w:p>
      <w:pPr>
        <w:pStyle w:val="ListParagraph"/>
        <w:numPr>
          <w:ilvl w:val="0"/>
          <w:numId w:val="2"/>
        </w:numPr>
        <w:spacing w:before="50" w:after="80"/>
      </w:pPr>
      <w:r>
        <w:rPr>
          <w:rFonts w:ascii="Arial" w:cs="Arial" w:eastAsia="Arial" w:hAnsi="Arial"/>
          <w:color w:val="1E293B"/>
          <w:sz w:val="20"/>
          <w:szCs w:val="20"/>
        </w:rPr>
        <w:t xml:space="preserve">The result: changes in US rates vs NTD rates do NOT create a net P&amp;L through the FX channel. The two effects exactly offset.</w:t>
      </w:r>
    </w:p>
    <w:p>
      <w:pPr>
        <w:spacing w:before="0" w:after="80"/>
      </w:pPr>
    </w:p>
    <w:p>
      <w:pPr>
        <w:pStyle w:val="Heading2"/>
        <w:spacing w:before="300" w:after="120"/>
      </w:pPr>
      <w:r>
        <w:rPr>
          <w:rFonts w:ascii="Arial" w:cs="Arial" w:eastAsia="Arial" w:hAnsi="Arial"/>
          <w:b/>
          <w:bCs/>
          <w:color w:val="006D6D"/>
          <w:sz w:val="23"/>
          <w:szCs w:val="23"/>
        </w:rPr>
        <w:t xml:space="preserve">3.3  Why Rho to US Rates = 0 for the Currency Linked CB</w:t>
      </w:r>
    </w:p>
    <w:p>
      <w:pPr>
        <w:spacing w:before="60" w:after="110"/>
      </w:pPr>
      <w:r>
        <w:rPr>
          <w:rFonts w:ascii="Arial" w:cs="Arial" w:eastAsia="Arial" w:hAnsi="Arial"/>
          <w:color w:val="1E293B"/>
          <w:sz w:val="20"/>
          <w:szCs w:val="20"/>
        </w:rPr>
        <w:t xml:space="preserve">The rho to US rates being zero is the defining characteristic that distinguishes a currency linked CB from a compo CB. Here is the mechanism: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Effect</w:t>
            </w:r>
          </w:p>
        </w:tc>
        <w:tc>
          <w:tcPr>
            <w:tcW w:type="dxa" w:w="328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Compo CB</w:t>
            </w:r>
          </w:p>
        </w:tc>
        <w:tc>
          <w:tcPr>
            <w:tcW w:type="dxa" w:w="328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Currency Linked CB</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rates rise → bond floor falls</w:t>
            </w:r>
          </w:p>
        </w:tc>
        <w:tc>
          <w:tcPr>
            <w:tcW w:type="dxa" w:w="32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Bond floor falls (PV lower at higher USD rate)</w:t>
            </w:r>
          </w:p>
        </w:tc>
        <w:tc>
          <w:tcPr>
            <w:tcW w:type="dxa" w:w="328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Bond floor falls (same)</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rates rise → NDF rises</w:t>
            </w:r>
          </w:p>
        </w:tc>
        <w:tc>
          <w:tcPr>
            <w:tcW w:type="dxa" w:w="32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FX option loses value (fixed rate gap narrows)</w:t>
            </w:r>
          </w:p>
        </w:tc>
        <w:tc>
          <w:tcPr>
            <w:tcW w:type="dxa" w:w="32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FX rate in conversion ALSO adjusts symmetrically</w:t>
            </w:r>
          </w:p>
        </w:tc>
      </w:tr>
      <w:tr>
        <w:tc>
          <w:tcPr>
            <w:tcW w:type="dxa" w:w="2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Net USD rate sensitivity</w:t>
            </w:r>
          </w:p>
        </w:tc>
        <w:tc>
          <w:tcPr>
            <w:tcW w:type="dxa" w:w="3280"/>
            <w:tcBorders>
              <w:top w:val="none" w:color="FFFFFF" w:sz="0"/>
              <w:left w:val="none" w:color="FFFFFF" w:sz="0"/>
              <w:bottom w:val="single" w:color="CBD5E1" w:sz="4"/>
              <w:right w:val="none" w:color="FFFFFF" w:sz="0"/>
            </w:tcBorders>
            <w:shd w:fill="FFF1F1" w:val="clear"/>
            <w:tcMar>
              <w:top w:type="dxa" w:w="90"/>
              <w:left w:type="dxa" w:w="160"/>
              <w:bottom w:type="dxa" w:w="90"/>
              <w:right w:type="dxa" w:w="160"/>
            </w:tcMar>
          </w:tcPr>
          <w:p>
            <w:r>
              <w:rPr>
                <w:rFonts w:ascii="Arial" w:cs="Arial" w:eastAsia="Arial" w:hAnsi="Arial"/>
                <w:b/>
                <w:bCs/>
                <w:color w:val="7F1D1D"/>
                <w:sz w:val="18"/>
                <w:szCs w:val="18"/>
              </w:rPr>
              <w:t xml:space="preserve">NON-ZERO — two effects don't cancel</w:t>
            </w:r>
          </w:p>
        </w:tc>
        <w:tc>
          <w:tcPr>
            <w:tcW w:type="dxa" w:w="3280"/>
            <w:tcBorders>
              <w:top w:val="none" w:color="FFFFFF" w:sz="0"/>
              <w:left w:val="none" w:color="FFFFFF" w:sz="0"/>
              <w:bottom w:val="single" w:color="CBD5E1" w:sz="4"/>
              <w:right w:val="none" w:color="FFFFFF" w:sz="0"/>
            </w:tcBorders>
            <w:shd w:fill="ECFDF5" w:val="clear"/>
            <w:tcMar>
              <w:top w:type="dxa" w:w="90"/>
              <w:left w:type="dxa" w:w="160"/>
              <w:bottom w:type="dxa" w:w="90"/>
              <w:right w:type="dxa" w:w="160"/>
            </w:tcMar>
          </w:tcPr>
          <w:p>
            <w:r>
              <w:rPr>
                <w:rFonts w:ascii="Arial" w:cs="Arial" w:eastAsia="Arial" w:hAnsi="Arial"/>
                <w:b/>
                <w:bCs/>
                <w:color w:val="064E3B"/>
                <w:sz w:val="18"/>
                <w:szCs w:val="18"/>
              </w:rPr>
              <w:t xml:space="preserve">ZERO — two effects cancel exactly</w:t>
            </w:r>
          </w:p>
        </w:tc>
      </w:tr>
      <w:tr>
        <w:tc>
          <w:tcPr>
            <w:tcW w:type="dxa" w:w="2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Explanation</w:t>
            </w:r>
          </w:p>
        </w:tc>
        <w:tc>
          <w:tcPr>
            <w:tcW w:type="dxa" w:w="32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FX rate was set independently of the bond floor rate — creates asymmetric rho</w:t>
            </w:r>
          </w:p>
        </w:tc>
        <w:tc>
          <w:tcPr>
            <w:tcW w:type="dxa" w:w="328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Structure ensures the FX conversion and bond floor use the same rate reference — symmetric, self-cancelling rho</w:t>
            </w:r>
          </w:p>
        </w:tc>
      </w:tr>
    </w:tbl>
    <w:p>
      <w:pPr>
        <w:spacing w:before="0" w:after="60"/>
      </w:pPr>
    </w:p>
    <w:p>
      <w:pPr>
        <w:spacing w:before="60" w:after="110"/>
      </w:pPr>
      <w:r>
        <w:rPr>
          <w:rFonts w:ascii="Arial" w:cs="Arial" w:eastAsia="Arial" w:hAnsi="Arial"/>
          <w:color w:val="1E293B"/>
          <w:sz w:val="20"/>
          <w:szCs w:val="20"/>
        </w:rPr>
        <w:t xml:space="preserve">In practical terms: a currency linked CB is one where the ENTIRE bond — both the debt floor and the equity option — is valued as if it were an NTD bond that happens to be denominated in USD for distribution purposes. The fixed FX rate is not an embedded forward; it is a denomination conversion that applies identically to both sides of the instrument.</w:t>
      </w:r>
    </w:p>
    <w:p>
      <w:pPr>
        <w:spacing w:before="0" w:after="80"/>
      </w:pPr>
    </w:p>
    <w:p>
      <w:pPr>
        <w:pStyle w:val="Heading2"/>
        <w:spacing w:before="300" w:after="120"/>
      </w:pPr>
      <w:r>
        <w:rPr>
          <w:rFonts w:ascii="Arial" w:cs="Arial" w:eastAsia="Arial" w:hAnsi="Arial"/>
          <w:b/>
          <w:bCs/>
          <w:color w:val="006D6D"/>
          <w:sz w:val="23"/>
          <w:szCs w:val="23"/>
        </w:rPr>
        <w:t xml:space="preserve">3.4  Hon Hai as the Currency Linked Example — Why It Fits</w:t>
      </w:r>
    </w:p>
    <w:p>
      <w:pPr>
        <w:spacing w:before="60" w:after="110"/>
      </w:pPr>
      <w:r>
        <w:rPr>
          <w:rFonts w:ascii="Arial" w:cs="Arial" w:eastAsia="Arial" w:hAnsi="Arial"/>
          <w:color w:val="1E293B"/>
          <w:sz w:val="20"/>
          <w:szCs w:val="20"/>
        </w:rPr>
        <w:t xml:space="preserve">Hon Hai (Foxconn, TWSE: 2317) is ideally suited as a currency linked CB issuer for the following reasons:</w:t>
      </w:r>
    </w:p>
    <w:p>
      <w:pPr>
        <w:pStyle w:val="ListParagraph"/>
        <w:numPr>
          <w:ilvl w:val="0"/>
          <w:numId w:val="2"/>
        </w:numPr>
        <w:spacing w:before="50" w:after="80"/>
      </w:pPr>
      <w:r>
        <w:rPr>
          <w:rFonts w:ascii="Arial" w:cs="Arial" w:eastAsia="Arial" w:hAnsi="Arial"/>
          <w:color w:val="1E293B"/>
          <w:sz w:val="20"/>
          <w:szCs w:val="20"/>
        </w:rPr>
        <w:t xml:space="preserve">Hon Hai is a fundamentally NTD-economy company — revenue is global but reported in NTD, funding needs are primarily for overseas USD raw material purchases</w:t>
      </w:r>
    </w:p>
    <w:p>
      <w:pPr>
        <w:pStyle w:val="ListParagraph"/>
        <w:numPr>
          <w:ilvl w:val="0"/>
          <w:numId w:val="2"/>
        </w:numPr>
        <w:spacing w:before="50" w:after="80"/>
      </w:pPr>
      <w:r>
        <w:rPr>
          <w:rFonts w:ascii="Arial" w:cs="Arial" w:eastAsia="Arial" w:hAnsi="Arial"/>
          <w:color w:val="1E293B"/>
          <w:sz w:val="20"/>
          <w:szCs w:val="20"/>
        </w:rPr>
        <w:t xml:space="preserve">The bond explicitly states it was issued to fund raw material purchases from overseas — a USD funding need against NTD equity</w:t>
      </w:r>
    </w:p>
    <w:p>
      <w:pPr>
        <w:pStyle w:val="ListParagraph"/>
        <w:numPr>
          <w:ilvl w:val="0"/>
          <w:numId w:val="2"/>
        </w:numPr>
        <w:spacing w:before="50" w:after="80"/>
      </w:pPr>
      <w:r>
        <w:rPr>
          <w:rFonts w:ascii="Arial" w:cs="Arial" w:eastAsia="Arial" w:hAnsi="Arial"/>
          <w:color w:val="1E293B"/>
          <w:sz w:val="20"/>
          <w:szCs w:val="20"/>
        </w:rPr>
        <w:t xml:space="preserve">The conversion price (NT$300, adjusted to NT$288.94) is set as a pure NTD price — the equity story is entirely NTD-denominated</w:t>
      </w:r>
    </w:p>
    <w:p>
      <w:pPr>
        <w:pStyle w:val="ListParagraph"/>
        <w:numPr>
          <w:ilvl w:val="0"/>
          <w:numId w:val="2"/>
        </w:numPr>
        <w:spacing w:before="50" w:after="80"/>
      </w:pPr>
      <w:r>
        <w:rPr>
          <w:rFonts w:ascii="Arial" w:cs="Arial" w:eastAsia="Arial" w:hAnsi="Arial"/>
          <w:color w:val="1E293B"/>
          <w:sz w:val="20"/>
          <w:szCs w:val="20"/>
        </w:rPr>
        <w:t xml:space="preserve">By structuring as currency linked (rather than compo), Hon Hai eliminates the residual NDF forward risk for investors, making the bond more accessible to USD investors who do not want to manage a live NTD FX forward book</w:t>
      </w:r>
    </w:p>
    <w:p>
      <w:pPr>
        <w:pStyle w:val="ListParagraph"/>
        <w:numPr>
          <w:ilvl w:val="0"/>
          <w:numId w:val="2"/>
        </w:numPr>
        <w:spacing w:before="50" w:after="80"/>
      </w:pPr>
      <w:r>
        <w:rPr>
          <w:rFonts w:ascii="Arial" w:cs="Arial" w:eastAsia="Arial" w:hAnsi="Arial"/>
          <w:color w:val="1E293B"/>
          <w:sz w:val="20"/>
          <w:szCs w:val="20"/>
        </w:rPr>
        <w:t xml:space="preserve">The zero rho to US rates means the bond's duration profile is simpler — it behaves like a USD zero coupon bond for rates purposes, with a NTD equity option on top</w:t>
      </w:r>
    </w:p>
    <w:p>
      <w:pPr>
        <w:spacing w:before="0" w:after="80"/>
      </w:pPr>
    </w:p>
    <w:p>
      <w:pPr>
        <w:pStyle w:val="Heading2"/>
        <w:spacing w:before="300" w:after="120"/>
      </w:pPr>
      <w:r>
        <w:rPr>
          <w:rFonts w:ascii="Arial" w:cs="Arial" w:eastAsia="Arial" w:hAnsi="Arial"/>
          <w:b/>
          <w:bCs/>
          <w:color w:val="006D6D"/>
          <w:sz w:val="23"/>
          <w:szCs w:val="23"/>
        </w:rPr>
        <w:t xml:space="preserve">3.5  Bond Floor and Duration Comparison</w:t>
      </w:r>
    </w:p>
    <w:p>
      <w:pPr>
        <w:pBdr>
          <w:left w:val="single" w:color="006D6D" w:sz="20"/>
        </w:pBdr>
        <w:shd w:fill="F8FAFC" w:val="clear"/>
        <w:spacing w:before="140" w:after="140"/>
        <w:ind w:left="200" w:right="200"/>
        <w:jc w:val="center"/>
      </w:pPr>
      <w:r>
        <w:rPr>
          <w:rFonts w:ascii="Cambria Math" w:cs="Cambria Math" w:eastAsia="Cambria Math" w:hAnsi="Cambria Math"/>
          <w:b/>
          <w:bCs/>
          <w:color w:val="1A2E4A"/>
          <w:sz w:val="21"/>
          <w:szCs w:val="21"/>
        </w:rPr>
        <w:t xml:space="preserve">Bond Floor (all three types) = USD Face ÷ (1 + r_USD)^T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200"/>
        <w:gridCol w:w="2200"/>
        <w:gridCol w:w="1360"/>
      </w:tblGrid>
      <w:tr>
        <w:trPr>
          <w:tblHeader/>
        </w:trPr>
        <w:tc>
          <w:tcPr>
            <w:tcW w:type="dxa" w:w="24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Bond</w:t>
            </w:r>
          </w:p>
        </w:tc>
        <w:tc>
          <w:tcPr>
            <w:tcW w:type="dxa" w:w="16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Face</w:t>
            </w:r>
          </w:p>
        </w:tc>
        <w:tc>
          <w:tcPr>
            <w:tcW w:type="dxa" w:w="16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r_USD (approx)</w:t>
            </w:r>
          </w:p>
        </w:tc>
        <w:tc>
          <w:tcPr>
            <w:tcW w:type="dxa" w:w="12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Tenor</w:t>
            </w:r>
          </w:p>
        </w:tc>
        <w:tc>
          <w:tcPr>
            <w:tcW w:type="dxa" w:w="22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Bond Floor</w:t>
            </w:r>
          </w:p>
        </w:tc>
        <w:tc>
          <w:tcPr>
            <w:tcW w:type="dxa" w:w="13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 of Face</w:t>
            </w:r>
          </w:p>
        </w:tc>
      </w:tr>
      <w:tr>
        <w:tc>
          <w:tcPr>
            <w:tcW w:type="dxa" w:w="2400"/>
            <w:tcBorders>
              <w:top w:val="none" w:color="FFFFFF" w:sz="0"/>
              <w:left w:val="none" w:color="FFFFFF" w:sz="0"/>
              <w:bottom w:val="single" w:color="CBD5E1" w:sz="4"/>
              <w:right w:val="none" w:color="FFFFFF" w:sz="0"/>
            </w:tcBorders>
            <w:shd w:fill="EFF6FF" w:val="clear"/>
            <w:tcMar>
              <w:top w:type="dxa" w:w="90"/>
              <w:left w:type="dxa" w:w="160"/>
              <w:bottom w:type="dxa" w:w="90"/>
              <w:right w:type="dxa" w:w="160"/>
            </w:tcMar>
          </w:tcPr>
          <w:p>
            <w:r>
              <w:rPr>
                <w:rFonts w:ascii="Arial" w:cs="Arial" w:eastAsia="Arial" w:hAnsi="Arial"/>
                <w:b/>
                <w:bCs/>
                <w:color w:val="1E3A5F"/>
                <w:sz w:val="18"/>
                <w:szCs w:val="18"/>
              </w:rPr>
              <w:t xml:space="preserve">Zhen Ding (compo)</w:t>
            </w:r>
          </w:p>
        </w:tc>
        <w:tc>
          <w:tcPr>
            <w:tcW w:type="dxa" w:w="16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400M</w:t>
            </w:r>
          </w:p>
        </w:tc>
        <w:tc>
          <w:tcPr>
            <w:tcW w:type="dxa" w:w="16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3.375%</w:t>
            </w:r>
          </w:p>
        </w:tc>
        <w:tc>
          <w:tcPr>
            <w:tcW w:type="dxa" w:w="1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5Y</w:t>
            </w:r>
          </w:p>
        </w:tc>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 USD 284M</w:t>
            </w:r>
          </w:p>
        </w:tc>
        <w:tc>
          <w:tcPr>
            <w:tcW w:type="dxa" w:w="13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 71%</w:t>
            </w:r>
          </w:p>
        </w:tc>
      </w:tr>
      <w:tr>
        <w:tc>
          <w:tcPr>
            <w:tcW w:type="dxa" w:w="2400"/>
            <w:tcBorders>
              <w:top w:val="none" w:color="FFFFFF" w:sz="0"/>
              <w:left w:val="none" w:color="FFFFFF" w:sz="0"/>
              <w:bottom w:val="single" w:color="CBD5E1" w:sz="4"/>
              <w:right w:val="none" w:color="FFFFFF" w:sz="0"/>
            </w:tcBorders>
            <w:shd w:fill="F5F3FF" w:val="clear"/>
            <w:tcMar>
              <w:top w:type="dxa" w:w="90"/>
              <w:left w:type="dxa" w:w="160"/>
              <w:bottom w:type="dxa" w:w="90"/>
              <w:right w:type="dxa" w:w="160"/>
            </w:tcMar>
          </w:tcPr>
          <w:p>
            <w:r>
              <w:rPr>
                <w:rFonts w:ascii="Arial" w:cs="Arial" w:eastAsia="Arial" w:hAnsi="Arial"/>
                <w:b/>
                <w:bCs/>
                <w:color w:val="4C1D95"/>
                <w:sz w:val="18"/>
                <w:szCs w:val="18"/>
              </w:rPr>
              <w:t xml:space="preserve">HKEX (flexi)</w:t>
            </w:r>
          </w:p>
        </w:tc>
        <w:tc>
          <w:tcPr>
            <w:tcW w:type="dxa" w:w="16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 (undisclosed)</w:t>
            </w:r>
          </w:p>
        </w:tc>
        <w:tc>
          <w:tcPr>
            <w:tcW w:type="dxa" w:w="16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~3-4%</w:t>
            </w:r>
          </w:p>
        </w:tc>
        <w:tc>
          <w:tcPr>
            <w:tcW w:type="dxa" w:w="12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5Y typical</w:t>
            </w:r>
          </w:p>
        </w:tc>
        <w:tc>
          <w:tcPr>
            <w:tcW w:type="dxa" w:w="22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~71-72% of face</w:t>
            </w:r>
          </w:p>
        </w:tc>
        <w:tc>
          <w:tcPr>
            <w:tcW w:type="dxa" w:w="13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~71-72%</w:t>
            </w:r>
          </w:p>
        </w:tc>
      </w:tr>
      <w:tr>
        <w:tc>
          <w:tcPr>
            <w:tcW w:type="dxa" w:w="2400"/>
            <w:tcBorders>
              <w:top w:val="none" w:color="FFFFFF" w:sz="0"/>
              <w:left w:val="none" w:color="FFFFFF" w:sz="0"/>
              <w:bottom w:val="single" w:color="CBD5E1" w:sz="4"/>
              <w:right w:val="none" w:color="FFFFFF" w:sz="0"/>
            </w:tcBorders>
            <w:shd w:fill="ECFDF5" w:val="clear"/>
            <w:tcMar>
              <w:top w:type="dxa" w:w="90"/>
              <w:left w:type="dxa" w:w="160"/>
              <w:bottom w:type="dxa" w:w="90"/>
              <w:right w:type="dxa" w:w="160"/>
            </w:tcMar>
          </w:tcPr>
          <w:p>
            <w:r>
              <w:rPr>
                <w:rFonts w:ascii="Arial" w:cs="Arial" w:eastAsia="Arial" w:hAnsi="Arial"/>
                <w:b/>
                <w:bCs/>
                <w:color w:val="064E3B"/>
                <w:sz w:val="18"/>
                <w:szCs w:val="18"/>
              </w:rPr>
              <w:t xml:space="preserve">Hon Hai 29 (curr. linked)</w:t>
            </w:r>
          </w:p>
        </w:tc>
        <w:tc>
          <w:tcPr>
            <w:tcW w:type="dxa" w:w="16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700M</w:t>
            </w:r>
          </w:p>
        </w:tc>
        <w:tc>
          <w:tcPr>
            <w:tcW w:type="dxa" w:w="16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~3-4%</w:t>
            </w:r>
          </w:p>
        </w:tc>
        <w:tc>
          <w:tcPr>
            <w:tcW w:type="dxa" w:w="1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5Y</w:t>
            </w:r>
          </w:p>
        </w:tc>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 USD 490-500M</w:t>
            </w:r>
          </w:p>
        </w:tc>
        <w:tc>
          <w:tcPr>
            <w:tcW w:type="dxa" w:w="13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 70-71%</w:t>
            </w:r>
          </w:p>
        </w:tc>
      </w:tr>
    </w:tbl>
    <w:p>
      <w:pPr>
        <w:spacing w:before="0" w:after="60"/>
      </w:pPr>
    </w:p>
    <w:p>
      <w:pPr>
        <w:spacing w:before="60" w:after="110"/>
      </w:pPr>
      <w:r>
        <w:rPr>
          <w:rFonts w:ascii="Arial" w:cs="Arial" w:eastAsia="Arial" w:hAnsi="Arial"/>
          <w:color w:val="1E293B"/>
          <w:sz w:val="20"/>
          <w:szCs w:val="20"/>
        </w:rPr>
        <w:t xml:space="preserve">Despite the different FX structures, the bond floors are priced identically — all three use the USD yield curve. The structuring difference is entirely in the EQUITY CONVERSION OPTION and the cross-currency sensitivities it creates.</w:t>
      </w:r>
    </w:p>
    <w:p>
      <w:pPr>
        <w:spacing w:before="0" w:after="0"/>
      </w:pPr>
    </w:p>
    <w:p>
      <w:pPr>
        <w:pageBreakBefore/>
        <w:spacing w:before="0" w:after="0"/>
      </w:pPr>
    </w:p>
    <w:p>
      <w:pPr>
        <w:spacing w:before="500" w:after="60"/>
      </w:pPr>
      <w:r>
        <w:rPr>
          <w:rFonts w:ascii="Arial" w:cs="Arial" w:eastAsia="Arial" w:hAnsi="Arial"/>
          <w:b/>
          <w:bCs/>
          <w:color w:val="F1F5F9"/>
          <w:sz w:val="52"/>
          <w:szCs w:val="52"/>
        </w:rPr>
        <w:t xml:space="preserve">PART 4</w:t>
      </w:r>
    </w:p>
    <w:p>
      <w:pPr>
        <w:pBdr>
          <w:bottom w:val="single" w:color="006D6D" w:sz="14"/>
        </w:pBdr>
        <w:spacing w:before="0" w:after="60"/>
      </w:pPr>
      <w:r>
        <w:rPr>
          <w:rFonts w:ascii="Arial" w:cs="Arial" w:eastAsia="Arial" w:hAnsi="Arial"/>
          <w:b/>
          <w:bCs/>
          <w:color w:val="1A2E4A"/>
          <w:sz w:val="32"/>
          <w:szCs w:val="32"/>
        </w:rPr>
        <w:t xml:space="preserve">Rho Sensitivity Deep Dive</w:t>
      </w:r>
    </w:p>
    <w:p>
      <w:pPr>
        <w:spacing w:before="60" w:after="280"/>
      </w:pPr>
      <w:r>
        <w:rPr>
          <w:rFonts w:ascii="Arial" w:cs="Arial" w:eastAsia="Arial" w:hAnsi="Arial"/>
          <w:i/>
          <w:iCs/>
          <w:color w:val="475569"/>
          <w:sz w:val="20"/>
          <w:szCs w:val="20"/>
        </w:rPr>
        <w:t xml:space="preserve">Why each CB type is long local forward by delta amount, and what drives the US rates differential</w:t>
      </w:r>
    </w:p>
    <w:p>
      <w:pPr>
        <w:pStyle w:val="Heading1"/>
        <w:pBdr>
          <w:bottom w:val="single" w:color="006D6D" w:sz="10"/>
        </w:pBdr>
        <w:spacing w:before="400" w:after="160"/>
      </w:pPr>
      <w:r>
        <w:rPr>
          <w:rFonts w:ascii="Arial" w:cs="Arial" w:eastAsia="Arial" w:hAnsi="Arial"/>
          <w:b/>
          <w:bCs/>
          <w:color w:val="1A2E4A"/>
          <w:sz w:val="28"/>
          <w:szCs w:val="28"/>
        </w:rPr>
        <w:t xml:space="preserve">Part 4 — Rho Sensitivity: Full Analytical Breakdown</w:t>
      </w:r>
    </w:p>
    <w:p>
      <w:pPr>
        <w:pStyle w:val="Heading2"/>
        <w:spacing w:before="300" w:after="120"/>
      </w:pPr>
      <w:r>
        <w:rPr>
          <w:rFonts w:ascii="Arial" w:cs="Arial" w:eastAsia="Arial" w:hAnsi="Arial"/>
          <w:b/>
          <w:bCs/>
          <w:color w:val="006D6D"/>
          <w:sz w:val="23"/>
          <w:szCs w:val="23"/>
        </w:rPr>
        <w:t xml:space="preserve">4.1  Why ALL Three Types Are Long Rho to Local Rates</w:t>
      </w:r>
    </w:p>
    <w:p>
      <w:pPr>
        <w:spacing w:before="60" w:after="110"/>
      </w:pPr>
      <w:r>
        <w:rPr>
          <w:rFonts w:ascii="Arial" w:cs="Arial" w:eastAsia="Arial" w:hAnsi="Arial"/>
          <w:color w:val="1E293B"/>
          <w:sz w:val="20"/>
          <w:szCs w:val="20"/>
        </w:rPr>
        <w:t xml:space="preserve">Every cross-currency CB — regardless of whether it is compo, flexi, or currency linked — is structurally long the local interest rate because of the equity conversion mechanics. Here is the chain of reasoning: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Step</w:t>
            </w:r>
          </w:p>
        </w:tc>
        <w:tc>
          <w:tcPr>
            <w:tcW w:type="dxa" w:w="48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Logic</w:t>
            </w:r>
          </w:p>
        </w:tc>
        <w:tc>
          <w:tcPr>
            <w:tcW w:type="dxa" w:w="31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Result</w:t>
            </w:r>
          </w:p>
        </w:tc>
      </w:tr>
      <w:tr>
        <w:tc>
          <w:tcPr>
            <w:tcW w:type="dxa" w:w="1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1. CB holds equity option</w:t>
            </w:r>
          </w:p>
        </w:tc>
        <w:tc>
          <w:tcPr>
            <w:tcW w:type="dxa" w:w="4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The bondholder effectively owns a call option on the local equity</w:t>
            </w:r>
          </w:p>
        </w:tc>
        <w:tc>
          <w:tcPr>
            <w:tcW w:type="dxa" w:w="31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the NTD (or HKD) equity value</w:t>
            </w:r>
          </w:p>
        </w:tc>
      </w:tr>
      <w:tr>
        <w:tc>
          <w:tcPr>
            <w:tcW w:type="dxa" w:w="1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2. Equity = NTD/HKD asset</w:t>
            </w:r>
          </w:p>
        </w:tc>
        <w:tc>
          <w:tcPr>
            <w:tcW w:type="dxa" w:w="4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The stock price is denominated in NTD or HKD — a local currency asset</w:t>
            </w:r>
          </w:p>
        </w:tc>
        <w:tc>
          <w:tcPr>
            <w:tcW w:type="dxa" w:w="31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local FX exposure by delta amount</w:t>
            </w:r>
          </w:p>
        </w:tc>
      </w:tr>
      <w:tr>
        <w:tc>
          <w:tcPr>
            <w:tcW w:type="dxa" w:w="1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3. Local FX exposure = local forward</w:t>
            </w:r>
          </w:p>
        </w:tc>
        <w:tc>
          <w:tcPr>
            <w:tcW w:type="dxa" w:w="4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Being long a local currency asset forward is equivalent to being long the local interest rate (via FX forward parity)</w:t>
            </w:r>
          </w:p>
        </w:tc>
        <w:tc>
          <w:tcPr>
            <w:tcW w:type="dxa" w:w="31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r_local by delta × notional</w:t>
            </w:r>
          </w:p>
        </w:tc>
      </w:tr>
      <w:tr>
        <w:tc>
          <w:tcPr>
            <w:tcW w:type="dxa" w:w="1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4. Local rate rise effect</w:t>
            </w:r>
          </w:p>
        </w:tc>
        <w:tc>
          <w:tcPr>
            <w:tcW w:type="dxa" w:w="4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If r_NTD rises: NTD forward falls (NTD trades at bigger discount vs USD forward); BUT NTD bond discount rate falls → NTD equity PV rises; NET: the conversion value in USD is higher</w:t>
            </w:r>
          </w:p>
        </w:tc>
        <w:tc>
          <w:tcPr>
            <w:tcW w:type="dxa" w:w="31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Positive rho to local rates</w:t>
            </w:r>
          </w:p>
        </w:tc>
      </w:tr>
    </w:tbl>
    <w:p>
      <w:pPr>
        <w:spacing w:before="0" w:after="80"/>
      </w:pPr>
    </w:p>
    <w:p>
      <w:pPr>
        <w:pStyle w:val="Heading2"/>
        <w:spacing w:before="300" w:after="120"/>
      </w:pPr>
      <w:r>
        <w:rPr>
          <w:rFonts w:ascii="Arial" w:cs="Arial" w:eastAsia="Arial" w:hAnsi="Arial"/>
          <w:b/>
          <w:bCs/>
          <w:color w:val="006D6D"/>
          <w:sz w:val="23"/>
          <w:szCs w:val="23"/>
        </w:rPr>
        <w:t xml:space="preserve">4.2  The Compo CB's Extra Rho to US Rates</w:t>
      </w:r>
    </w:p>
    <w:p>
      <w:pPr>
        <w:spacing w:before="60" w:after="110"/>
      </w:pPr>
      <w:r>
        <w:rPr>
          <w:rFonts w:ascii="Arial" w:cs="Arial" w:eastAsia="Arial" w:hAnsi="Arial"/>
          <w:color w:val="1E293B"/>
          <w:sz w:val="20"/>
          <w:szCs w:val="20"/>
        </w:rPr>
        <w:t xml:space="preserve">The compo CB's additional rho to US rates — described in the image as "long rho of local rate relative to US rate → long local FX fwd" — works through the NDF pricing of the fixed FX conversion:</w:t>
      </w:r>
    </w:p>
    <w:p>
      <w:pPr>
        <w:spacing w:before="0" w:after="60"/>
      </w:pPr>
    </w:p>
    <w:p>
      <w:pPr>
        <w:pBdr>
          <w:left w:val="single" w:color="006D6D" w:sz="20"/>
        </w:pBdr>
        <w:shd w:fill="F8FAFC" w:val="clear"/>
        <w:spacing w:before="140" w:after="140"/>
        <w:ind w:left="200" w:right="200"/>
        <w:jc w:val="center"/>
      </w:pPr>
      <w:r>
        <w:rPr>
          <w:rFonts w:ascii="Cambria Math" w:cs="Cambria Math" w:eastAsia="Cambria Math" w:hAnsi="Cambria Math"/>
          <w:b/>
          <w:bCs/>
          <w:color w:val="1A2E4A"/>
          <w:sz w:val="21"/>
          <w:szCs w:val="21"/>
        </w:rPr>
        <w:t xml:space="preserve">NDF = Spot × (1 + r_NTD)^T ÷ (1 + r_USD)^T</w:t>
      </w:r>
    </w:p>
    <w:p>
      <w:pPr>
        <w:spacing w:before="0" w:after="40"/>
      </w:pPr>
    </w:p>
    <w:p>
      <w:pPr>
        <w:pBdr>
          <w:left w:val="single" w:color="006D6D" w:sz="20"/>
        </w:pBdr>
        <w:shd w:fill="F8FAFC" w:val="clear"/>
        <w:spacing w:before="140" w:after="140"/>
        <w:ind w:left="200" w:right="200"/>
        <w:jc w:val="center"/>
      </w:pPr>
      <w:r>
        <w:rPr>
          <w:rFonts w:ascii="Cambria Math" w:cs="Cambria Math" w:eastAsia="Cambria Math" w:hAnsi="Cambria Math"/>
          <w:b/>
          <w:bCs/>
          <w:color w:val="1A2E4A"/>
          <w:sz w:val="21"/>
          <w:szCs w:val="21"/>
        </w:rPr>
        <w:t xml:space="preserve">FX Option Value ∝ (Fixed Rate − NDF) × N(d₂) × e^(−r_USD × T)</w:t>
      </w:r>
    </w:p>
    <w:p>
      <w:pPr>
        <w:spacing w:before="0" w:after="60"/>
      </w:pPr>
    </w:p>
    <w:p>
      <w:pPr>
        <w:spacing w:before="60" w:after="110"/>
      </w:pPr>
      <w:r>
        <w:rPr>
          <w:rFonts w:ascii="Arial" w:cs="Arial" w:eastAsia="Arial" w:hAnsi="Arial"/>
          <w:color w:val="1E293B"/>
          <w:sz w:val="20"/>
          <w:szCs w:val="20"/>
        </w:rPr>
        <w:t xml:space="preserve">When r_USD rises (holding r_NTD constant):</w:t>
      </w:r>
    </w:p>
    <w:p>
      <w:pPr>
        <w:pStyle w:val="ListParagraph"/>
        <w:numPr>
          <w:ilvl w:val="0"/>
          <w:numId w:val="2"/>
        </w:numPr>
        <w:spacing w:before="50" w:after="80"/>
      </w:pPr>
      <w:r>
        <w:rPr>
          <w:rFonts w:ascii="Arial" w:cs="Arial" w:eastAsia="Arial" w:hAnsi="Arial"/>
          <w:color w:val="1E293B"/>
          <w:sz w:val="20"/>
          <w:szCs w:val="20"/>
        </w:rPr>
        <w:t xml:space="preserve">NDF rises → Fixed Rate − NDF narrows → FX option loses value</w:t>
      </w:r>
    </w:p>
    <w:p>
      <w:pPr>
        <w:pStyle w:val="ListParagraph"/>
        <w:numPr>
          <w:ilvl w:val="0"/>
          <w:numId w:val="2"/>
        </w:numPr>
        <w:spacing w:before="50" w:after="80"/>
      </w:pPr>
      <w:r>
        <w:rPr>
          <w:rFonts w:ascii="Arial" w:cs="Arial" w:eastAsia="Arial" w:hAnsi="Arial"/>
          <w:color w:val="1E293B"/>
          <w:sz w:val="20"/>
          <w:szCs w:val="20"/>
        </w:rPr>
        <w:t xml:space="preserve">But bond floor also loses value (higher discount rate)</w:t>
      </w:r>
    </w:p>
    <w:p>
      <w:pPr>
        <w:pStyle w:val="ListParagraph"/>
        <w:numPr>
          <w:ilvl w:val="0"/>
          <w:numId w:val="2"/>
        </w:numPr>
        <w:spacing w:before="50" w:after="80"/>
      </w:pPr>
      <w:r>
        <w:rPr>
          <w:rFonts w:ascii="Arial" w:cs="Arial" w:eastAsia="Arial" w:hAnsi="Arial"/>
          <w:color w:val="1E293B"/>
          <w:sz w:val="20"/>
          <w:szCs w:val="20"/>
        </w:rPr>
        <w:t xml:space="preserve">The NET effect is a POSITIVE sensitivity to the local/US rate SPREAD — when the spread (r_NTD − r_USD) widens, the compo CB benefits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1280"/>
        <w:gridCol w:w="8080"/>
      </w:tblGrid>
      <w:tr>
        <w:tc>
          <w:tcPr>
            <w:tcW w:type="dxa" w:w="1280"/>
            <w:tcBorders>
              <w:top w:val="none" w:color="FFFFFF" w:sz="0"/>
              <w:left w:val="none" w:color="FFFFFF" w:sz="0"/>
              <w:bottom w:val="none" w:color="FFFFFF" w:sz="0"/>
              <w:right w:val="none" w:color="FFFFFF" w:sz="0"/>
            </w:tcBorders>
            <w:shd w:fill="92400E" w:val="clear"/>
            <w:tcMar>
              <w:top w:type="dxa" w:w="130"/>
              <w:left w:type="dxa" w:w="140"/>
              <w:bottom w:type="dxa" w:w="130"/>
              <w:right w:type="dxa" w:w="120"/>
            </w:tcMar>
            <w:vAlign w:val="center"/>
          </w:tcPr>
          <w:p>
            <w:pPr>
              <w:jc w:val="center"/>
            </w:pPr>
            <w:r>
              <w:rPr>
                <w:rFonts w:ascii="Arial" w:cs="Arial" w:eastAsia="Arial" w:hAnsi="Arial"/>
                <w:b/>
                <w:bCs/>
                <w:color w:val="FFFFFF"/>
                <w:sz w:val="16"/>
                <w:szCs w:val="16"/>
              </w:rPr>
              <w:t xml:space="preserve">TRADING IMPLICATION FOR COMPO CB</w:t>
            </w:r>
          </w:p>
        </w:tc>
        <w:tc>
          <w:tcPr>
            <w:tcW w:type="dxa" w:w="8080"/>
            <w:tcBorders>
              <w:top w:val="none" w:color="FFFFFF" w:sz="0"/>
              <w:left w:val="none" w:color="FFFFFF" w:sz="0"/>
              <w:bottom w:val="none" w:color="FFFFFF" w:sz="0"/>
              <w:right w:val="none" w:color="FFFFFF" w:sz="0"/>
            </w:tcBorders>
            <w:shd w:fill="FEF3C7" w:val="clear"/>
            <w:tcMar>
              <w:top w:type="dxa" w:w="120"/>
              <w:left w:type="dxa" w:w="180"/>
              <w:bottom w:type="dxa" w:w="120"/>
              <w:right w:type="dxa" w:w="140"/>
            </w:tcMar>
          </w:tcPr>
          <w:p>
            <w:pPr>
              <w:spacing w:before="28" w:after="28"/>
            </w:pPr>
            <w:r>
              <w:rPr>
                <w:rFonts w:ascii="Arial" w:cs="Arial" w:eastAsia="Arial" w:hAnsi="Arial"/>
                <w:color w:val="1E293B"/>
                <w:sz w:val="19"/>
                <w:szCs w:val="19"/>
              </w:rPr>
              <w:t xml:space="preserve">A desk running a compo CB book must hedge not just equity delta and bond duration (rho to USD rates alone) but ALSO the cross-currency NDF rho — the differential between NTD and USD rates. This is typically hedged using USDTWD NDFs at the relevant tenor. This is exactly the hedging cost component analysed in the earlier Wiwynn CLZCB FX Exposure documents — the annual NDF rolling cost of +2.66% at 12M (r_USD 4.20% minus r_NTD 1.50%) is the direct monetary cost of this rho.</w:t>
            </w:r>
          </w:p>
        </w:tc>
      </w:tr>
    </w:tbl>
    <w:p>
      <w:pPr>
        <w:spacing w:before="0" w:after="80"/>
      </w:pPr>
    </w:p>
    <w:p>
      <w:pPr>
        <w:pStyle w:val="Heading2"/>
        <w:spacing w:before="300" w:after="120"/>
      </w:pPr>
      <w:r>
        <w:rPr>
          <w:rFonts w:ascii="Arial" w:cs="Arial" w:eastAsia="Arial" w:hAnsi="Arial"/>
          <w:b/>
          <w:bCs/>
          <w:color w:val="006D6D"/>
          <w:sz w:val="23"/>
          <w:szCs w:val="23"/>
        </w:rPr>
        <w:t xml:space="preserve">4.3  Summary Rho Table — All Three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200"/>
        <w:gridCol w:w="1960"/>
      </w:tblGrid>
      <w:tr>
        <w:trPr>
          <w:tblHeader/>
        </w:trPr>
        <w:tc>
          <w:tcPr>
            <w:tcW w:type="dxa" w:w="20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CB Type</w:t>
            </w:r>
          </w:p>
        </w:tc>
        <w:tc>
          <w:tcPr>
            <w:tcW w:type="dxa" w:w="20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Rho to Local Rates</w:t>
            </w:r>
          </w:p>
        </w:tc>
        <w:tc>
          <w:tcPr>
            <w:tcW w:type="dxa" w:w="22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Rho to USD Rates</w:t>
            </w:r>
          </w:p>
        </w:tc>
        <w:tc>
          <w:tcPr>
            <w:tcW w:type="dxa" w:w="22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Net Cross-Currency Rho</w:t>
            </w:r>
          </w:p>
        </w:tc>
        <w:tc>
          <w:tcPr>
            <w:tcW w:type="dxa" w:w="19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Hedge Required</w:t>
            </w:r>
          </w:p>
        </w:tc>
      </w:tr>
      <w:tr>
        <w:tc>
          <w:tcPr>
            <w:tcW w:type="dxa" w:w="2000"/>
            <w:tcBorders>
              <w:top w:val="none" w:color="FFFFFF" w:sz="0"/>
              <w:left w:val="none" w:color="FFFFFF" w:sz="0"/>
              <w:bottom w:val="single" w:color="CBD5E1" w:sz="4"/>
              <w:right w:val="none" w:color="FFFFFF" w:sz="0"/>
            </w:tcBorders>
            <w:shd w:fill="EFF6FF" w:val="clear"/>
            <w:tcMar>
              <w:top w:type="dxa" w:w="90"/>
              <w:left w:type="dxa" w:w="160"/>
              <w:bottom w:type="dxa" w:w="90"/>
              <w:right w:type="dxa" w:w="160"/>
            </w:tcMar>
          </w:tcPr>
          <w:p>
            <w:r>
              <w:rPr>
                <w:rFonts w:ascii="Arial" w:cs="Arial" w:eastAsia="Arial" w:hAnsi="Arial"/>
                <w:b/>
                <w:bCs/>
                <w:color w:val="1E3A5F"/>
                <w:sz w:val="18"/>
                <w:szCs w:val="18"/>
              </w:rPr>
              <w:t xml:space="preserve">Compo (Zhen Ding)</w:t>
            </w:r>
          </w:p>
        </w:tc>
        <w:tc>
          <w:tcPr>
            <w:tcW w:type="dxa" w:w="2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by delta × notional</w:t>
            </w:r>
          </w:p>
        </w:tc>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through NDF forward (fixed rate creates live USD/NTD rate differential position)</w:t>
            </w:r>
          </w:p>
        </w:tc>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(r_NTD − r_USD) differential × delta × notional</w:t>
            </w:r>
          </w:p>
        </w:tc>
        <w:tc>
          <w:tcPr>
            <w:tcW w:type="dxa" w:w="19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NDF overlays at CB tenor to hedge FX basis; NTN yields for local rate rho</w:t>
            </w:r>
          </w:p>
        </w:tc>
      </w:tr>
      <w:tr>
        <w:tc>
          <w:tcPr>
            <w:tcW w:type="dxa" w:w="2000"/>
            <w:tcBorders>
              <w:top w:val="none" w:color="FFFFFF" w:sz="0"/>
              <w:left w:val="none" w:color="FFFFFF" w:sz="0"/>
              <w:bottom w:val="single" w:color="CBD5E1" w:sz="4"/>
              <w:right w:val="none" w:color="FFFFFF" w:sz="0"/>
            </w:tcBorders>
            <w:shd w:fill="F5F3FF" w:val="clear"/>
            <w:tcMar>
              <w:top w:type="dxa" w:w="90"/>
              <w:left w:type="dxa" w:w="160"/>
              <w:bottom w:type="dxa" w:w="90"/>
              <w:right w:type="dxa" w:w="160"/>
            </w:tcMar>
          </w:tcPr>
          <w:p>
            <w:r>
              <w:rPr>
                <w:rFonts w:ascii="Arial" w:cs="Arial" w:eastAsia="Arial" w:hAnsi="Arial"/>
                <w:b/>
                <w:bCs/>
                <w:color w:val="4C1D95"/>
                <w:sz w:val="18"/>
                <w:szCs w:val="18"/>
              </w:rPr>
              <w:t xml:space="preserve">Flexi (HKEX)</w:t>
            </w:r>
          </w:p>
        </w:tc>
        <w:tc>
          <w:tcPr>
            <w:tcW w:type="dxa" w:w="20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by delta × notional</w:t>
            </w:r>
          </w:p>
        </w:tc>
        <w:tc>
          <w:tcPr>
            <w:tcW w:type="dxa" w:w="22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ZERO — no embedded NDF; HKD peg means local ≈ USD rates</w:t>
            </w:r>
          </w:p>
        </w:tc>
        <w:tc>
          <w:tcPr>
            <w:tcW w:type="dxa" w:w="22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Zero net cross-currency rho</w:t>
            </w:r>
          </w:p>
        </w:tc>
        <w:tc>
          <w:tcPr>
            <w:tcW w:type="dxa" w:w="19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No NDF hedge needed; standard equity delta hedge only</w:t>
            </w:r>
          </w:p>
        </w:tc>
      </w:tr>
      <w:tr>
        <w:tc>
          <w:tcPr>
            <w:tcW w:type="dxa" w:w="2000"/>
            <w:tcBorders>
              <w:top w:val="none" w:color="FFFFFF" w:sz="0"/>
              <w:left w:val="none" w:color="FFFFFF" w:sz="0"/>
              <w:bottom w:val="single" w:color="CBD5E1" w:sz="4"/>
              <w:right w:val="none" w:color="FFFFFF" w:sz="0"/>
            </w:tcBorders>
            <w:shd w:fill="ECFDF5" w:val="clear"/>
            <w:tcMar>
              <w:top w:type="dxa" w:w="90"/>
              <w:left w:type="dxa" w:w="160"/>
              <w:bottom w:type="dxa" w:w="90"/>
              <w:right w:type="dxa" w:w="160"/>
            </w:tcMar>
          </w:tcPr>
          <w:p>
            <w:r>
              <w:rPr>
                <w:rFonts w:ascii="Arial" w:cs="Arial" w:eastAsia="Arial" w:hAnsi="Arial"/>
                <w:b/>
                <w:bCs/>
                <w:color w:val="064E3B"/>
                <w:sz w:val="18"/>
                <w:szCs w:val="18"/>
              </w:rPr>
              <w:t xml:space="preserve">Currency Linked (Hon Hai)</w:t>
            </w:r>
          </w:p>
        </w:tc>
        <w:tc>
          <w:tcPr>
            <w:tcW w:type="dxa" w:w="2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by delta × notional</w:t>
            </w:r>
          </w:p>
        </w:tc>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ZERO — structure symmetrically references fixed FX to both legs</w:t>
            </w:r>
          </w:p>
        </w:tc>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Zero net cross-currency rho</w:t>
            </w:r>
          </w:p>
        </w:tc>
        <w:tc>
          <w:tcPr>
            <w:tcW w:type="dxa" w:w="19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No NDF hedge for rates; standard equity delta hedge only</w:t>
            </w:r>
          </w:p>
        </w:tc>
      </w:tr>
    </w:tbl>
    <w:p>
      <w:pPr>
        <w:spacing w:before="0" w:after="80"/>
      </w:pPr>
    </w:p>
    <w:p>
      <w:pPr>
        <w:pStyle w:val="Heading2"/>
        <w:spacing w:before="300" w:after="120"/>
      </w:pPr>
      <w:r>
        <w:rPr>
          <w:rFonts w:ascii="Arial" w:cs="Arial" w:eastAsia="Arial" w:hAnsi="Arial"/>
          <w:b/>
          <w:bCs/>
          <w:color w:val="006D6D"/>
          <w:sz w:val="23"/>
          <w:szCs w:val="23"/>
        </w:rPr>
        <w:t xml:space="preserve">4.4  Practical Delta-Adjusted Rho Amounts (Illustrative)</w:t>
      </w:r>
    </w:p>
    <w:p>
      <w:pPr>
        <w:spacing w:before="60" w:after="110"/>
      </w:pPr>
      <w:r>
        <w:rPr>
          <w:rFonts w:ascii="Arial" w:cs="Arial" w:eastAsia="Arial" w:hAnsi="Arial"/>
          <w:color w:val="1E293B"/>
          <w:sz w:val="20"/>
          <w:szCs w:val="20"/>
        </w:rPr>
        <w:t xml:space="preserve">Assuming USD 100M face position with 40-delta for each bond: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2000"/>
        <w:gridCol w:w="2160"/>
        <w:gridCol w:w="2200"/>
      </w:tblGrid>
      <w:tr>
        <w:trPr>
          <w:tblHeader/>
        </w:trPr>
        <w:tc>
          <w:tcPr>
            <w:tcW w:type="dxa" w:w="20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CB Type</w:t>
            </w:r>
          </w:p>
        </w:tc>
        <w:tc>
          <w:tcPr>
            <w:tcW w:type="dxa" w:w="10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Face</w:t>
            </w:r>
          </w:p>
        </w:tc>
        <w:tc>
          <w:tcPr>
            <w:tcW w:type="dxa" w:w="10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Delta</w:t>
            </w:r>
          </w:p>
        </w:tc>
        <w:tc>
          <w:tcPr>
            <w:tcW w:type="dxa" w:w="20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Delta-Adj Notional</w:t>
            </w:r>
          </w:p>
        </w:tc>
        <w:tc>
          <w:tcPr>
            <w:tcW w:type="dxa" w:w="21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Local Rate Rho (50bp move)</w:t>
            </w:r>
          </w:p>
        </w:tc>
        <w:tc>
          <w:tcPr>
            <w:tcW w:type="dxa" w:w="22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USD Rate Rho (50bp move)</w:t>
            </w:r>
          </w:p>
        </w:tc>
      </w:tr>
      <w:tr>
        <w:tc>
          <w:tcPr>
            <w:tcW w:type="dxa" w:w="2000"/>
            <w:tcBorders>
              <w:top w:val="none" w:color="FFFFFF" w:sz="0"/>
              <w:left w:val="none" w:color="FFFFFF" w:sz="0"/>
              <w:bottom w:val="single" w:color="CBD5E1" w:sz="4"/>
              <w:right w:val="none" w:color="FFFFFF" w:sz="0"/>
            </w:tcBorders>
            <w:shd w:fill="EFF6FF" w:val="clear"/>
            <w:tcMar>
              <w:top w:type="dxa" w:w="90"/>
              <w:left w:type="dxa" w:w="160"/>
              <w:bottom w:type="dxa" w:w="90"/>
              <w:right w:type="dxa" w:w="160"/>
            </w:tcMar>
          </w:tcPr>
          <w:p>
            <w:r>
              <w:rPr>
                <w:rFonts w:ascii="Arial" w:cs="Arial" w:eastAsia="Arial" w:hAnsi="Arial"/>
                <w:b/>
                <w:bCs/>
                <w:color w:val="1E3A5F"/>
                <w:sz w:val="18"/>
                <w:szCs w:val="18"/>
              </w:rPr>
              <w:t xml:space="preserve">Compo (Zhen Ding)</w:t>
            </w:r>
          </w:p>
        </w:tc>
        <w:tc>
          <w:tcPr>
            <w:tcW w:type="dxa" w:w="1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100M</w:t>
            </w:r>
          </w:p>
        </w:tc>
        <w:tc>
          <w:tcPr>
            <w:tcW w:type="dxa" w:w="1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0.40</w:t>
            </w:r>
          </w:p>
        </w:tc>
        <w:tc>
          <w:tcPr>
            <w:tcW w:type="dxa" w:w="2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40M equiv NTD position</w:t>
            </w:r>
          </w:p>
        </w:tc>
        <w:tc>
          <w:tcPr>
            <w:tcW w:type="dxa" w:w="21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200K approx (NTD rates +50bp → conversion value up)</w:t>
            </w:r>
          </w:p>
        </w:tc>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130-140K approx (via NDF forward channel)</w:t>
            </w:r>
          </w:p>
        </w:tc>
      </w:tr>
      <w:tr>
        <w:tc>
          <w:tcPr>
            <w:tcW w:type="dxa" w:w="2000"/>
            <w:tcBorders>
              <w:top w:val="none" w:color="FFFFFF" w:sz="0"/>
              <w:left w:val="none" w:color="FFFFFF" w:sz="0"/>
              <w:bottom w:val="single" w:color="CBD5E1" w:sz="4"/>
              <w:right w:val="none" w:color="FFFFFF" w:sz="0"/>
            </w:tcBorders>
            <w:shd w:fill="F5F3FF" w:val="clear"/>
            <w:tcMar>
              <w:top w:type="dxa" w:w="90"/>
              <w:left w:type="dxa" w:w="160"/>
              <w:bottom w:type="dxa" w:w="90"/>
              <w:right w:type="dxa" w:w="160"/>
            </w:tcMar>
          </w:tcPr>
          <w:p>
            <w:r>
              <w:rPr>
                <w:rFonts w:ascii="Arial" w:cs="Arial" w:eastAsia="Arial" w:hAnsi="Arial"/>
                <w:b/>
                <w:bCs/>
                <w:color w:val="4C1D95"/>
                <w:sz w:val="18"/>
                <w:szCs w:val="18"/>
              </w:rPr>
              <w:t xml:space="preserve">Flexi (HKEX)</w:t>
            </w:r>
          </w:p>
        </w:tc>
        <w:tc>
          <w:tcPr>
            <w:tcW w:type="dxa" w:w="10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100M</w:t>
            </w:r>
          </w:p>
        </w:tc>
        <w:tc>
          <w:tcPr>
            <w:tcW w:type="dxa" w:w="10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0.40</w:t>
            </w:r>
          </w:p>
        </w:tc>
        <w:tc>
          <w:tcPr>
            <w:tcW w:type="dxa" w:w="20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40M equiv HKD position</w:t>
            </w:r>
          </w:p>
        </w:tc>
        <w:tc>
          <w:tcPr>
            <w:tcW w:type="dxa" w:w="21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200K approx (identical mechanism)</w:t>
            </w:r>
          </w:p>
        </w:tc>
        <w:tc>
          <w:tcPr>
            <w:tcW w:type="dxa" w:w="22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~0 (peg + no NDF)</w:t>
            </w:r>
          </w:p>
        </w:tc>
      </w:tr>
      <w:tr>
        <w:tc>
          <w:tcPr>
            <w:tcW w:type="dxa" w:w="2000"/>
            <w:tcBorders>
              <w:top w:val="none" w:color="FFFFFF" w:sz="0"/>
              <w:left w:val="none" w:color="FFFFFF" w:sz="0"/>
              <w:bottom w:val="single" w:color="CBD5E1" w:sz="4"/>
              <w:right w:val="none" w:color="FFFFFF" w:sz="0"/>
            </w:tcBorders>
            <w:shd w:fill="ECFDF5" w:val="clear"/>
            <w:tcMar>
              <w:top w:type="dxa" w:w="90"/>
              <w:left w:type="dxa" w:w="160"/>
              <w:bottom w:type="dxa" w:w="90"/>
              <w:right w:type="dxa" w:w="160"/>
            </w:tcMar>
          </w:tcPr>
          <w:p>
            <w:r>
              <w:rPr>
                <w:rFonts w:ascii="Arial" w:cs="Arial" w:eastAsia="Arial" w:hAnsi="Arial"/>
                <w:b/>
                <w:bCs/>
                <w:color w:val="064E3B"/>
                <w:sz w:val="18"/>
                <w:szCs w:val="18"/>
              </w:rPr>
              <w:t xml:space="preserve">Currency Linked (Hon Hai)</w:t>
            </w:r>
          </w:p>
        </w:tc>
        <w:tc>
          <w:tcPr>
            <w:tcW w:type="dxa" w:w="1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100M</w:t>
            </w:r>
          </w:p>
        </w:tc>
        <w:tc>
          <w:tcPr>
            <w:tcW w:type="dxa" w:w="1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0.40</w:t>
            </w:r>
          </w:p>
        </w:tc>
        <w:tc>
          <w:tcPr>
            <w:tcW w:type="dxa" w:w="20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40M equiv NTD position</w:t>
            </w:r>
          </w:p>
        </w:tc>
        <w:tc>
          <w:tcPr>
            <w:tcW w:type="dxa" w:w="21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200K approx (identical mechanism)</w:t>
            </w:r>
          </w:p>
        </w:tc>
        <w:tc>
          <w:tcPr>
            <w:tcW w:type="dxa" w:w="22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~0 (symmetric fixed rate structure)</w:t>
            </w:r>
          </w:p>
        </w:tc>
      </w:tr>
    </w:tbl>
    <w:p>
      <w:pPr>
        <w:spacing w:before="0" w:after="0"/>
      </w:pPr>
    </w:p>
    <w:p>
      <w:pPr>
        <w:pageBreakBefore/>
        <w:spacing w:before="0" w:after="0"/>
      </w:pPr>
    </w:p>
    <w:p>
      <w:pPr>
        <w:spacing w:before="500" w:after="60"/>
      </w:pPr>
      <w:r>
        <w:rPr>
          <w:rFonts w:ascii="Arial" w:cs="Arial" w:eastAsia="Arial" w:hAnsi="Arial"/>
          <w:b/>
          <w:bCs/>
          <w:color w:val="F1F5F9"/>
          <w:sz w:val="52"/>
          <w:szCs w:val="52"/>
        </w:rPr>
        <w:t xml:space="preserve">PART 5</w:t>
      </w:r>
    </w:p>
    <w:p>
      <w:pPr>
        <w:pBdr>
          <w:bottom w:val="single" w:color="006D6D" w:sz="14"/>
        </w:pBdr>
        <w:spacing w:before="0" w:after="60"/>
      </w:pPr>
      <w:r>
        <w:rPr>
          <w:rFonts w:ascii="Arial" w:cs="Arial" w:eastAsia="Arial" w:hAnsi="Arial"/>
          <w:b/>
          <w:bCs/>
          <w:color w:val="1A2E4A"/>
          <w:sz w:val="32"/>
          <w:szCs w:val="32"/>
        </w:rPr>
        <w:t xml:space="preserve">Quick Reference</w:t>
      </w:r>
    </w:p>
    <w:p>
      <w:pPr>
        <w:spacing w:before="60" w:after="280"/>
      </w:pPr>
      <w:r>
        <w:rPr>
          <w:rFonts w:ascii="Arial" w:cs="Arial" w:eastAsia="Arial" w:hAnsi="Arial"/>
          <w:i/>
          <w:iCs/>
          <w:color w:val="475569"/>
          <w:sz w:val="20"/>
          <w:szCs w:val="20"/>
        </w:rPr>
        <w:t xml:space="preserve">One-page summary table and key definitions</w:t>
      </w:r>
    </w:p>
    <w:p>
      <w:pPr>
        <w:pStyle w:val="Heading1"/>
        <w:pBdr>
          <w:bottom w:val="single" w:color="006D6D" w:sz="10"/>
        </w:pBdr>
        <w:spacing w:before="400" w:after="160"/>
      </w:pPr>
      <w:r>
        <w:rPr>
          <w:rFonts w:ascii="Arial" w:cs="Arial" w:eastAsia="Arial" w:hAnsi="Arial"/>
          <w:b/>
          <w:bCs/>
          <w:color w:val="1A2E4A"/>
          <w:sz w:val="28"/>
          <w:szCs w:val="28"/>
        </w:rPr>
        <w:t xml:space="preserve">Part 5 — Quick Reference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150"/>
              <w:left w:type="dxa" w:w="280"/>
              <w:bottom w:type="dxa" w:w="150"/>
              <w:right w:type="dxa" w:w="280"/>
            </w:tcMar>
          </w:tcPr>
          <w:p>
            <w:pPr>
              <w:jc w:val="center"/>
            </w:pPr>
            <w:r>
              <w:rPr>
                <w:rFonts w:ascii="Arial" w:cs="Arial" w:eastAsia="Arial" w:hAnsi="Arial"/>
                <w:b/>
                <w:bCs/>
                <w:color w:val="FFFFFF"/>
                <w:sz w:val="18"/>
                <w:szCs w:val="18"/>
              </w:rPr>
              <w:t xml:space="preserve">DEFINITIONS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Term</w:t>
            </w:r>
          </w:p>
        </w:tc>
        <w:tc>
          <w:tcPr>
            <w:tcW w:type="dxa" w:w="696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Definition</w:t>
            </w:r>
          </w:p>
        </w:tc>
      </w:tr>
      <w:tr>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Compo CB</w:t>
            </w:r>
          </w:p>
        </w:tc>
        <w:tc>
          <w:tcPr>
            <w:tcW w:type="dxa" w:w="69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Composite convertible bond — USD-denominated, equity in local currency (NTD/HKD), conversion at FIXED FX rate set at issuance. Creates embedded NDF forward. Has rho to both local and US rates.</w:t>
            </w:r>
          </w:p>
        </w:tc>
      </w:tr>
      <w:tr>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Flexi CB</w:t>
            </w:r>
          </w:p>
        </w:tc>
        <w:tc>
          <w:tcPr>
            <w:tcW w:type="dxa" w:w="69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Flexible-FX convertible bond — USD-denominated, equity in local currency, conversion at LIVE SPOT FX rate at conversion date. No embedded NDF. Zero rho to US rates.</w:t>
            </w:r>
          </w:p>
        </w:tc>
      </w:tr>
      <w:tr>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Currency Linked CB</w:t>
            </w:r>
          </w:p>
        </w:tc>
        <w:tc>
          <w:tcPr>
            <w:tcW w:type="dxa" w:w="69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USD-denominated CB with fixed FX rate, but structured so the fixed rate applies symmetrically to both the bond floor and the equity conversion — net US rate rho = 0. Sits between compo and flexi structurally.</w:t>
            </w:r>
          </w:p>
        </w:tc>
      </w:tr>
      <w:tr>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Rho</w:t>
            </w:r>
          </w:p>
        </w:tc>
        <w:tc>
          <w:tcPr>
            <w:tcW w:type="dxa" w:w="69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Sensitivity of the bond price to a change in interest rates. Quoted as USD change per 1bp (0.01%) move in the relevant rate.</w:t>
            </w:r>
          </w:p>
        </w:tc>
      </w:tr>
      <w:tr>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local forward</w:t>
            </w:r>
          </w:p>
        </w:tc>
        <w:tc>
          <w:tcPr>
            <w:tcW w:type="dxa" w:w="69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Being long the local-currency equity is equivalent to being long the local currency forward via FX forward parity. This is why all cross-currency CBs are long rho to local rates.</w:t>
            </w:r>
          </w:p>
        </w:tc>
      </w:tr>
      <w:tr>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NDF (Non-Deliverable Forward)</w:t>
            </w:r>
          </w:p>
        </w:tc>
        <w:tc>
          <w:tcPr>
            <w:tcW w:type="dxa" w:w="69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A forward FX contract settled in USD that references a fixed future exchange rate. In Taiwan CBs, the USDTWD NDF market sets the implied NTD rate used to value the FX conversion option.</w:t>
            </w:r>
          </w:p>
        </w:tc>
      </w:tr>
      <w:tr>
        <w:tc>
          <w:tcPr>
            <w:tcW w:type="dxa" w:w="24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Bond Floor</w:t>
            </w:r>
          </w:p>
        </w:tc>
        <w:tc>
          <w:tcPr>
            <w:tcW w:type="dxa" w:w="696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The PV of the USD redemption at maturity, discounted at the USD yield curve. Floor = Face / (1+r_USD)^T. Identical for all three CB types.</w:t>
            </w:r>
          </w:p>
        </w:tc>
      </w:tr>
      <w:tr>
        <w:tc>
          <w:tcPr>
            <w:tcW w:type="dxa" w:w="24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FX Basis</w:t>
            </w:r>
          </w:p>
        </w:tc>
        <w:tc>
          <w:tcPr>
            <w:tcW w:type="dxa" w:w="696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The gap between the USD-discounted bond floor and the NTD-discounted equity conversion value. In a compo CB this gap must be bridged by the NDF-implied rate. In flexi and currency linked CBs this gap is zero or self-cancelling.</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6D" w:val="clear"/>
            <w:tcMar>
              <w:top w:type="dxa" w:w="150"/>
              <w:left w:type="dxa" w:w="280"/>
              <w:bottom w:type="dxa" w:w="150"/>
              <w:right w:type="dxa" w:w="280"/>
            </w:tcMar>
          </w:tcPr>
          <w:p>
            <w:pPr>
              <w:jc w:val="center"/>
            </w:pPr>
            <w:r>
              <w:rPr>
                <w:rFonts w:ascii="Arial" w:cs="Arial" w:eastAsia="Arial" w:hAnsi="Arial"/>
                <w:b/>
                <w:bCs/>
                <w:color w:val="FFFFFF"/>
                <w:sz w:val="18"/>
                <w:szCs w:val="18"/>
              </w:rPr>
              <w:t xml:space="preserve">THREE BONDS AT A GLANCE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52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default"/>
            </w:r>
          </w:p>
        </w:tc>
        <w:tc>
          <w:tcPr>
            <w:tcW w:type="dxa" w:w="252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default"/>
            </w:r>
          </w:p>
        </w:tc>
        <w:tc>
          <w:tcPr>
            <w:tcW w:type="dxa" w:w="2520"/>
            <w:tcBorders>
              <w:top w:val="none" w:color="FFFFFF" w:sz="0"/>
              <w:left w:val="none" w:color="FFFFFF" w:sz="0"/>
              <w:bottom w:val="single" w:color="006D6D" w:sz="8"/>
              <w:right w:val="none" w:color="FFFFFF" w:sz="0"/>
            </w:tcBorders>
            <w:shd w:fill="1A2E4A" w:val="clear"/>
            <w:tcMar>
              <w:top w:type="dxa" w:w="100"/>
              <w:left w:type="dxa" w:w="160"/>
              <w:bottom w:type="dxa" w:w="100"/>
              <w:right w:type="dxa" w:w="160"/>
            </w:tcMar>
          </w:tcPr>
          <w:p>
            <w:r>
              <w:rPr>
                <w:rFonts w:ascii="Arial" w:cs="Arial" w:eastAsia="Arial" w:hAnsi="Arial"/>
                <w:b/>
                <w:bCs/>
                <w:color w:val="FFFFFF"/>
                <w:sz w:val="18"/>
                <w:szCs w:val="18"/>
              </w:rPr>
              <w:t xml:space="default"/>
            </w:r>
          </w:p>
        </w:tc>
      </w:tr>
      <w:tr>
        <w:tc>
          <w:tcPr>
            <w:tcW w:type="dxa" w:w="1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ISIN</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XS2742707644</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0388.HK (equity; CB ISIN via SGX)</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SGX-listed; ISIN via TWSE filing</w:t>
            </w:r>
          </w:p>
        </w:tc>
      </w:tr>
      <w:tr>
        <w:tc>
          <w:tcPr>
            <w:tcW w:type="dxa" w:w="1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Size</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400M</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Undisclosed</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700M</w:t>
            </w:r>
          </w:p>
        </w:tc>
      </w:tr>
      <w:tr>
        <w:tc>
          <w:tcPr>
            <w:tcW w:type="dxa" w:w="1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Coupon</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0% (YTM 3.375%)</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0%</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0%</w:t>
            </w:r>
          </w:p>
        </w:tc>
      </w:tr>
      <w:tr>
        <w:tc>
          <w:tcPr>
            <w:tcW w:type="dxa" w:w="1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Maturity</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Jan 2029</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Oct 2029</w:t>
            </w:r>
          </w:p>
        </w:tc>
      </w:tr>
      <w:tr>
        <w:tc>
          <w:tcPr>
            <w:tcW w:type="dxa" w:w="1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Conv. Price</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NT$109.62</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HKD-denominated</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NT$288.94 (adj. from NT$300.00)</w:t>
            </w:r>
          </w:p>
        </w:tc>
      </w:tr>
      <w:tr>
        <w:tc>
          <w:tcPr>
            <w:tcW w:type="dxa" w:w="1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FX at conv.</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rate (locked)</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Live spot USDHKD</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Fixed rate (symmetric)</w:t>
            </w:r>
          </w:p>
        </w:tc>
      </w:tr>
      <w:tr>
        <w:tc>
          <w:tcPr>
            <w:tcW w:type="dxa" w:w="1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Local rho</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w:t>
            </w:r>
          </w:p>
        </w:tc>
      </w:tr>
      <w:tr>
        <w:tc>
          <w:tcPr>
            <w:tcW w:type="dxa" w:w="1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 rho</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LONG ✓ (extra compo rho)</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ZERO</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ZERO</w:t>
            </w:r>
          </w:p>
        </w:tc>
      </w:tr>
      <w:tr>
        <w:tc>
          <w:tcPr>
            <w:tcW w:type="dxa" w:w="180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NDF hedge</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Required</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Not required</w:t>
            </w:r>
          </w:p>
        </w:tc>
        <w:tc>
          <w:tcPr>
            <w:tcW w:type="dxa" w:w="2520"/>
            <w:tcBorders>
              <w:top w:val="none" w:color="FFFFFF" w:sz="0"/>
              <w:left w:val="none" w:color="FFFFFF" w:sz="0"/>
              <w:bottom w:val="single" w:color="CBD5E1" w:sz="4"/>
              <w:right w:val="none" w:color="FFFFFF" w:sz="0"/>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Not required</w:t>
            </w:r>
          </w:p>
        </w:tc>
      </w:tr>
      <w:tr>
        <w:tc>
          <w:tcPr>
            <w:tcW w:type="dxa" w:w="180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Key risk</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USD/NTD rate differential — hedge via USDTWD NDFs</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HKD peg stability; equity vol</w:t>
            </w:r>
          </w:p>
        </w:tc>
        <w:tc>
          <w:tcPr>
            <w:tcW w:type="dxa" w:w="2520"/>
            <w:tcBorders>
              <w:top w:val="none" w:color="FFFFFF" w:sz="0"/>
              <w:left w:val="none" w:color="FFFFFF" w:sz="0"/>
              <w:bottom w:val="single" w:color="CBD5E1" w:sz="4"/>
              <w:right w:val="none" w:color="FFFFFF" w:sz="0"/>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NTD equity vol; minimal FX risk</w:t>
            </w:r>
          </w:p>
        </w:tc>
      </w:tr>
    </w:tbl>
    <w:p>
      <w:pPr>
        <w:spacing w:before="0" w:after="100"/>
      </w:pPr>
    </w:p>
    <w:p>
      <w:pPr>
        <w:pBdr>
          <w:top w:val="single" w:color="CBD5E1" w:sz="4"/>
        </w:pBdr>
        <w:spacing w:before="200" w:after="0"/>
      </w:pPr>
      <w:r>
        <w:rPr>
          <w:rFonts w:ascii="Arial" w:cs="Arial" w:eastAsia="Arial" w:hAnsi="Arial"/>
          <w:i/>
          <w:iCs/>
          <w:color w:val="94A3B8"/>
          <w:sz w:val="15"/>
          <w:szCs w:val="15"/>
        </w:rPr>
        <w:t xml:space="preserve">Internal trading desk reference. Term sheet data sourced from public filings: Zhen Ding IR announcement (January 2024), Taipei Times / Focus Taiwan (October 2024 Hon Hai CB), market screener and TWSE regulatory filings. HKEX flexi CB ISIN and full terms require Bloomberg XS search or SGX/HKEX filing retrieval.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720"/>
      </w:tabs>
      <w:spacing w:before="0"/>
    </w:pPr>
    <w:r>
      <w:rPr>
        <w:rFonts w:ascii="Arial" w:cs="Arial" w:eastAsia="Arial" w:hAnsi="Arial"/>
        <w:color w:val="475569"/>
        <w:sz w:val="16"/>
        <w:szCs w:val="16"/>
      </w:rPr>
      <w:t xml:space="preserve">Internal Trading Desk Reference — CB Structure Types</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6D" w:sz="6"/>
      </w:pBdr>
      <w:tabs>
        <w:tab w:val="right" w:pos="9720"/>
      </w:tabs>
      <w:spacing w:after="0"/>
    </w:pPr>
    <w:r>
      <w:rPr>
        <w:rFonts w:ascii="Arial" w:cs="Arial" w:eastAsia="Arial" w:hAnsi="Arial"/>
        <w:color w:val="475569"/>
        <w:sz w:val="16"/>
        <w:szCs w:val="16"/>
      </w:rPr>
      <w:t xml:space="preserve">Asia CB Structure Types: Compo, Flexi &amp; Currency Linked</w:t>
    </w:r>
    <w:r>
      <w:rPr>
        <w:rFonts w:ascii="Arial" w:cs="Arial" w:eastAsia="Arial" w:hAnsi="Arial"/>
        <w:color w:val="94A3B8"/>
        <w:sz w:val="16"/>
        <w:szCs w:val="16"/>
      </w:rPr>
      <w:t xml:space="preserve">	Rho Sensitivity &amp; Bond Floor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006D6D"/>
      <w:sz w:val="23"/>
      <w:szCs w:val="23"/>
    </w:rPr>
  </w:style>
  <w:style w:type="paragraph" w:styleId="Heading3">
    <w:name w:val="Heading 3"/>
    <w:basedOn w:val="Normal"/>
    <w:next w:val="Normal"/>
    <w:qFormat/>
    <w:pPr>
      <w:spacing w:before="220" w:after="100"/>
      <w:outlineLvl w:val="2"/>
    </w:pPr>
    <w:rPr>
      <w:rFonts w:ascii="Arial" w:cs="Arial" w:eastAsia="Arial" w:hAnsi="Arial"/>
      <w:b/>
      <w:bCs/>
      <w:color w:val="1A2E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2026-03-08T14:02:39.038Z</dcterms:created>
  <dcterms:modified xsi:type="dcterms:W3CDTF">2026-03-08T14:02:39.038Z</dcterms:modified>
</cp:coreProperties>
</file>

<file path=docProps/custom.xml><?xml version="1.0" encoding="utf-8"?>
<Properties xmlns="http://schemas.openxmlformats.org/officeDocument/2006/custom-properties" xmlns:vt="http://schemas.openxmlformats.org/officeDocument/2006/docPropsVTypes"/>
</file>