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38D" w14:textId="1BBAE0BE" w:rsidR="00020021" w:rsidRDefault="000D172C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Kruskal-Wallis analysis: Non-parametric equivalent to a 1-way Anova. A solution to violations of parametric assumptions. A test used on &gt;2 independent groups.</w:t>
      </w:r>
    </w:p>
    <w:p w14:paraId="29CA83CF" w14:textId="77777777" w:rsidR="00A90356" w:rsidRPr="00FD4F09" w:rsidRDefault="00A90356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E6DFE5" w14:textId="492AA071" w:rsidR="00C556AC" w:rsidRDefault="005710FF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Hypothesis: An important part of this method is that the final assumptions are dependent upon testing for equality or non-equality of distributions for the categories involved.</w:t>
      </w:r>
      <w:r w:rsidR="00A90356">
        <w:rPr>
          <w:rFonts w:ascii="Trebuchet MS" w:hAnsi="Trebuchet MS"/>
          <w:sz w:val="24"/>
          <w:szCs w:val="24"/>
        </w:rPr>
        <w:t xml:space="preserve"> </w:t>
      </w:r>
      <w:r w:rsidR="00083211" w:rsidRPr="00FD4F09">
        <w:rPr>
          <w:rFonts w:ascii="Trebuchet MS" w:hAnsi="Trebuchet MS"/>
          <w:sz w:val="24"/>
          <w:szCs w:val="24"/>
          <w:u w:val="single"/>
        </w:rPr>
        <w:t>Equal distributions met</w:t>
      </w:r>
      <w:r w:rsidR="00A90356">
        <w:rPr>
          <w:rFonts w:ascii="Trebuchet MS" w:hAnsi="Trebuchet MS"/>
          <w:sz w:val="24"/>
          <w:szCs w:val="24"/>
        </w:rPr>
        <w:t>-</w:t>
      </w:r>
      <w:r w:rsidR="00083211" w:rsidRPr="00FD4F09">
        <w:rPr>
          <w:rFonts w:ascii="Trebuchet MS" w:hAnsi="Trebuchet MS"/>
          <w:sz w:val="24"/>
          <w:szCs w:val="24"/>
        </w:rPr>
        <w:t>Null: The medians of the categories are equal</w:t>
      </w:r>
      <w:r w:rsidR="00A90356">
        <w:rPr>
          <w:rFonts w:ascii="Trebuchet MS" w:hAnsi="Trebuchet MS"/>
          <w:sz w:val="24"/>
          <w:szCs w:val="24"/>
        </w:rPr>
        <w:t xml:space="preserve">; </w:t>
      </w:r>
      <w:r w:rsidR="00083211" w:rsidRPr="00FD4F09">
        <w:rPr>
          <w:rFonts w:ascii="Trebuchet MS" w:hAnsi="Trebuchet MS"/>
          <w:sz w:val="24"/>
          <w:szCs w:val="24"/>
          <w:u w:val="single"/>
        </w:rPr>
        <w:t>Equal distributions NOT met</w:t>
      </w:r>
      <w:r w:rsidR="00A90356">
        <w:rPr>
          <w:rFonts w:ascii="Trebuchet MS" w:hAnsi="Trebuchet MS"/>
          <w:sz w:val="24"/>
          <w:szCs w:val="24"/>
        </w:rPr>
        <w:t>-</w:t>
      </w:r>
      <w:r w:rsidR="00083211" w:rsidRPr="00FD4F09">
        <w:rPr>
          <w:rFonts w:ascii="Trebuchet MS" w:hAnsi="Trebuchet MS"/>
          <w:sz w:val="24"/>
          <w:szCs w:val="24"/>
        </w:rPr>
        <w:t>Null: The mean ranks are equal</w:t>
      </w:r>
    </w:p>
    <w:p w14:paraId="01251B92" w14:textId="0F546838" w:rsidR="00C556AC" w:rsidRPr="00FD4F09" w:rsidRDefault="00C556AC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3021E09" w14:textId="1414855D" w:rsidR="00582EDB" w:rsidRDefault="000F0DAE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Dunn’s Comparison: Pairwise comparison between groups to find significance in difference and get further insight into the concern being investigated.</w:t>
      </w:r>
    </w:p>
    <w:p w14:paraId="6E4DD2F5" w14:textId="77777777" w:rsidR="00ED7547" w:rsidRDefault="00ED7547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75C32B5" w14:textId="4E2D4E34" w:rsidR="00582EDB" w:rsidRDefault="00582EDB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 xml:space="preserve">Kruskal-Wallis H: Is the statistic used in the K-W test. It is also the statistic used in comparing the similarity of distributions between categories. </w:t>
      </w:r>
    </w:p>
    <w:p w14:paraId="11B7840A" w14:textId="114EB8CF" w:rsidR="00C556AC" w:rsidRPr="00946E5A" w:rsidRDefault="00C556AC" w:rsidP="00C556AC">
      <w:pPr>
        <w:rPr>
          <w:bCs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20"/>
              <w:szCs w:val="20"/>
            </w:rPr>
            <m:t xml:space="preserve">H </m:t>
          </m:r>
          <m:r>
            <w:rPr>
              <w:rFonts w:ascii="Cambria Math" w:eastAsia="Cambria Math" w:hAnsi="Cambria Math" w:cs="Cambria Math"/>
              <w:color w:val="7030A0"/>
              <w:sz w:val="20"/>
              <w:szCs w:val="20"/>
            </w:rPr>
            <m:t>=(N-1)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7030A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Cs/>
                      <w:color w:val="7030A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7030A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7030A0"/>
                      <w:sz w:val="20"/>
                      <w:szCs w:val="20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7030A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7030A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7030A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7030A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7030A0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bCs/>
                  <w:i/>
                  <w:color w:val="7030A0"/>
                  <w:sz w:val="20"/>
                  <w:szCs w:val="20"/>
                </w:rPr>
              </m:ctrlP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Cs/>
                      <w:color w:val="7030A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7030A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7030A0"/>
                      <w:sz w:val="20"/>
                      <w:szCs w:val="20"/>
                    </w:rPr>
                    <m:t>g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color w:val="7030A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7030A0"/>
                          <w:sz w:val="20"/>
                          <w:szCs w:val="20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7030A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7030A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7030A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7030A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color w:val="7030A0"/>
                                          <w:kern w:val="0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48513100" w14:textId="77777777" w:rsidR="00C556AC" w:rsidRPr="00C556AC" w:rsidRDefault="00C556AC" w:rsidP="00C556AC">
      <w:pPr>
        <w:rPr>
          <w:rFonts w:ascii="Cambria" w:hAnsi="Cambria"/>
          <w:i/>
          <w:iCs/>
          <w:color w:val="7030A0"/>
        </w:rPr>
      </w:pPr>
      <w:r w:rsidRPr="00C556AC">
        <w:rPr>
          <w:rFonts w:ascii="Cambria" w:hAnsi="Cambria"/>
          <w:i/>
          <w:iCs/>
          <w:color w:val="7030A0"/>
        </w:rPr>
        <w:t>N = # of observations</w:t>
      </w:r>
    </w:p>
    <w:p w14:paraId="6DD19DC5" w14:textId="77777777" w:rsidR="00C556AC" w:rsidRPr="00C556AC" w:rsidRDefault="00C556AC" w:rsidP="00C556AC">
      <w:pPr>
        <w:rPr>
          <w:rFonts w:ascii="Cambria" w:hAnsi="Cambria"/>
          <w:i/>
          <w:iCs/>
          <w:color w:val="7030A0"/>
        </w:rPr>
      </w:pPr>
      <w:r w:rsidRPr="00C556AC">
        <w:rPr>
          <w:rFonts w:ascii="Cambria" w:hAnsi="Cambria"/>
          <w:i/>
          <w:iCs/>
          <w:color w:val="7030A0"/>
        </w:rPr>
        <w:t>g = number of groups</w:t>
      </w:r>
    </w:p>
    <w:p w14:paraId="1D9E876E" w14:textId="77777777" w:rsidR="00C556AC" w:rsidRPr="00C556AC" w:rsidRDefault="00C556AC" w:rsidP="00C556AC">
      <w:pPr>
        <w:rPr>
          <w:rFonts w:eastAsiaTheme="minorEastAsia"/>
          <w:bCs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n</m:t>
            </m:r>
          </m:e>
          <m:sub>
            <m:r>
              <w:rPr>
                <w:rFonts w:ascii="Cambria Math" w:hAnsi="Cambria Math"/>
                <w:color w:val="7030A0"/>
              </w:rPr>
              <m:t>i</m:t>
            </m:r>
          </m:sub>
        </m:sSub>
        <m:r>
          <w:rPr>
            <w:rFonts w:ascii="Cambria Math" w:hAnsi="Cambria Math"/>
            <w:color w:val="7030A0"/>
          </w:rPr>
          <m:t xml:space="preserve">=number of </m:t>
        </m:r>
        <m:r>
          <w:rPr>
            <w:rFonts w:ascii="Cambria Math" w:hAnsi="Cambria Math"/>
            <w:color w:val="7030A0"/>
            <w:sz w:val="24"/>
            <w:szCs w:val="24"/>
          </w:rPr>
          <m:t>observations</m:t>
        </m:r>
        <m:r>
          <w:rPr>
            <w:rFonts w:ascii="Cambria Math" w:hAnsi="Cambria Math"/>
            <w:color w:val="7030A0"/>
          </w:rPr>
          <m:t xml:space="preserve"> in group i</m:t>
        </m:r>
      </m:oMath>
      <w:r w:rsidRPr="00C556AC">
        <w:rPr>
          <w:rFonts w:eastAsiaTheme="minorEastAsia"/>
          <w:bCs/>
          <w:color w:val="7030A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color w:val="7030A0"/>
            <w:sz w:val="20"/>
            <w:szCs w:val="20"/>
          </w:rPr>
          <m:t xml:space="preserve">=rank </m:t>
        </m:r>
        <m:d>
          <m:dPr>
            <m:ctrlPr>
              <w:rPr>
                <w:rFonts w:ascii="Cambria Math" w:hAnsi="Cambria Math"/>
                <w:bCs/>
                <w:i/>
                <w:color w:val="7030A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7030A0"/>
                <w:sz w:val="20"/>
                <w:szCs w:val="20"/>
              </w:rPr>
              <m:t>among all obs</m:t>
            </m:r>
          </m:e>
        </m:d>
        <m:r>
          <w:rPr>
            <w:rFonts w:ascii="Cambria Math" w:hAnsi="Cambria Math"/>
            <w:color w:val="7030A0"/>
            <w:sz w:val="20"/>
            <w:szCs w:val="20"/>
          </w:rPr>
          <m:t xml:space="preserve"> j from group i</m:t>
        </m:r>
      </m:oMath>
    </w:p>
    <w:p w14:paraId="24A70AE7" w14:textId="77777777" w:rsidR="00C556AC" w:rsidRPr="00C556AC" w:rsidRDefault="00C556AC" w:rsidP="00C556AC">
      <w:pPr>
        <w:rPr>
          <w:rFonts w:eastAsiaTheme="minorEastAsia"/>
          <w:bCs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7030A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color w:val="7030A0"/>
                    <w:kern w:val="0"/>
                    <w:sz w:val="20"/>
                    <w:szCs w:val="2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7030A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color w:val="7030A0"/>
            <w:sz w:val="20"/>
            <w:szCs w:val="20"/>
          </w:rPr>
          <m:t>=</m:t>
        </m:r>
      </m:oMath>
      <w:r w:rsidRPr="00C556AC">
        <w:rPr>
          <w:rFonts w:eastAsiaTheme="minorEastAsia"/>
          <w:bCs/>
          <w:color w:val="7030A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7030A0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bCs/>
                    <w:color w:val="7030A0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7030A0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7030A0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</m:e>
            </m:nary>
            <m:ctrlPr>
              <w:rPr>
                <w:rFonts w:ascii="Cambria Math" w:eastAsiaTheme="minorEastAsia" w:hAnsi="Cambria Math"/>
                <w:bCs/>
                <w:i/>
                <w:color w:val="7030A0"/>
              </w:rPr>
            </m:ctrlP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7030A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7030A0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color w:val="7030A0"/>
          </w:rPr>
          <m:t xml:space="preserve"> , average rank of all observations in group i</m:t>
        </m:r>
      </m:oMath>
    </w:p>
    <w:p w14:paraId="4294107A" w14:textId="01560725" w:rsidR="009527EB" w:rsidRPr="00ED7547" w:rsidRDefault="00C556AC" w:rsidP="00C556AC">
      <w:pPr>
        <w:rPr>
          <w:rFonts w:eastAsiaTheme="minorEastAsia"/>
          <w:bCs/>
          <w:color w:val="7030A0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7030A0"/>
                  <w:kern w:val="0"/>
                  <w:sz w:val="24"/>
                  <w:szCs w:val="24"/>
                  <w14:ligatures w14:val="none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, N=# of obs</m:t>
          </m:r>
        </m:oMath>
      </m:oMathPara>
    </w:p>
    <w:p w14:paraId="17428FE3" w14:textId="4490D9AC" w:rsidR="009527EB" w:rsidRPr="009E468F" w:rsidRDefault="009527EB" w:rsidP="00C556AC">
      <w:pPr>
        <w:rPr>
          <w:rFonts w:eastAsiaTheme="minorEastAsia"/>
          <w:bCs/>
          <w:color w:val="7030A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030A0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color w:val="7030A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7030A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  <w:sz w:val="20"/>
                  <w:szCs w:val="20"/>
                </w:rPr>
                <m:t>12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7030A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7030A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0"/>
                          <w:szCs w:val="20"/>
                        </w:rPr>
                        <m:t>n+1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color w:val="7030A0"/>
              <w:sz w:val="20"/>
              <w:szCs w:val="20"/>
            </w:rPr>
            <m:t xml:space="preserve"> (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color w:val="7030A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7030A0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7030A0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color w:val="7030A0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7030A0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7030A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7030A0"/>
            </w:rPr>
            <m:t xml:space="preserve">  -3</m:t>
          </m:r>
          <m:d>
            <m:dPr>
              <m:ctrlPr>
                <w:rPr>
                  <w:rFonts w:ascii="Cambria Math" w:hAnsi="Cambria Math"/>
                  <w:bCs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n+1</m:t>
              </m:r>
            </m:e>
          </m:d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6FE72912" w14:textId="77777777" w:rsidR="006769F8" w:rsidRDefault="006769F8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E4CE587" w14:textId="77777777" w:rsidR="006769F8" w:rsidRDefault="006769F8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553AD87" w14:textId="121F8563" w:rsidR="00CB5447" w:rsidRPr="00FD4F09" w:rsidRDefault="00CB5447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lastRenderedPageBreak/>
        <w:t>Shapiro-Wilk (S-W) test: The null states normality and so a p &lt; 0.001 is expected in the K-W test.</w:t>
      </w:r>
    </w:p>
    <w:p w14:paraId="6986204B" w14:textId="77777777" w:rsidR="00CB5447" w:rsidRPr="00FD4F09" w:rsidRDefault="00CB5447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B371E78" w14:textId="1AA7CC7E" w:rsidR="00CB5447" w:rsidRDefault="00CB5447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Kolmogorov-Smirnov: The null states normality and so a p &lt; 0.001 is expected in the K-W test.</w:t>
      </w:r>
    </w:p>
    <w:p w14:paraId="7B3AD83C" w14:textId="77777777" w:rsidR="00223DCE" w:rsidRPr="00FD4F09" w:rsidRDefault="00223DCE" w:rsidP="00FD4F09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8A49FF8" w14:textId="428C7CB9" w:rsidR="00637354" w:rsidRPr="00223DCE" w:rsidRDefault="00CB5447" w:rsidP="00223DCE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Lavene’s test: The null states equality of variance and so a p &lt; 0.001 is expected in the K-W test.</w:t>
      </w:r>
    </w:p>
    <w:p w14:paraId="0CC7CC9F" w14:textId="77777777" w:rsidR="00637354" w:rsidRDefault="00637354" w:rsidP="00083211"/>
    <w:p w14:paraId="3AD3B967" w14:textId="424B6B98" w:rsidR="00F42FB5" w:rsidRPr="00FD4F09" w:rsidRDefault="00F42FB5" w:rsidP="00083211">
      <w:pPr>
        <w:rPr>
          <w:rFonts w:ascii="Trebuchet MS" w:hAnsi="Trebuchet MS"/>
          <w:sz w:val="24"/>
          <w:szCs w:val="24"/>
        </w:rPr>
      </w:pPr>
      <w:r w:rsidRPr="00FD4F09">
        <w:rPr>
          <w:rFonts w:ascii="Trebuchet MS" w:hAnsi="Trebuchet MS"/>
          <w:sz w:val="24"/>
          <w:szCs w:val="24"/>
        </w:rPr>
        <w:t>SPSS Visual of K-W:</w:t>
      </w:r>
    </w:p>
    <w:p w14:paraId="51F9E72A" w14:textId="7B26053B" w:rsidR="00F42FB5" w:rsidRDefault="00F42FB5" w:rsidP="00F42FB5">
      <w:pPr>
        <w:jc w:val="center"/>
      </w:pPr>
      <w:r w:rsidRPr="00E90A79">
        <w:rPr>
          <w:rFonts w:ascii="Trebuchet MS" w:hAnsi="Trebuchet MS" w:cs="Times New Roman"/>
          <w:noProof/>
          <w:color w:val="7030A0"/>
          <w:sz w:val="24"/>
          <w:szCs w:val="24"/>
        </w:rPr>
        <w:drawing>
          <wp:inline distT="0" distB="0" distL="0" distR="0" wp14:anchorId="7CA39381" wp14:editId="68A62697">
            <wp:extent cx="5667891" cy="3977130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15" cy="39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44A3" w14:textId="77777777" w:rsidR="00083211" w:rsidRDefault="00083211" w:rsidP="00083211"/>
    <w:p w14:paraId="3CD8A54D" w14:textId="356F20A1" w:rsidR="00083211" w:rsidRDefault="00083211"/>
    <w:sectPr w:rsidR="000832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2F8C" w14:textId="77777777" w:rsidR="00DC0EE8" w:rsidRDefault="00DC0EE8" w:rsidP="000D172C">
      <w:pPr>
        <w:spacing w:after="0" w:line="240" w:lineRule="auto"/>
      </w:pPr>
      <w:r>
        <w:separator/>
      </w:r>
    </w:p>
  </w:endnote>
  <w:endnote w:type="continuationSeparator" w:id="0">
    <w:p w14:paraId="3A7AB1E6" w14:textId="77777777" w:rsidR="00DC0EE8" w:rsidRDefault="00DC0EE8" w:rsidP="000D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C92E" w14:textId="77777777" w:rsidR="00DC0EE8" w:rsidRDefault="00DC0EE8" w:rsidP="000D172C">
      <w:pPr>
        <w:spacing w:after="0" w:line="240" w:lineRule="auto"/>
      </w:pPr>
      <w:r>
        <w:separator/>
      </w:r>
    </w:p>
  </w:footnote>
  <w:footnote w:type="continuationSeparator" w:id="0">
    <w:p w14:paraId="2882B509" w14:textId="77777777" w:rsidR="00DC0EE8" w:rsidRDefault="00DC0EE8" w:rsidP="000D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FFB6" w14:textId="0AE369C5" w:rsidR="000D172C" w:rsidRPr="000D172C" w:rsidRDefault="000D172C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0D172C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C"/>
    <w:rsid w:val="00020021"/>
    <w:rsid w:val="00044AE7"/>
    <w:rsid w:val="00083211"/>
    <w:rsid w:val="000D172C"/>
    <w:rsid w:val="000F0DAE"/>
    <w:rsid w:val="00213D78"/>
    <w:rsid w:val="00223DCE"/>
    <w:rsid w:val="0056012F"/>
    <w:rsid w:val="005710FF"/>
    <w:rsid w:val="00582EDB"/>
    <w:rsid w:val="00637354"/>
    <w:rsid w:val="006769F8"/>
    <w:rsid w:val="006E0F10"/>
    <w:rsid w:val="009527EB"/>
    <w:rsid w:val="009E468F"/>
    <w:rsid w:val="00A90356"/>
    <w:rsid w:val="00B54B26"/>
    <w:rsid w:val="00C556AC"/>
    <w:rsid w:val="00CB5447"/>
    <w:rsid w:val="00CE6B2C"/>
    <w:rsid w:val="00DC0EE8"/>
    <w:rsid w:val="00ED7547"/>
    <w:rsid w:val="00F42FB5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67A"/>
  <w15:chartTrackingRefBased/>
  <w15:docId w15:val="{06D76D59-8810-4B8B-9DF7-04FEB39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2C"/>
  </w:style>
  <w:style w:type="paragraph" w:styleId="Footer">
    <w:name w:val="footer"/>
    <w:basedOn w:val="Normal"/>
    <w:link w:val="FooterChar"/>
    <w:uiPriority w:val="99"/>
    <w:unhideWhenUsed/>
    <w:rsid w:val="000D1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19</cp:revision>
  <cp:lastPrinted>2023-08-03T08:58:00Z</cp:lastPrinted>
  <dcterms:created xsi:type="dcterms:W3CDTF">2023-08-03T07:09:00Z</dcterms:created>
  <dcterms:modified xsi:type="dcterms:W3CDTF">2023-08-03T08:59:00Z</dcterms:modified>
</cp:coreProperties>
</file>