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91BF" w14:textId="3C064783" w:rsidR="00020021" w:rsidRDefault="008A430E" w:rsidP="008A430E">
      <w:pPr>
        <w:jc w:val="both"/>
        <w:rPr>
          <w:rFonts w:ascii="Trebuchet MS" w:hAnsi="Trebuchet MS"/>
          <w:sz w:val="24"/>
          <w:szCs w:val="24"/>
        </w:rPr>
      </w:pPr>
      <w:r w:rsidRPr="008A430E">
        <w:rPr>
          <w:rFonts w:ascii="Trebuchet MS" w:hAnsi="Trebuchet MS"/>
          <w:sz w:val="24"/>
          <w:szCs w:val="24"/>
        </w:rPr>
        <w:t>Survey: A tool used to reach a target demographic in order to probe and further understand a topic of interest.</w:t>
      </w:r>
    </w:p>
    <w:p w14:paraId="16E393AB" w14:textId="77777777" w:rsidR="00FE167E" w:rsidRDefault="00FE167E" w:rsidP="008A430E">
      <w:pPr>
        <w:jc w:val="both"/>
        <w:rPr>
          <w:rFonts w:ascii="Trebuchet MS" w:hAnsi="Trebuchet MS"/>
          <w:sz w:val="24"/>
          <w:szCs w:val="24"/>
        </w:rPr>
      </w:pPr>
    </w:p>
    <w:p w14:paraId="6756BD80" w14:textId="6484644A" w:rsidR="00AC55C5" w:rsidRDefault="00AC55C5" w:rsidP="008A430E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Sample size: </w:t>
      </w:r>
      <w:r w:rsidR="002946B2">
        <w:rPr>
          <w:rFonts w:ascii="Trebuchet MS" w:hAnsi="Trebuchet MS"/>
          <w:sz w:val="24"/>
          <w:szCs w:val="24"/>
        </w:rPr>
        <w:t>T</w:t>
      </w:r>
      <w:r>
        <w:rPr>
          <w:rFonts w:ascii="Trebuchet MS" w:hAnsi="Trebuchet MS"/>
          <w:sz w:val="24"/>
          <w:szCs w:val="24"/>
        </w:rPr>
        <w:t>he number of people needed to participate in the survey.</w:t>
      </w:r>
    </w:p>
    <w:p w14:paraId="1B3550C2" w14:textId="77777777" w:rsidR="00FE167E" w:rsidRDefault="00FE167E" w:rsidP="008A430E">
      <w:pPr>
        <w:jc w:val="both"/>
        <w:rPr>
          <w:rFonts w:ascii="Trebuchet MS" w:hAnsi="Trebuchet MS"/>
          <w:sz w:val="24"/>
          <w:szCs w:val="24"/>
        </w:rPr>
      </w:pPr>
    </w:p>
    <w:p w14:paraId="559F8285" w14:textId="48540719" w:rsidR="000258BE" w:rsidRDefault="000258BE" w:rsidP="008A430E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Tradeoff in sample size determination: Lowering the type I error rate leads to a higher chance of a Type II error rate meaning (less power) but the benefit of large numbers is </w:t>
      </w:r>
      <w:r w:rsidR="0023272D">
        <w:rPr>
          <w:rFonts w:ascii="Trebuchet MS" w:hAnsi="Trebuchet MS"/>
          <w:sz w:val="24"/>
          <w:szCs w:val="24"/>
        </w:rPr>
        <w:t>achieved</w:t>
      </w:r>
      <w:r>
        <w:rPr>
          <w:rFonts w:ascii="Trebuchet MS" w:hAnsi="Trebuchet MS"/>
          <w:sz w:val="24"/>
          <w:szCs w:val="24"/>
        </w:rPr>
        <w:t>.</w:t>
      </w:r>
      <w:r w:rsidR="0064027F">
        <w:rPr>
          <w:rFonts w:ascii="Trebuchet MS" w:hAnsi="Trebuchet MS"/>
          <w:sz w:val="24"/>
          <w:szCs w:val="24"/>
        </w:rPr>
        <w:t xml:space="preserve"> The best practice is sacrificing large numbers or sample size for more power (lower Type II error rate).</w:t>
      </w:r>
    </w:p>
    <w:p w14:paraId="0ED2115B" w14:textId="77777777" w:rsidR="0023272D" w:rsidRDefault="0023272D" w:rsidP="008A430E">
      <w:pPr>
        <w:jc w:val="both"/>
        <w:rPr>
          <w:rFonts w:ascii="Trebuchet MS" w:hAnsi="Trebuchet MS"/>
          <w:sz w:val="24"/>
          <w:szCs w:val="24"/>
        </w:rPr>
      </w:pPr>
    </w:p>
    <w:p w14:paraId="0755A339" w14:textId="1FF95254" w:rsidR="001B15EC" w:rsidRDefault="001B15EC" w:rsidP="008A430E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Sample size (ss) calculation:</w:t>
      </w:r>
    </w:p>
    <w:p w14:paraId="0EE4EF54" w14:textId="77777777" w:rsidR="001B15EC" w:rsidRPr="001B15EC" w:rsidRDefault="001B15EC" w:rsidP="001B15EC">
      <w:pPr>
        <w:spacing w:line="240" w:lineRule="auto"/>
        <w:ind w:left="720"/>
        <w:contextualSpacing/>
        <w:rPr>
          <w:rFonts w:eastAsiaTheme="minorEastAsia"/>
          <w:color w:val="7030A0"/>
          <w:sz w:val="24"/>
          <w:szCs w:val="24"/>
        </w:rPr>
      </w:pPr>
      <m:oMathPara>
        <m:oMath>
          <m:r>
            <w:rPr>
              <w:rFonts w:ascii="Cambria Math" w:hAnsi="Cambria Math"/>
              <w:color w:val="7030A0"/>
              <w:sz w:val="24"/>
              <w:szCs w:val="24"/>
            </w:rPr>
            <m:t>ss=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sz w:val="24"/>
                      <w:szCs w:val="24"/>
                    </w:rPr>
                    <m:t>[p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  <w:sz w:val="24"/>
                      <w:szCs w:val="24"/>
                    </w:rPr>
                    <m:t>]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1+[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1-p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sz w:val="24"/>
                      <w:szCs w:val="24"/>
                    </w:rPr>
                    <m:t>N=14.8mil</m:t>
                  </m:r>
                </m:den>
              </m:f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]</m:t>
              </m:r>
            </m:den>
          </m:f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1629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1.00</m:t>
              </m:r>
            </m:den>
          </m:f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=1629</m:t>
          </m:r>
        </m:oMath>
      </m:oMathPara>
    </w:p>
    <w:p w14:paraId="7FBE253B" w14:textId="77777777" w:rsidR="001B15EC" w:rsidRPr="001B15EC" w:rsidRDefault="001B15EC" w:rsidP="001B15EC">
      <w:pPr>
        <w:spacing w:line="240" w:lineRule="auto"/>
        <w:ind w:left="720"/>
        <w:contextualSpacing/>
        <w:rPr>
          <w:rFonts w:eastAsiaTheme="minorEastAsia"/>
          <w:color w:val="7030A0"/>
          <w:sz w:val="24"/>
          <w:szCs w:val="24"/>
        </w:rPr>
      </w:pPr>
    </w:p>
    <w:p w14:paraId="3CA73FB8" w14:textId="77777777" w:rsidR="001B15EC" w:rsidRPr="001B15EC" w:rsidRDefault="001B15EC" w:rsidP="001B15EC">
      <w:pPr>
        <w:spacing w:line="240" w:lineRule="auto"/>
        <w:ind w:left="720"/>
        <w:contextualSpacing/>
        <w:rPr>
          <w:rFonts w:eastAsiaTheme="minorEastAsia"/>
          <w:color w:val="7030A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p=0.25,e=0.025,z=2.33, N=source</m:t>
          </m:r>
          <m:r>
            <w:rPr>
              <w:rStyle w:val="FootnoteReference"/>
              <w:rFonts w:ascii="Cambria Math" w:eastAsiaTheme="minorEastAsia" w:hAnsi="Cambria Math"/>
              <w:i/>
              <w:color w:val="7030A0"/>
              <w:sz w:val="24"/>
              <w:szCs w:val="24"/>
            </w:rPr>
            <w:footnoteReference w:id="1"/>
          </m:r>
        </m:oMath>
      </m:oMathPara>
    </w:p>
    <w:p w14:paraId="77445646" w14:textId="77777777" w:rsidR="001B15EC" w:rsidRPr="001B15EC" w:rsidRDefault="001B15EC" w:rsidP="001B15EC">
      <w:pPr>
        <w:spacing w:line="240" w:lineRule="auto"/>
        <w:ind w:left="720"/>
        <w:contextualSpacing/>
        <w:rPr>
          <w:rFonts w:eastAsiaTheme="minorEastAsia"/>
          <w:color w:val="7030A0"/>
          <w:sz w:val="24"/>
          <w:szCs w:val="24"/>
        </w:rPr>
      </w:pPr>
    </w:p>
    <w:p w14:paraId="13AEB2DE" w14:textId="77777777" w:rsidR="001B15EC" w:rsidRPr="001B15EC" w:rsidRDefault="001B15EC" w:rsidP="001B15EC">
      <w:pPr>
        <w:spacing w:line="240" w:lineRule="auto"/>
        <w:ind w:left="720"/>
        <w:contextualSpacing/>
        <w:rPr>
          <w:rFonts w:eastAsiaTheme="minorEastAsia"/>
          <w:color w:val="7030A0"/>
          <w:sz w:val="24"/>
          <w:szCs w:val="24"/>
        </w:rPr>
      </w:pPr>
      <m:oMathPara>
        <m:oMath>
          <m:r>
            <w:rPr>
              <w:rFonts w:ascii="Cambria Math" w:hAnsi="Cambria Math"/>
              <w:color w:val="7030A0"/>
              <w:sz w:val="24"/>
              <w:szCs w:val="24"/>
            </w:rPr>
            <m:t>ss=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7030A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sd(1-sd)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1629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1.00</m:t>
              </m:r>
            </m:den>
          </m:f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=1629</m:t>
          </m:r>
        </m:oMath>
      </m:oMathPara>
    </w:p>
    <w:p w14:paraId="3010B6CE" w14:textId="77777777" w:rsidR="001B15EC" w:rsidRPr="001B15EC" w:rsidRDefault="001B15EC" w:rsidP="001B15EC">
      <w:pPr>
        <w:spacing w:line="240" w:lineRule="auto"/>
        <w:ind w:left="720"/>
        <w:contextualSpacing/>
        <w:rPr>
          <w:rFonts w:eastAsiaTheme="minorEastAsia"/>
          <w:color w:val="7030A0"/>
          <w:sz w:val="24"/>
          <w:szCs w:val="24"/>
        </w:rPr>
      </w:pPr>
    </w:p>
    <w:p w14:paraId="0C41D39B" w14:textId="77777777" w:rsidR="001B15EC" w:rsidRPr="001B15EC" w:rsidRDefault="001B15EC" w:rsidP="001B15EC">
      <w:pPr>
        <w:spacing w:line="240" w:lineRule="auto"/>
        <w:ind w:left="720"/>
        <w:contextualSpacing/>
        <w:rPr>
          <w:rFonts w:eastAsiaTheme="minorEastAsia"/>
          <w:color w:val="7030A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sd=0.25,e=0.025,z=2.33</m:t>
          </m:r>
        </m:oMath>
      </m:oMathPara>
    </w:p>
    <w:p w14:paraId="545FA1D2" w14:textId="77777777" w:rsidR="001B15EC" w:rsidRPr="00A86480" w:rsidRDefault="001B15EC" w:rsidP="00A86480">
      <w:pPr>
        <w:spacing w:line="240" w:lineRule="auto"/>
        <w:contextualSpacing/>
        <w:rPr>
          <w:color w:val="000000" w:themeColor="text1"/>
        </w:rPr>
      </w:pPr>
    </w:p>
    <w:p w14:paraId="125ADCB8" w14:textId="77777777" w:rsidR="001B15EC" w:rsidRDefault="001B15EC" w:rsidP="008A430E">
      <w:pPr>
        <w:jc w:val="both"/>
        <w:rPr>
          <w:rFonts w:ascii="Trebuchet MS" w:hAnsi="Trebuchet MS"/>
          <w:sz w:val="24"/>
          <w:szCs w:val="24"/>
        </w:rPr>
      </w:pPr>
    </w:p>
    <w:p w14:paraId="492E559A" w14:textId="77777777" w:rsidR="002946B2" w:rsidRPr="008A430E" w:rsidRDefault="002946B2" w:rsidP="008A430E">
      <w:pPr>
        <w:jc w:val="both"/>
        <w:rPr>
          <w:rFonts w:ascii="Trebuchet MS" w:hAnsi="Trebuchet MS"/>
          <w:sz w:val="24"/>
          <w:szCs w:val="24"/>
        </w:rPr>
      </w:pPr>
    </w:p>
    <w:p w14:paraId="03B8A4D2" w14:textId="77777777" w:rsidR="008A430E" w:rsidRDefault="008A430E"/>
    <w:sectPr w:rsidR="008A43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539C" w14:textId="77777777" w:rsidR="00C73454" w:rsidRDefault="00C73454" w:rsidP="00D241A5">
      <w:pPr>
        <w:spacing w:after="0" w:line="240" w:lineRule="auto"/>
      </w:pPr>
      <w:r>
        <w:separator/>
      </w:r>
    </w:p>
  </w:endnote>
  <w:endnote w:type="continuationSeparator" w:id="0">
    <w:p w14:paraId="73A7DAAE" w14:textId="77777777" w:rsidR="00C73454" w:rsidRDefault="00C73454" w:rsidP="00D2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AEF6" w14:textId="77777777" w:rsidR="00C73454" w:rsidRDefault="00C73454" w:rsidP="00D241A5">
      <w:pPr>
        <w:spacing w:after="0" w:line="240" w:lineRule="auto"/>
      </w:pPr>
      <w:r>
        <w:separator/>
      </w:r>
    </w:p>
  </w:footnote>
  <w:footnote w:type="continuationSeparator" w:id="0">
    <w:p w14:paraId="3B50A5F5" w14:textId="77777777" w:rsidR="00C73454" w:rsidRDefault="00C73454" w:rsidP="00D241A5">
      <w:pPr>
        <w:spacing w:after="0" w:line="240" w:lineRule="auto"/>
      </w:pPr>
      <w:r>
        <w:continuationSeparator/>
      </w:r>
    </w:p>
  </w:footnote>
  <w:footnote w:id="1">
    <w:p w14:paraId="73CFDE30" w14:textId="77777777" w:rsidR="001B15EC" w:rsidRPr="00F134EF" w:rsidRDefault="001B15EC" w:rsidP="001B15EC">
      <w:pPr>
        <w:pStyle w:val="FootnoteText"/>
        <w:rPr>
          <w:rFonts w:ascii="Times New Roman" w:hAnsi="Times New Roman" w:cs="Times New Roman"/>
        </w:rPr>
      </w:pPr>
      <w:r w:rsidRPr="00F134EF">
        <w:rPr>
          <w:rStyle w:val="FootnoteReference"/>
          <w:rFonts w:ascii="Times New Roman" w:hAnsi="Times New Roman" w:cs="Times New Roman"/>
          <w:color w:val="FF0000"/>
          <w:sz w:val="18"/>
          <w:szCs w:val="18"/>
        </w:rPr>
        <w:footnoteRef/>
      </w:r>
      <w:r w:rsidRPr="00F134E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hyperlink r:id="rId1" w:history="1">
        <w:r w:rsidRPr="00F134EF">
          <w:rPr>
            <w:rStyle w:val="Hyperlink"/>
            <w:rFonts w:ascii="Times New Roman" w:hAnsi="Times New Roman" w:cs="Times New Roman"/>
            <w:color w:val="FF0000"/>
            <w:sz w:val="18"/>
            <w:szCs w:val="18"/>
          </w:rPr>
          <w:t>https://adaa.org/understanding-anxiety/depression/facts-statistics</w:t>
        </w:r>
      </w:hyperlink>
      <w:r w:rsidRPr="00F134EF">
        <w:rPr>
          <w:rFonts w:ascii="Times New Roman" w:hAnsi="Times New Roman" w:cs="Times New Roman"/>
          <w:color w:val="FF0000"/>
          <w:sz w:val="18"/>
          <w:szCs w:val="18"/>
        </w:rPr>
        <w:t xml:space="preserve"> // </w:t>
      </w:r>
      <w:hyperlink r:id="rId2" w:history="1">
        <w:r w:rsidRPr="00F134EF">
          <w:rPr>
            <w:rStyle w:val="Hyperlink"/>
            <w:rFonts w:ascii="Times New Roman" w:hAnsi="Times New Roman" w:cs="Times New Roman"/>
            <w:color w:val="FF0000"/>
            <w:sz w:val="18"/>
            <w:szCs w:val="18"/>
          </w:rPr>
          <w:t>https://adaa.org/understanding-anxiety/facts-statistics</w:t>
        </w:r>
      </w:hyperlink>
      <w:r w:rsidRPr="00F134EF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7FCE" w14:textId="59990A56" w:rsidR="00D241A5" w:rsidRPr="00D241A5" w:rsidRDefault="00D241A5">
    <w:pPr>
      <w:pStyle w:val="Header"/>
      <w:rPr>
        <w:rFonts w:ascii="Trebuchet MS" w:hAnsi="Trebuchet MS"/>
        <w:b/>
        <w:bCs/>
        <w:color w:val="FF0000"/>
        <w:sz w:val="24"/>
        <w:szCs w:val="24"/>
      </w:rPr>
    </w:pPr>
    <w:r w:rsidRPr="00D241A5">
      <w:rPr>
        <w:rFonts w:ascii="Trebuchet MS" w:hAnsi="Trebuchet MS"/>
        <w:b/>
        <w:bCs/>
        <w:color w:val="FF0000"/>
        <w:sz w:val="24"/>
        <w:szCs w:val="24"/>
      </w:rPr>
      <w:t>Key Concepts and Terminology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A5"/>
    <w:rsid w:val="00020021"/>
    <w:rsid w:val="000258BE"/>
    <w:rsid w:val="001B15EC"/>
    <w:rsid w:val="0023272D"/>
    <w:rsid w:val="002946B2"/>
    <w:rsid w:val="0064027F"/>
    <w:rsid w:val="007C7273"/>
    <w:rsid w:val="008A430E"/>
    <w:rsid w:val="00A86480"/>
    <w:rsid w:val="00AC55C5"/>
    <w:rsid w:val="00B54B26"/>
    <w:rsid w:val="00C73454"/>
    <w:rsid w:val="00D241A5"/>
    <w:rsid w:val="00FE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B018"/>
  <w15:chartTrackingRefBased/>
  <w15:docId w15:val="{F322DAB3-95A8-4F29-85F2-7874D3A6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1A5"/>
  </w:style>
  <w:style w:type="paragraph" w:styleId="Footer">
    <w:name w:val="footer"/>
    <w:basedOn w:val="Normal"/>
    <w:link w:val="FooterChar"/>
    <w:uiPriority w:val="99"/>
    <w:unhideWhenUsed/>
    <w:rsid w:val="00D2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1A5"/>
  </w:style>
  <w:style w:type="paragraph" w:styleId="FootnoteText">
    <w:name w:val="footnote text"/>
    <w:basedOn w:val="Normal"/>
    <w:link w:val="FootnoteTextChar"/>
    <w:uiPriority w:val="99"/>
    <w:semiHidden/>
    <w:unhideWhenUsed/>
    <w:rsid w:val="001B15EC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5EC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1B15E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B1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daa.org/understanding-anxiety/facts-statistics" TargetMode="External"/><Relationship Id="rId1" Type="http://schemas.openxmlformats.org/officeDocument/2006/relationships/hyperlink" Target="https://adaa.org/understanding-anxiety/depression/facts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11</cp:revision>
  <dcterms:created xsi:type="dcterms:W3CDTF">2023-08-01T15:32:00Z</dcterms:created>
  <dcterms:modified xsi:type="dcterms:W3CDTF">2023-08-01T15:42:00Z</dcterms:modified>
</cp:coreProperties>
</file>