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A0298" w14:textId="77777777" w:rsidR="00916CA3" w:rsidRPr="0059570C" w:rsidRDefault="0059570C">
      <w:pPr>
        <w:rPr>
          <w:b/>
          <w:sz w:val="32"/>
          <w:szCs w:val="32"/>
        </w:rPr>
      </w:pPr>
      <w:r w:rsidRPr="0059570C">
        <w:rPr>
          <w:b/>
          <w:sz w:val="32"/>
          <w:szCs w:val="32"/>
        </w:rPr>
        <w:t>Interpretation of Cohen’s d</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4205"/>
        <w:gridCol w:w="4205"/>
      </w:tblGrid>
      <w:tr w:rsidR="0059570C" w:rsidRPr="0059570C" w14:paraId="2526FF39" w14:textId="77777777" w:rsidTr="0059570C">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80"/>
              <w:tblCellMar>
                <w:top w:w="15" w:type="dxa"/>
                <w:left w:w="15" w:type="dxa"/>
                <w:bottom w:w="15" w:type="dxa"/>
                <w:right w:w="15" w:type="dxa"/>
              </w:tblCellMar>
              <w:tblLook w:val="04A0" w:firstRow="1" w:lastRow="0" w:firstColumn="1" w:lastColumn="0" w:noHBand="0" w:noVBand="1"/>
            </w:tblPr>
            <w:tblGrid>
              <w:gridCol w:w="1060"/>
              <w:gridCol w:w="796"/>
              <w:gridCol w:w="1020"/>
              <w:gridCol w:w="1193"/>
            </w:tblGrid>
            <w:tr w:rsidR="0059570C" w:rsidRPr="0059570C" w14:paraId="50C0A960"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5A23B70"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Cohen's Standard</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1BCF16B3"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Effect Size</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72A690CA"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Percentile Standing</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7B0D8553"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Percent of Nonoverlap</w:t>
                  </w:r>
                </w:p>
              </w:tc>
            </w:tr>
            <w:tr w:rsidR="0059570C" w:rsidRPr="0059570C" w14:paraId="3B74FF8F"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0A2EBB31"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3DD00F2F"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2.0</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71E34361"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97.7</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369CE11E"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81.1%</w:t>
                  </w:r>
                </w:p>
              </w:tc>
            </w:tr>
            <w:tr w:rsidR="0059570C" w:rsidRPr="0059570C" w14:paraId="71F084BE"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127CEB9E"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5D67B7A1"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1.9</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EFC9445"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97.1</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6AD113C6"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79.4%</w:t>
                  </w:r>
                </w:p>
              </w:tc>
            </w:tr>
            <w:tr w:rsidR="0059570C" w:rsidRPr="0059570C" w14:paraId="65781D04"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332169EE"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23E9A182"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1.8</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54E5CE18"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96.4</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0F204EB5"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77.4%</w:t>
                  </w:r>
                </w:p>
              </w:tc>
            </w:tr>
            <w:tr w:rsidR="0059570C" w:rsidRPr="0059570C" w14:paraId="73E1BABE"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4BFE032F"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ACD0F05"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1.7</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57C610B3"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95.5</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647B93CB"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75.4%</w:t>
                  </w:r>
                </w:p>
              </w:tc>
            </w:tr>
            <w:tr w:rsidR="0059570C" w:rsidRPr="0059570C" w14:paraId="3AC69964"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35C60FB9"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0A55FA10"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1.6</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1F66E0BA"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94.5</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48C7F9CA"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73.1%</w:t>
                  </w:r>
                </w:p>
              </w:tc>
            </w:tr>
            <w:tr w:rsidR="0059570C" w:rsidRPr="0059570C" w14:paraId="33E7E61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FF77774"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03AE8D16"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1.5</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5A6746DA"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93.3</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47160C6F"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70.7%</w:t>
                  </w:r>
                </w:p>
              </w:tc>
            </w:tr>
            <w:tr w:rsidR="0059570C" w:rsidRPr="0059570C" w14:paraId="5E9C483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2733CE0"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79F33783"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1.4</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02A58A24"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91.9</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23B129C6"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68.1%</w:t>
                  </w:r>
                </w:p>
              </w:tc>
            </w:tr>
            <w:tr w:rsidR="0059570C" w:rsidRPr="0059570C" w14:paraId="7C3543DE"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2C8BCBDD"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0A189B41"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1.3</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D08C867"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04FD15AD"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65.3%</w:t>
                  </w:r>
                </w:p>
              </w:tc>
            </w:tr>
            <w:tr w:rsidR="0059570C" w:rsidRPr="0059570C" w14:paraId="0DA145AB"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22799A6E"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2E262E53"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1.2</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09CC011E"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88</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7253A301"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62.2%</w:t>
                  </w:r>
                </w:p>
              </w:tc>
            </w:tr>
            <w:tr w:rsidR="0059570C" w:rsidRPr="0059570C" w14:paraId="0B238506"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7EFA5E99"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60C1D99"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1.1</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79D866E5"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7DF06A1B"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58.9%</w:t>
                  </w:r>
                </w:p>
              </w:tc>
            </w:tr>
            <w:tr w:rsidR="0059570C" w:rsidRPr="0059570C" w14:paraId="05D8F02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CB2EA5A"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26D58139"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1.0</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7CB2B5D"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784B8FCF"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55.4%</w:t>
                  </w:r>
                </w:p>
              </w:tc>
            </w:tr>
            <w:tr w:rsidR="0059570C" w:rsidRPr="0059570C" w14:paraId="0557A806"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E822763"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122E00A5"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0.9</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09DB8134"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44F85167"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51.6%</w:t>
                  </w:r>
                </w:p>
              </w:tc>
            </w:tr>
            <w:tr w:rsidR="0059570C" w:rsidRPr="0059570C" w14:paraId="205E7FE2"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0ED5AC39"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LARGE</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363CC978"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0.8</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5509D45D"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7524D078"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47.4%</w:t>
                  </w:r>
                </w:p>
              </w:tc>
            </w:tr>
            <w:tr w:rsidR="0059570C" w:rsidRPr="0059570C" w14:paraId="1CB1A2BE"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45CD758"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58BE276E"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0.7</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11FB8659"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795DC092"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43.0%</w:t>
                  </w:r>
                </w:p>
              </w:tc>
            </w:tr>
            <w:tr w:rsidR="0059570C" w:rsidRPr="0059570C" w14:paraId="64F9D4E6"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5BD16AF"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221C123D"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0.6</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29F47FC2"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73</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23D607E6"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38.2%</w:t>
                  </w:r>
                </w:p>
              </w:tc>
            </w:tr>
            <w:tr w:rsidR="0059570C" w:rsidRPr="0059570C" w14:paraId="003B07DE"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5F696D4B"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MEDIUM</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A92CC1B"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0.5</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1CAD1D4C"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3849BF42"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33.0%</w:t>
                  </w:r>
                </w:p>
              </w:tc>
            </w:tr>
            <w:tr w:rsidR="0059570C" w:rsidRPr="0059570C" w14:paraId="670B35A7"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73A98EA9"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4AD2E062"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0.4</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16F6E28D"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185DF1A0"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27.4%</w:t>
                  </w:r>
                </w:p>
              </w:tc>
            </w:tr>
            <w:tr w:rsidR="0059570C" w:rsidRPr="0059570C" w14:paraId="46190DC0"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34164027"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54A7F501"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0.3</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4A6F033A"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62</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1FDB9613"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21.3%</w:t>
                  </w:r>
                </w:p>
              </w:tc>
            </w:tr>
            <w:tr w:rsidR="0059570C" w:rsidRPr="0059570C" w14:paraId="0F118F99"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4A315717"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SMALL</w:t>
                  </w:r>
                </w:p>
              </w:tc>
              <w:tc>
                <w:tcPr>
                  <w:tcW w:w="165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61E6ED1D"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0.2</w:t>
                  </w:r>
                </w:p>
              </w:tc>
              <w:tc>
                <w:tcPr>
                  <w:tcW w:w="1700" w:type="pct"/>
                  <w:tcBorders>
                    <w:top w:val="outset" w:sz="6" w:space="0" w:color="auto"/>
                    <w:left w:val="outset" w:sz="6" w:space="0" w:color="auto"/>
                    <w:bottom w:val="outset" w:sz="6" w:space="0" w:color="auto"/>
                    <w:right w:val="outset" w:sz="6" w:space="0" w:color="auto"/>
                  </w:tcBorders>
                  <w:shd w:val="clear" w:color="auto" w:fill="FFFF80"/>
                  <w:vAlign w:val="center"/>
                  <w:hideMark/>
                </w:tcPr>
                <w:p w14:paraId="7323509E"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2CD8AA7F"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14.7%</w:t>
                  </w:r>
                </w:p>
              </w:tc>
            </w:tr>
            <w:tr w:rsidR="0059570C" w:rsidRPr="0059570C" w14:paraId="466144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2FBEA2AC"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3F735BE7"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47998855"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680FEF6E"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7.7%</w:t>
                  </w:r>
                </w:p>
              </w:tc>
            </w:tr>
            <w:tr w:rsidR="0059570C" w:rsidRPr="0059570C" w14:paraId="356748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1C9D01A6"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4E550BD4"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2FB3ABA5"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80"/>
                  <w:vAlign w:val="center"/>
                  <w:hideMark/>
                </w:tcPr>
                <w:p w14:paraId="1ACC9470" w14:textId="77777777" w:rsidR="0059570C" w:rsidRPr="0059570C" w:rsidRDefault="0059570C" w:rsidP="0059570C">
                  <w:pPr>
                    <w:spacing w:after="0"/>
                    <w:jc w:val="center"/>
                    <w:rPr>
                      <w:rFonts w:ascii="Times New Roman" w:eastAsia="Times New Roman" w:hAnsi="Times New Roman" w:cs="Times New Roman"/>
                      <w:sz w:val="24"/>
                      <w:szCs w:val="24"/>
                    </w:rPr>
                  </w:pPr>
                  <w:r w:rsidRPr="0059570C">
                    <w:rPr>
                      <w:rFonts w:ascii="Times New Roman" w:eastAsia="Times New Roman" w:hAnsi="Times New Roman" w:cs="Times New Roman"/>
                      <w:sz w:val="24"/>
                      <w:szCs w:val="24"/>
                    </w:rPr>
                    <w:t>0%</w:t>
                  </w:r>
                </w:p>
              </w:tc>
            </w:tr>
          </w:tbl>
          <w:p w14:paraId="565D0E2F" w14:textId="77777777" w:rsidR="0059570C" w:rsidRPr="0059570C" w:rsidRDefault="0059570C" w:rsidP="0059570C">
            <w:pPr>
              <w:spacing w:after="0"/>
              <w:rPr>
                <w:rFonts w:ascii="Arial" w:eastAsia="Times New Roman" w:hAnsi="Arial" w:cs="Arial"/>
                <w:color w:val="000000"/>
                <w:sz w:val="20"/>
                <w:szCs w:val="20"/>
              </w:rPr>
            </w:pP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F61763" w14:textId="77777777" w:rsidR="0059570C" w:rsidRPr="0059570C" w:rsidRDefault="00BD0704" w:rsidP="0059570C">
            <w:pPr>
              <w:spacing w:before="100" w:beforeAutospacing="1" w:after="100" w:afterAutospacing="1"/>
              <w:rPr>
                <w:rFonts w:ascii="Arial" w:eastAsia="Times New Roman" w:hAnsi="Arial" w:cs="Arial"/>
                <w:color w:val="000000"/>
                <w:sz w:val="20"/>
                <w:szCs w:val="20"/>
              </w:rPr>
            </w:pPr>
            <w:hyperlink r:id="rId4" w:anchor="Cohen" w:history="1">
              <w:r w:rsidR="0059570C" w:rsidRPr="0059570C">
                <w:rPr>
                  <w:rFonts w:ascii="Arial" w:eastAsia="Times New Roman" w:hAnsi="Arial" w:cs="Arial"/>
                  <w:color w:val="355B71"/>
                  <w:sz w:val="20"/>
                  <w:szCs w:val="20"/>
                </w:rPr>
                <w:t>Cohen (1988)</w:t>
              </w:r>
            </w:hyperlink>
            <w:r w:rsidR="0059570C" w:rsidRPr="0059570C">
              <w:rPr>
                <w:rFonts w:ascii="Arial" w:eastAsia="Times New Roman" w:hAnsi="Arial" w:cs="Arial"/>
                <w:color w:val="000000"/>
                <w:sz w:val="20"/>
                <w:szCs w:val="20"/>
              </w:rPr>
              <w:t> hesitantly defined effect sizes as "</w:t>
            </w:r>
            <w:proofErr w:type="spellStart"/>
            <w:r w:rsidR="0059570C" w:rsidRPr="0059570C">
              <w:rPr>
                <w:rFonts w:ascii="Arial" w:eastAsia="Times New Roman" w:hAnsi="Arial" w:cs="Arial"/>
                <w:color w:val="000000"/>
                <w:sz w:val="20"/>
                <w:szCs w:val="20"/>
              </w:rPr>
              <w:t>small,</w:t>
            </w:r>
            <w:r w:rsidR="0059570C" w:rsidRPr="0059570C">
              <w:rPr>
                <w:rFonts w:ascii="Arial" w:eastAsia="Times New Roman" w:hAnsi="Arial" w:cs="Arial"/>
                <w:i/>
                <w:iCs/>
                <w:color w:val="000000"/>
                <w:sz w:val="20"/>
                <w:szCs w:val="20"/>
              </w:rPr>
              <w:t>d</w:t>
            </w:r>
            <w:proofErr w:type="spellEnd"/>
            <w:r w:rsidR="0059570C" w:rsidRPr="0059570C">
              <w:rPr>
                <w:rFonts w:ascii="Arial" w:eastAsia="Times New Roman" w:hAnsi="Arial" w:cs="Arial"/>
                <w:color w:val="000000"/>
                <w:sz w:val="20"/>
                <w:szCs w:val="20"/>
              </w:rPr>
              <w:t> = .2," "medium, </w:t>
            </w:r>
            <w:r w:rsidR="0059570C" w:rsidRPr="0059570C">
              <w:rPr>
                <w:rFonts w:ascii="Arial" w:eastAsia="Times New Roman" w:hAnsi="Arial" w:cs="Arial"/>
                <w:i/>
                <w:iCs/>
                <w:color w:val="000000"/>
                <w:sz w:val="20"/>
                <w:szCs w:val="20"/>
              </w:rPr>
              <w:t>d</w:t>
            </w:r>
            <w:r w:rsidR="0059570C" w:rsidRPr="0059570C">
              <w:rPr>
                <w:rFonts w:ascii="Arial" w:eastAsia="Times New Roman" w:hAnsi="Arial" w:cs="Arial"/>
                <w:color w:val="000000"/>
                <w:sz w:val="20"/>
                <w:szCs w:val="20"/>
              </w:rPr>
              <w:t> = .5," and "large, </w:t>
            </w:r>
            <w:r w:rsidR="0059570C" w:rsidRPr="0059570C">
              <w:rPr>
                <w:rFonts w:ascii="Arial" w:eastAsia="Times New Roman" w:hAnsi="Arial" w:cs="Arial"/>
                <w:i/>
                <w:iCs/>
                <w:color w:val="000000"/>
                <w:sz w:val="20"/>
                <w:szCs w:val="20"/>
              </w:rPr>
              <w:t>d</w:t>
            </w:r>
            <w:r w:rsidR="0059570C" w:rsidRPr="0059570C">
              <w:rPr>
                <w:rFonts w:ascii="Arial" w:eastAsia="Times New Roman" w:hAnsi="Arial" w:cs="Arial"/>
                <w:color w:val="000000"/>
                <w:sz w:val="20"/>
                <w:szCs w:val="20"/>
              </w:rPr>
              <w:t> = .8", stating that "there is a certain risk in inherent in offering conventional operational definitions for those terms for use in power analysis in as diverse a field of inquiry as behavioral science" (p. 25).</w:t>
            </w:r>
          </w:p>
          <w:p w14:paraId="5DEC0389" w14:textId="77777777" w:rsidR="0059570C" w:rsidRPr="0059570C" w:rsidRDefault="0059570C" w:rsidP="0059570C">
            <w:pPr>
              <w:spacing w:before="100" w:beforeAutospacing="1" w:after="100" w:afterAutospacing="1"/>
              <w:rPr>
                <w:rFonts w:ascii="Arial" w:eastAsia="Times New Roman" w:hAnsi="Arial" w:cs="Arial"/>
                <w:color w:val="000000"/>
                <w:sz w:val="20"/>
                <w:szCs w:val="20"/>
              </w:rPr>
            </w:pPr>
            <w:r w:rsidRPr="0059570C">
              <w:rPr>
                <w:rFonts w:ascii="Arial" w:eastAsia="Times New Roman" w:hAnsi="Arial" w:cs="Arial"/>
                <w:color w:val="000000"/>
                <w:sz w:val="20"/>
                <w:szCs w:val="20"/>
              </w:rPr>
              <w:t>Effect sizes can also be thought of as the average percentile standing of the average treated (or experimental) participant relative to the average untreated (or control) participant. An ES of 0.0 indicates that the mean of the treated group is at the 50th percentile of the untreated group. An ES of 0.8 indicates that the mean of the treated group is at the 79th percentile of the untreated group. An effect size of 1.7 indicates that the mean of the treated group is at the 95.5 percentile of the untreated group.</w:t>
            </w:r>
          </w:p>
          <w:p w14:paraId="42507F0D" w14:textId="77777777" w:rsidR="0059570C" w:rsidRPr="0059570C" w:rsidRDefault="0059570C" w:rsidP="0059570C">
            <w:pPr>
              <w:spacing w:before="100" w:beforeAutospacing="1" w:after="100" w:afterAutospacing="1"/>
              <w:rPr>
                <w:rFonts w:ascii="Arial" w:eastAsia="Times New Roman" w:hAnsi="Arial" w:cs="Arial"/>
                <w:color w:val="000000"/>
                <w:sz w:val="20"/>
                <w:szCs w:val="20"/>
              </w:rPr>
            </w:pPr>
            <w:r w:rsidRPr="0059570C">
              <w:rPr>
                <w:rFonts w:ascii="Arial" w:eastAsia="Times New Roman" w:hAnsi="Arial" w:cs="Arial"/>
                <w:color w:val="000000"/>
                <w:sz w:val="20"/>
                <w:szCs w:val="20"/>
              </w:rPr>
              <w:t>Effect sizes can also be interpreted in terms of the percent of nonoverlap of the treated group's scores with those of the untreated group, see </w:t>
            </w:r>
            <w:hyperlink r:id="rId5" w:anchor="Cohen" w:history="1">
              <w:r w:rsidRPr="0059570C">
                <w:rPr>
                  <w:rFonts w:ascii="Arial" w:eastAsia="Times New Roman" w:hAnsi="Arial" w:cs="Arial"/>
                  <w:color w:val="355B71"/>
                  <w:sz w:val="20"/>
                  <w:szCs w:val="20"/>
                </w:rPr>
                <w:t>Cohen (1988</w:t>
              </w:r>
            </w:hyperlink>
            <w:r w:rsidRPr="0059570C">
              <w:rPr>
                <w:rFonts w:ascii="Arial" w:eastAsia="Times New Roman" w:hAnsi="Arial" w:cs="Arial"/>
                <w:color w:val="000000"/>
                <w:sz w:val="20"/>
                <w:szCs w:val="20"/>
              </w:rPr>
              <w:t>, pp. 21-23) for descriptions of additional measures of nonoverlap.. An ES of 0.0 indicates that the distribution of scores for the treated group overlaps completely with the distribution of scores for the untreated group, there is 0% of nonoverlap. An ES of 0.8 indicates a nonoverlap of 47.4% in the two distributions. An ES of 1.7 indicates a nonoverlap of 75.4% in the two distributions.</w:t>
            </w:r>
          </w:p>
        </w:tc>
      </w:tr>
    </w:tbl>
    <w:p w14:paraId="6419FDF4" w14:textId="77777777" w:rsidR="0059570C" w:rsidRDefault="0059570C"/>
    <w:p w14:paraId="54306816" w14:textId="77777777" w:rsidR="0059570C" w:rsidRDefault="0059570C">
      <w:r w:rsidRPr="0059570C">
        <w:t>http://www.uccs.edu/lbecker/effect-size.html</w:t>
      </w:r>
    </w:p>
    <w:p w14:paraId="6015E3CA" w14:textId="77777777" w:rsidR="0059570C" w:rsidRDefault="0059570C"/>
    <w:p w14:paraId="42D0A761" w14:textId="77777777" w:rsidR="0059570C" w:rsidRDefault="0059570C"/>
    <w:p w14:paraId="59B21CC3" w14:textId="77777777" w:rsidR="0059570C" w:rsidRDefault="0059570C"/>
    <w:sectPr w:rsidR="0059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70C"/>
    <w:rsid w:val="0059570C"/>
    <w:rsid w:val="006D596A"/>
    <w:rsid w:val="00916CA3"/>
    <w:rsid w:val="009B3AD5"/>
    <w:rsid w:val="00BD0704"/>
    <w:rsid w:val="00DD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7127"/>
  <w15:chartTrackingRefBased/>
  <w15:docId w15:val="{2FE6BAA0-89D3-49F0-89D0-D9E46E6A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28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ccs.edu/lbecker/effect-size.html" TargetMode="External"/><Relationship Id="rId4" Type="http://schemas.openxmlformats.org/officeDocument/2006/relationships/hyperlink" Target="http://www.uccs.edu/lbecker/effect-s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Gaddis, Monica</cp:lastModifiedBy>
  <cp:revision>2</cp:revision>
  <dcterms:created xsi:type="dcterms:W3CDTF">2021-09-20T22:45:00Z</dcterms:created>
  <dcterms:modified xsi:type="dcterms:W3CDTF">2021-09-20T22:45:00Z</dcterms:modified>
</cp:coreProperties>
</file>