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40" w:before="220" w:line="276"/>
      </w:pPr>
      <w:r>
        <w:t xml:space="preserve">7. Communicating About Maintenance Work</w:t>
      </w:r>
    </w:p>
    <w:p>
      <w:pPr>
        <w:keepNext w:val="false"/>
        <w:spacing w:after="140" w:before="100" w:line="276"/>
      </w:pPr>
      <w:r>
        <w:t xml:space="preserve">HR&amp;A proposes the following process for submitting, reviewing, and resolving maintenance requests across both tools. MHM and HR&amp;A will confirm designated contacts and a shared support email address before the maintenance term begins. A separate ticketing platform is not required; HR&amp;A will maintain a request log and use email for correspondence and approvals.</w:t>
      </w:r>
    </w:p>
    <w:p>
      <w:pPr>
        <w:pStyle w:val="Heading2"/>
        <w:keepNext/>
        <w:spacing w:after="140" w:before="220" w:line="276"/>
      </w:pPr>
      <w:r>
        <w:t xml:space="preserve">7.1 Submitting a request</w:t>
      </w:r>
    </w:p>
    <w:p>
      <w:pPr>
        <w:keepNext w:val="false"/>
        <w:spacing w:after="140" w:before="100" w:line="276"/>
      </w:pPr>
      <w:r>
        <w:t xml:space="preserve">MHM should submit maintenance requests to the agreed support email address, copying its designated project contact. Each email should identify:</w:t>
      </w:r>
    </w:p>
    <w:p>
      <w:pPr>
        <w:pStyle w:val="ListParagraph"/>
        <w:keepNext w:val="false"/>
        <w:numPr>
          <w:ilvl w:val="0"/>
          <w:numId w:val="1"/>
        </w:numPr>
        <w:spacing w:after="140" w:before="100" w:line="276"/>
      </w:pPr>
      <w:r>
        <w:t xml:space="preserve">The affected tool and page: Include a link where possible.</w:t>
      </w:r>
    </w:p>
    <w:p>
      <w:pPr>
        <w:pStyle w:val="ListParagraph"/>
        <w:keepNext w:val="false"/>
        <w:numPr>
          <w:ilvl w:val="0"/>
          <w:numId w:val="1"/>
        </w:numPr>
        <w:spacing w:after="140" w:before="100" w:line="276"/>
      </w:pPr>
      <w:r>
        <w:t xml:space="preserve">The issue or requested change: Describe what is happening and what should happen instead. For technical issues, include a screenshot and steps to reproduce the problem, if available.</w:t>
      </w:r>
    </w:p>
    <w:p>
      <w:pPr>
        <w:pStyle w:val="ListParagraph"/>
        <w:keepNext w:val="false"/>
        <w:numPr>
          <w:ilvl w:val="0"/>
          <w:numId w:val="1"/>
        </w:numPr>
        <w:spacing w:after="140" w:before="100" w:line="276"/>
      </w:pPr>
      <w:r>
        <w:t xml:space="preserve">The impact and timing: Explain who is affected and identify any relevant deadline. If a tool is unavailable or unusable, mark the subject line “URGENT.”</w:t>
      </w:r>
    </w:p>
    <w:p>
      <w:pPr>
        <w:pStyle w:val="ListParagraph"/>
        <w:keepNext w:val="false"/>
        <w:numPr>
          <w:ilvl w:val="0"/>
          <w:numId w:val="1"/>
        </w:numPr>
        <w:spacing w:after="140" w:before="100" w:line="276"/>
      </w:pPr>
      <w:r>
        <w:t xml:space="preserve">Supporting information: For data corrections, provide the affected organization, relationship, or dataset, the proposed correction, and its source. MHM should confirm that replacement content is approved for publication.</w:t>
      </w:r>
    </w:p>
    <w:p>
      <w:pPr>
        <w:keepNext w:val="false"/>
        <w:spacing w:after="140" w:before="100" w:line="276"/>
      </w:pPr>
      <w:r>
        <w:t xml:space="preserve">Suggested subject line: [Tool name] | [Brief issue or request]. Passwords, access tokens, and sensitive personal information should not be included in support emails.</w:t>
      </w:r>
    </w:p>
    <w:p>
      <w:pPr>
        <w:pStyle w:val="Heading2"/>
        <w:keepNext/>
        <w:spacing w:after="140" w:before="220" w:line="276"/>
      </w:pPr>
      <w:r>
        <w:t xml:space="preserve">7.2 Reviewing and scheduling the work</w:t>
      </w:r>
    </w:p>
    <w:p>
      <w:pPr>
        <w:keepNext w:val="false"/>
        <w:spacing w:after="140" w:before="100" w:line="276"/>
      </w:pPr>
      <w:r>
        <w:t xml:space="preserve">Upon receipt, HR&amp;A will log the request, acknowledge it, and assess its urgency and fit within the maintenance scope. The initial response will confirm HR&amp;A’s understanding of the request, identify any information needed from MHM, and provide either an anticipated next step or a date for the next update.</w:t>
      </w:r>
    </w:p>
    <w:p>
      <w:pPr>
        <w:keepNext w:val="false"/>
        <w:spacing w:after="140" w:before="100" w:line="276"/>
      </w:pPr>
      <w:r>
        <w:t xml:space="preserve">Requests will be prioritized by their effect on availability, functionality, and data accuracy. Routine corrections may be grouped into a scheduled update. When several requests compete for available retainer capacity, HR&amp;A will confirm priorities with MHM’s designated contact before proceeding.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shd w:fill="1F3A5F"/>
            <w:tcMar>
              <w:top w:type="dxa" w:w="100"/>
              <w:left w:type="dxa" w:w="120"/>
              <w:bottom w:type="dxa" w:w="100"/>
              <w:right w:type="dxa" w:w="120"/>
            </w:tcMar>
          </w:tcPr>
          <w:p>
            <w:r>
              <w:rPr>
                <w:b/>
                <w:bCs/>
                <w:color w:val="FFFFFF"/>
              </w:rPr>
              <w:t xml:space="preserve">Request type</w:t>
            </w:r>
          </w:p>
        </w:tc>
        <w:tc>
          <w:tcPr>
            <w:shd w:fill="1F3A5F"/>
            <w:tcMar>
              <w:top w:type="dxa" w:w="100"/>
              <w:left w:type="dxa" w:w="120"/>
              <w:bottom w:type="dxa" w:w="100"/>
              <w:right w:type="dxa" w:w="120"/>
            </w:tcMar>
          </w:tcPr>
          <w:p>
            <w:r>
              <w:rPr>
                <w:b/>
                <w:bCs/>
                <w:color w:val="FFFFFF"/>
              </w:rPr>
              <w:t xml:space="preserve">Target initial response</w:t>
            </w:r>
          </w:p>
        </w:tc>
      </w:tr>
      <w:tr>
        <w:trPr>
          <w:cantSplit/>
          <w:tblHeader w:val="false"/>
        </w:trPr>
        <w:tc>
          <w:tcPr>
            <w:shd w:fill="FFFFFF"/>
            <w:tcMar>
              <w:top w:type="dxa" w:w="100"/>
              <w:left w:type="dxa" w:w="120"/>
              <w:bottom w:type="dxa" w:w="100"/>
              <w:right w:type="dxa" w:w="120"/>
            </w:tcMar>
          </w:tcPr>
          <w:p>
            <w:r>
              <w:rPr>
                <w:b w:val="false"/>
                <w:bCs w:val="false"/>
                <w:color w:val="333333"/>
              </w:rPr>
              <w:t xml:space="preserve">Tool unavailable or unusable</w:t>
            </w:r>
          </w:p>
        </w:tc>
        <w:tc>
          <w:tcPr>
            <w:shd w:fill="FFFFFF"/>
            <w:tcMar>
              <w:top w:type="dxa" w:w="100"/>
              <w:left w:type="dxa" w:w="120"/>
              <w:bottom w:type="dxa" w:w="100"/>
              <w:right w:type="dxa" w:w="120"/>
            </w:tcMar>
          </w:tcPr>
          <w:p>
            <w:r>
              <w:rPr>
                <w:b w:val="false"/>
                <w:bCs w:val="false"/>
                <w:color w:val="333333"/>
              </w:rPr>
              <w:t xml:space="preserve">Within 1 business day</w:t>
            </w:r>
          </w:p>
        </w:tc>
      </w:tr>
      <w:tr>
        <w:trPr>
          <w:cantSplit/>
          <w:tblHeader w:val="false"/>
        </w:trPr>
        <w:tc>
          <w:tcPr>
            <w:shd w:fill="EDF1F5"/>
            <w:tcMar>
              <w:top w:type="dxa" w:w="100"/>
              <w:left w:type="dxa" w:w="120"/>
              <w:bottom w:type="dxa" w:w="100"/>
              <w:right w:type="dxa" w:w="120"/>
            </w:tcMar>
          </w:tcPr>
          <w:p>
            <w:r>
              <w:rPr>
                <w:b w:val="false"/>
                <w:bCs w:val="false"/>
                <w:color w:val="333333"/>
              </w:rPr>
              <w:t xml:space="preserve">Major feature failure or materially incorrect data</w:t>
            </w:r>
          </w:p>
        </w:tc>
        <w:tc>
          <w:tcPr>
            <w:shd w:fill="EDF1F5"/>
            <w:tcMar>
              <w:top w:type="dxa" w:w="100"/>
              <w:left w:type="dxa" w:w="120"/>
              <w:bottom w:type="dxa" w:w="100"/>
              <w:right w:type="dxa" w:w="120"/>
            </w:tcMar>
          </w:tcPr>
          <w:p>
            <w:r>
              <w:rPr>
                <w:b w:val="false"/>
                <w:bCs w:val="false"/>
                <w:color w:val="333333"/>
              </w:rPr>
              <w:t xml:space="preserve">Within 2 business days</w:t>
            </w:r>
          </w:p>
        </w:tc>
      </w:tr>
      <w:tr>
        <w:trPr>
          <w:cantSplit/>
          <w:tblHeader w:val="false"/>
        </w:trPr>
        <w:tc>
          <w:tcPr>
            <w:shd w:fill="FFFFFF"/>
            <w:tcMar>
              <w:top w:type="dxa" w:w="100"/>
              <w:left w:type="dxa" w:w="120"/>
              <w:bottom w:type="dxa" w:w="100"/>
              <w:right w:type="dxa" w:w="120"/>
            </w:tcMar>
          </w:tcPr>
          <w:p>
            <w:r>
              <w:rPr>
                <w:b w:val="false"/>
                <w:bCs w:val="false"/>
                <w:color w:val="333333"/>
              </w:rPr>
              <w:t xml:space="preserve">Minor defect or routine content update</w:t>
            </w:r>
          </w:p>
        </w:tc>
        <w:tc>
          <w:tcPr>
            <w:shd w:fill="FFFFFF"/>
            <w:tcMar>
              <w:top w:type="dxa" w:w="100"/>
              <w:left w:type="dxa" w:w="120"/>
              <w:bottom w:type="dxa" w:w="100"/>
              <w:right w:type="dxa" w:w="120"/>
            </w:tcMar>
          </w:tcPr>
          <w:p>
            <w:r>
              <w:rPr>
                <w:b w:val="false"/>
                <w:bCs w:val="false"/>
                <w:color w:val="333333"/>
              </w:rPr>
              <w:t xml:space="preserve">Within 5 business days</w:t>
            </w:r>
          </w:p>
        </w:tc>
      </w:tr>
      <w:tr>
        <w:trPr>
          <w:cantSplit/>
          <w:tblHeader w:val="false"/>
        </w:trPr>
        <w:tc>
          <w:tcPr>
            <w:shd w:fill="EDF1F5"/>
            <w:tcMar>
              <w:top w:type="dxa" w:w="100"/>
              <w:left w:type="dxa" w:w="120"/>
              <w:bottom w:type="dxa" w:w="100"/>
              <w:right w:type="dxa" w:w="120"/>
            </w:tcMar>
          </w:tcPr>
          <w:p>
            <w:r>
              <w:rPr>
                <w:b w:val="false"/>
                <w:bCs w:val="false"/>
                <w:color w:val="333333"/>
              </w:rPr>
              <w:t xml:space="preserve">General question or non-urgent adjustment</w:t>
            </w:r>
          </w:p>
        </w:tc>
        <w:tc>
          <w:tcPr>
            <w:shd w:fill="EDF1F5"/>
            <w:tcMar>
              <w:top w:type="dxa" w:w="100"/>
              <w:left w:type="dxa" w:w="120"/>
              <w:bottom w:type="dxa" w:w="100"/>
              <w:right w:type="dxa" w:w="120"/>
            </w:tcMar>
          </w:tcPr>
          <w:p>
            <w:r>
              <w:rPr>
                <w:b w:val="false"/>
                <w:bCs w:val="false"/>
                <w:color w:val="333333"/>
              </w:rPr>
              <w:t xml:space="preserve">Within 10 business days</w:t>
            </w:r>
          </w:p>
        </w:tc>
      </w:tr>
    </w:tbl>
    <w:p>
      <w:pPr>
        <w:keepNext w:val="false"/>
        <w:spacing w:after="140" w:before="100" w:line="276"/>
      </w:pPr>
      <w:r>
        <w:t xml:space="preserve">These are proposed acknowledgment and assessment targets, not guaranteed resolution times. Support is provided during agreed business hours, excluding holidays; the retainer does not include continuous or after-hours coverage. Requests received outside those hours will be reviewed on the next business day.</w:t>
      </w:r>
    </w:p>
    <w:p>
      <w:pPr>
        <w:keepNext w:val="false"/>
        <w:spacing w:after="140" w:before="100" w:line="276"/>
      </w:pPr>
      <w:r>
        <w:t xml:space="preserve">If a request falls outside the retainer, HR&amp;A will provide a proposed scope and fee for MHM’s written approval before undertaking the additional work. Where resolution depends on a hosting provider, data publisher, or other third party, HR&amp;A will explain the dependency and communicate available next steps.</w:t>
      </w:r>
    </w:p>
    <w:p>
      <w:pPr>
        <w:pStyle w:val="Heading2"/>
        <w:keepNext/>
        <w:spacing w:after="140" w:before="220" w:line="276"/>
      </w:pPr>
      <w:r>
        <w:t xml:space="preserve">7.3 Completing and closing requests</w:t>
      </w:r>
    </w:p>
    <w:p>
      <w:pPr>
        <w:keepNext w:val="false"/>
        <w:spacing w:after="140" w:before="100" w:line="276"/>
      </w:pPr>
      <w:r>
        <w:t xml:space="preserve">HR&amp;A will investigate the issue, implement the agreed correction, and check the affected functionality before release. For changes to published data, methodology, or public-facing content, HR&amp;A will obtain MHM’s approval of the proposed change before publication. Routine technical maintenance that does not change public-facing content may proceed within the agreed scope.</w:t>
      </w:r>
    </w:p>
    <w:p>
      <w:pPr>
        <w:keepNext w:val="false"/>
        <w:spacing w:after="140" w:before="100" w:line="276"/>
      </w:pPr>
      <w:r>
        <w:t xml:space="preserve">For unresolved outages or major failures, HR&amp;A will provide an update each business day while actively investigating, unless another cadence is agreed. Other requests will receive updates at agreed milestones or whenever the expected completion date changes. If planned work may interrupt access, HR&amp;A will notify MHM in advance and coordinate an appropriate maintenance window.</w:t>
      </w:r>
    </w:p>
    <w:p>
      <w:pPr>
        <w:keepNext w:val="false"/>
        <w:spacing w:after="140" w:before="100" w:line="276"/>
      </w:pPr>
      <w:r>
        <w:t xml:space="preserve">Once work is complete, HR&amp;A will reply in the original email thread with a brief explanation of what changed, the checks performed, and any remaining limitations or actions for MHM. MHM may report continuing issues in that same thread. HR&amp;A will record the outcome and closure date in the request log.</w:t>
      </w:r>
    </w:p>
    <w:p>
      <w:pPr>
        <w:pStyle w:val="Heading2"/>
        <w:keepNext/>
        <w:spacing w:after="140" w:before="220" w:line="276"/>
      </w:pPr>
      <w:r>
        <w:t xml:space="preserve">7.4 Data updates and the pending Airtable decision</w:t>
      </w:r>
    </w:p>
    <w:p>
      <w:pPr>
        <w:keepNext w:val="false"/>
        <w:spacing w:after="140" w:before="100" w:line="276"/>
      </w:pPr>
      <w:r>
        <w:t xml:space="preserve">Until an Airtable approach is selected and implemented, MHM should submit approved ecosystem data updates through the same support email process. Maintenance requests and proposed additions to the ecosystem directory will remain distinct: submitting an organization or relationship does not automatically authorize its publication.</w:t>
      </w:r>
    </w:p>
    <w:p>
      <w:pPr>
        <w:keepNext w:val="false"/>
        <w:spacing w:after="140" w:before="100" w:line="276"/>
      </w:pPr>
      <w:r>
        <w:t xml:space="preserve">Once MHM selects its preferred Airtable approach, HR&amp;A and MHM will confirm how information is submitted, who reviews and approves it, and how approved changes reach the public tool. An Airtable form collects submissions into an underlying base, but does not by itself establish an automated publishing connection. The intake, review, and publishing procedures, together with the associated maintenance responsibilities, are subject to change following MHM’s decision and will be documented within the final maintenance scope.</w:t>
      </w:r>
    </w:p>
    <w:p>
      <w:pPr>
        <w:pStyle w:val="Heading2"/>
        <w:keepNext/>
        <w:spacing w:after="140" w:before="220" w:line="276"/>
      </w:pPr>
      <w:r>
        <w:t xml:space="preserve">7.5 Periodic reporting</w:t>
      </w:r>
    </w:p>
    <w:p>
      <w:pPr>
        <w:keepNext w:val="false"/>
        <w:spacing w:after="140" w:before="100" w:line="276"/>
      </w:pPr>
      <w:r>
        <w:t xml:space="preserve">HR&amp;A will provide a quarterly summary of completed work, open requests, upcoming maintenance, and retainer capacity used and remaining. A quarterly check-in will allow MHM to confirm priorities and flag anticipated data updates. An annual review will establish the following year’s maintenance priorities and identify any proposed changes to scope or fees.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A5F"/>
      <w:sz w:val="32"/>
      <w:szCs w:val="32"/>
    </w:rPr>
  </w:style>
  <w:style w:type="paragraph" w:styleId="Heading2">
    <w:name w:val="Heading 2"/>
    <w:basedOn w:val="Normal"/>
    <w:next w:val="Normal"/>
    <w:qFormat/>
    <w:rPr>
      <w:rFonts w:ascii="Calibri" w:cs="Calibri" w:eastAsia="Calibri" w:hAnsi="Calibri"/>
      <w:b/>
      <w:bCs/>
      <w:color w:val="1F3A5F"/>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Communicating About Maintenance Work</dc:title>
  <dc:creator>HR&amp;A Advisors</dc:creator>
  <cp:lastModifiedBy>Un-named</cp:lastModifiedBy>
  <cp:revision>1</cp:revision>
  <dcterms:created xsi:type="dcterms:W3CDTF">2026-09-25T01:33:18.659Z</dcterms:created>
  <dcterms:modified xsi:type="dcterms:W3CDTF">2026-09-25T01:33:18.662Z</dcterms:modified>
</cp:coreProperties>
</file>

<file path=docProps/custom.xml><?xml version="1.0" encoding="utf-8"?>
<Properties xmlns="http://schemas.openxmlformats.org/officeDocument/2006/custom-properties" xmlns:vt="http://schemas.openxmlformats.org/officeDocument/2006/docPropsVTypes"/>
</file>