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MEMORANDUM</w:t>
      </w:r>
    </w:p>
    <w:p>
      <w:r>
        <w:rPr>
          <w:b/>
          <w:bCs/>
        </w:rPr>
        <w:t xml:space="preserve">To:</w:t>
      </w:r>
      <w:r>
        <w:rPr>
          <w:b w:val="false"/>
          <w:bCs w:val="false"/>
        </w:rPr>
        <w:t xml:space="preserve"> Methodist Healthcare Ministries of South Texas, Inc. (MHM)</w:t>
      </w:r>
    </w:p>
    <w:p>
      <w:r>
        <w:rPr>
          <w:b/>
          <w:bCs/>
        </w:rPr>
        <w:t xml:space="preserve">From:</w:t>
      </w:r>
      <w:r>
        <w:rPr>
          <w:b w:val="false"/>
          <w:bCs w:val="false"/>
        </w:rPr>
        <w:t xml:space="preserve"> HR&amp;A Advisors, Inc.</w:t>
      </w:r>
    </w:p>
    <w:p>
      <w:r>
        <w:rPr>
          <w:b/>
          <w:bCs/>
        </w:rPr>
        <w:t xml:space="preserve">Date:</w:t>
      </w:r>
      <w:r>
        <w:rPr>
          <w:b w:val="false"/>
          <w:bCs w:val="false"/>
        </w:rPr>
        <w:t xml:space="preserve"> [To be confirmed]</w:t>
      </w:r>
    </w:p>
    <w:p>
      <w:r>
        <w:rPr>
          <w:b/>
          <w:bCs/>
        </w:rPr>
        <w:t xml:space="preserve">Re:</w:t>
      </w:r>
      <w:r>
        <w:rPr>
          <w:b w:val="false"/>
          <w:bCs w:val="false"/>
        </w:rPr>
        <w:t xml:space="preserve"> Digital Tools Knowledge Transfer and Maintenance Plan</w:t>
      </w:r>
    </w:p>
    <w:p>
      <w:pPr>
        <w:pStyle w:val="Heading1"/>
      </w:pPr>
      <w:r>
        <w:t xml:space="preserve">1. Introduction</w:t>
      </w:r>
    </w:p>
    <w:p>
      <w:r>
        <w:rPr>
          <w:b w:val="false"/>
          <w:bCs w:val="false"/>
        </w:rPr>
        <w:t xml:space="preserve">HR&amp;A Advisors (the Team) developed the Broadband Infrastructure Mapping Tool and Regional Ecosystem Network Tool to help MHM understand broadband conditions, public investment, and the organizations supporting digital access across its service area. This memo supports the transition from development to ongoing use and maintenance.</w:t>
      </w:r>
    </w:p>
    <w:p>
      <w:r>
        <w:rPr>
          <w:b w:val="false"/>
          <w:bCs w:val="false"/>
        </w:rPr>
        <w:t xml:space="preserve">It explains how to use and interpret each tool, where its information comes from, how the websites are built and hosted, and what is needed to keep them working. It also sets out a proposed maintenance schedule, a process for requesting help, and the steps needed to complete the handoff.</w:t>
      </w:r>
    </w:p>
    <w:p>
      <w:r>
        <w:rPr>
          <w:b w:val="false"/>
          <w:bCs w:val="false"/>
        </w:rPr>
        <w:t xml:space="preserve">Knowledge transfer does not require MHM staff to become website or data administrators. Technical maintenance and publication remain support activities to be confirmed with HR&amp;A. Account ownership and responsibility for the underlying broadband analysis are still undecided; the ecosystem data management approach is also pending.</w:t>
      </w:r>
    </w:p>
    <w:p>
      <w:pPr>
        <w:pStyle w:val="Heading1"/>
      </w:pPr>
      <w:r>
        <w:t xml:space="preserve">2. Knowledge Transfer</w:t>
      </w:r>
    </w:p>
    <w:p>
      <w:pPr>
        <w:pStyle w:val="Heading2"/>
      </w:pPr>
      <w:r>
        <w:t xml:space="preserve">2.1 Broadband Infrastructure Mapping Tool</w:t>
      </w:r>
    </w:p>
    <w:p>
      <w:hyperlink w:history="1" r:id="rId-onzdzoqg8xixmza39pyt">
        <w:r>
          <w:rPr>
            <w:rStyle w:val="Hyperlink"/>
          </w:rPr>
          <w:t xml:space="preserve">Open the Broadband Infrastructure Mapping Tool</w:t>
        </w:r>
      </w:hyperlink>
    </w:p>
    <w:p>
      <w:r>
        <w:rPr>
          <w:b/>
          <w:bCs/>
        </w:rPr>
        <w:t xml:space="preserve">Purpose.</w:t>
      </w:r>
      <w:r>
        <w:rPr>
          <w:b w:val="false"/>
          <w:bCs w:val="false"/>
        </w:rPr>
        <w:t xml:space="preserve"> This tool brings together existing broadband conditions, current federal and state investment, and anticipated gaps across MHM’s 74-county South Texas service area. It supports questions such as where service gaps remain, where public funding is directed, and where community needs and infrastructure conditions overlap. The maps inform planning and discussion; they do not replace review of individual projects or locations.</w:t>
      </w:r>
    </w:p>
    <w:p>
      <w:r>
        <w:rPr>
          <w:b/>
          <w:bCs/>
        </w:rPr>
        <w:t xml:space="preserve">Using the tool.</w:t>
      </w:r>
    </w:p>
    <w:p>
      <w:r>
        <w:rPr>
          <w:b/>
          <w:bCs/>
        </w:rPr>
        <w:t xml:space="preserve">1. Choose a map section.</w:t>
      </w:r>
      <w:r>
        <w:rPr>
          <w:b w:val="false"/>
          <w:bCs w:val="false"/>
        </w:rPr>
        <w:t xml:space="preserve"> Start with existing conditions, current investment, or anticipated gaps, depending on the question being explored.</w:t>
      </w:r>
    </w:p>
    <w:p>
      <w:r>
        <w:rPr>
          <w:b/>
          <w:bCs/>
        </w:rPr>
        <w:t xml:space="preserve">2. Find the area of interest.</w:t>
      </w:r>
      <w:r>
        <w:rPr>
          <w:b w:val="false"/>
          <w:bCs w:val="false"/>
        </w:rPr>
        <w:t xml:space="preserve"> Use the county or region search to focus the map. The Reset control returns to the full service-area view and clears the selected place.</w:t>
      </w:r>
    </w:p>
    <w:p>
      <w:r>
        <w:rPr>
          <w:b/>
          <w:bCs/>
        </w:rPr>
        <w:t xml:space="preserve">3. Select the information to display.</w:t>
      </w:r>
      <w:r>
        <w:rPr>
          <w:b w:val="false"/>
          <w:bCs w:val="false"/>
        </w:rPr>
        <w:t xml:space="preserve"> Use the Layers panel to choose indicators or overlays, and read the corresponding Legend. On smaller screens, open Layers &amp; Legend to reach these controls.</w:t>
      </w:r>
    </w:p>
    <w:p>
      <w:r>
        <w:rPr>
          <w:b/>
          <w:bCs/>
        </w:rPr>
        <w:t xml:space="preserve">4. Interpret the result.</w:t>
      </w:r>
      <w:r>
        <w:rPr>
          <w:b w:val="false"/>
          <w:bCs w:val="false"/>
        </w:rPr>
        <w:t xml:space="preserve"> Review the information available for the mapped area and note the indicator, geographic unit, source, and reference period before using a figure in a report or presentation. If a source date or definition is unclear, ask HR&amp;A to confirm it rather than treating the figure as current.</w:t>
      </w:r>
    </w:p>
    <w:p>
      <w:r>
        <w:rPr>
          <w:b/>
          <w:bCs/>
        </w:rPr>
        <w:t xml:space="preserve">Sources and limitations.</w:t>
      </w:r>
      <w:r>
        <w:rPr>
          <w:b w:val="false"/>
          <w:bCs w:val="false"/>
        </w:rPr>
        <w:t xml:space="preserve"> The maps use prepared geographic datasets derived from the Federal Communications Commission, the U.S. Census Bureau’s American Community Survey, Feeding America, and the Texas Broadband Development Office. Funding amounts also come from HR&amp;A’s separate funding tracker. These sources describe different subjects and periods, so the maps should not be treated as a single real-time picture.</w:t>
      </w:r>
    </w:p>
    <w:p>
      <w:pPr>
        <w:pStyle w:val="ListParagraph"/>
        <w:numPr>
          <w:ilvl w:val="0"/>
          <w:numId w:val="1"/>
        </w:numPr>
      </w:pPr>
      <w:r>
        <w:rPr>
          <w:b w:val="false"/>
          <w:bCs w:val="false"/>
        </w:rPr>
        <w:t xml:space="preserve">Service availability and subscription are different: a household may have service available without subscribing to it.</w:t>
      </w:r>
    </w:p>
    <w:p>
      <w:pPr>
        <w:pStyle w:val="ListParagraph"/>
        <w:numPr>
          <w:ilvl w:val="0"/>
          <w:numId w:val="1"/>
        </w:numPr>
      </w:pPr>
      <w:r>
        <w:rPr>
          <w:b w:val="false"/>
          <w:bCs w:val="false"/>
        </w:rPr>
        <w:t xml:space="preserve">Planned investment is not completed service: a funding award does not establish that construction is finished or households are connected.</w:t>
      </w:r>
    </w:p>
    <w:p>
      <w:pPr>
        <w:pStyle w:val="ListParagraph"/>
        <w:numPr>
          <w:ilvl w:val="0"/>
          <w:numId w:val="1"/>
        </w:numPr>
      </w:pPr>
      <w:r>
        <w:rPr>
          <w:b w:val="false"/>
          <w:bCs w:val="false"/>
        </w:rPr>
        <w:t xml:space="preserve">Missing information is not zero: an unavailable funding amount means a matching figure is not provided.</w:t>
      </w:r>
    </w:p>
    <w:p>
      <w:pPr>
        <w:pStyle w:val="ListParagraph"/>
        <w:numPr>
          <w:ilvl w:val="0"/>
          <w:numId w:val="1"/>
        </w:numPr>
      </w:pPr>
      <w:r>
        <w:rPr>
          <w:b w:val="false"/>
          <w:bCs w:val="false"/>
        </w:rPr>
        <w:t xml:space="preserve">Need and gap measures depend on the underlying analysis. Compare areas using the same indicator and reference period, and consult the methodology before treating a score as a direct count or service measure.</w:t>
      </w:r>
    </w:p>
    <w:p>
      <w:r>
        <w:rPr>
          <w:b/>
          <w:bCs/>
        </w:rPr>
        <w:t xml:space="preserve">How the information reaches the map.</w:t>
      </w:r>
      <w:r>
        <w:rPr>
          <w:b w:val="false"/>
          <w:bCs w:val="false"/>
        </w:rPr>
        <w:t xml:space="preserve"> Source information is first analyzed and prepared as geographic files. Those files are converted into formats the website can display and stored separately from the website itself. The website reads the published files; it does not automatically collect new source releases or recalculate need and gap measures. Responsibility for refreshing that underlying analysis must be confirmed before an end-to-end data refresh is scheduled.</w:t>
      </w:r>
    </w:p>
    <w:p>
      <w:pPr>
        <w:pStyle w:val="Heading2"/>
      </w:pPr>
      <w:r>
        <w:t xml:space="preserve">2.2 Regional Ecosystem Network Tool</w:t>
      </w:r>
    </w:p>
    <w:p>
      <w:hyperlink w:history="1" r:id="rIdpshq4qkfe6p_cd4uukfkb">
        <w:r>
          <w:rPr>
            <w:rStyle w:val="Hyperlink"/>
          </w:rPr>
          <w:t xml:space="preserve">Open the Regional Ecosystem Network Tool</w:t>
        </w:r>
      </w:hyperlink>
    </w:p>
    <w:p>
      <w:r>
        <w:rPr>
          <w:b/>
          <w:bCs/>
        </w:rPr>
        <w:t xml:space="preserve">Purpose.</w:t>
      </w:r>
      <w:r>
        <w:rPr>
          <w:b w:val="false"/>
          <w:bCs w:val="false"/>
        </w:rPr>
        <w:t xml:space="preserve"> This tool helps MHM explore the organizations supporting digital access and the relationships documented between them. It provides a regional view of the ecosystem that can support partner discussions, identify organizations to contact, and show where relationships are already recorded. The homepage also provides a summary of MHM’s digital access portfolio and impact.</w:t>
      </w:r>
    </w:p>
    <w:p>
      <w:r>
        <w:rPr>
          <w:b/>
          <w:bCs/>
        </w:rPr>
        <w:t xml:space="preserve">Using the tool.</w:t>
      </w:r>
    </w:p>
    <w:p>
      <w:r>
        <w:rPr>
          <w:b/>
          <w:bCs/>
        </w:rPr>
        <w:t xml:space="preserve">1. Start with the overview.</w:t>
      </w:r>
      <w:r>
        <w:rPr>
          <w:b w:val="false"/>
          <w:bCs w:val="false"/>
        </w:rPr>
        <w:t xml:space="preserve"> Use the homepage to understand the scope of the network, then choose a region to explore its organizations and connections.</w:t>
      </w:r>
    </w:p>
    <w:p>
      <w:r>
        <w:rPr>
          <w:b/>
          <w:bCs/>
        </w:rPr>
        <w:t xml:space="preserve">2. Find an organization.</w:t>
      </w:r>
      <w:r>
        <w:rPr>
          <w:b w:val="false"/>
          <w:bCs w:val="false"/>
        </w:rPr>
        <w:t xml:space="preserve"> Use organization search or the regional network view to locate a particular organization and review the information presented about it.</w:t>
      </w:r>
    </w:p>
    <w:p>
      <w:r>
        <w:rPr>
          <w:b/>
          <w:bCs/>
        </w:rPr>
        <w:t xml:space="preserve">3. Read the connections.</w:t>
      </w:r>
      <w:r>
        <w:rPr>
          <w:b w:val="false"/>
          <w:bCs w:val="false"/>
        </w:rPr>
        <w:t xml:space="preserve"> Use the network to see which relationships have been documented. Distinguish these from additional ecosystem partners that appear without a documented connection.</w:t>
      </w:r>
    </w:p>
    <w:p>
      <w:r>
        <w:rPr>
          <w:b/>
          <w:bCs/>
        </w:rPr>
        <w:t xml:space="preserve">4. Check the context.</w:t>
      </w:r>
      <w:r>
        <w:rPr>
          <w:b w:val="false"/>
          <w:bCs w:val="false"/>
        </w:rPr>
        <w:t xml:space="preserve"> Review the Data and Methodology pages before drawing conclusions about coverage or relationships. For outreach or a decision that depends on a specific relationship, confirm that the available record is sufficiently current and detailed.</w:t>
      </w:r>
    </w:p>
    <w:p>
      <w:r>
        <w:rPr>
          <w:b/>
          <w:bCs/>
        </w:rPr>
        <w:t xml:space="preserve">Sources and limitations.</w:t>
      </w:r>
      <w:r>
        <w:rPr>
          <w:b w:val="false"/>
          <w:bCs w:val="false"/>
        </w:rPr>
        <w:t xml:space="preserve"> The organization and relationship records combine MHM-provided information and research. They are manually curated and currently maintained in the website’s data files, not drawn from a live external database. A documented connection is one recorded in the dataset; it should not be read as independent confirmation of every aspect of that relationship.</w:t>
      </w:r>
    </w:p>
    <w:p>
      <w:pPr>
        <w:pStyle w:val="ListParagraph"/>
        <w:numPr>
          <w:ilvl w:val="0"/>
          <w:numId w:val="1"/>
        </w:numPr>
      </w:pPr>
      <w:r>
        <w:rPr>
          <w:b w:val="false"/>
          <w:bCs w:val="false"/>
        </w:rPr>
        <w:t xml:space="preserve">No displayed connection does not mean no relationship exists. It may mean the relationship has not been recorded.</w:t>
      </w:r>
    </w:p>
    <w:p>
      <w:pPr>
        <w:pStyle w:val="ListParagraph"/>
        <w:numPr>
          <w:ilvl w:val="0"/>
          <w:numId w:val="1"/>
        </w:numPr>
      </w:pPr>
      <w:r>
        <w:rPr>
          <w:b w:val="false"/>
          <w:bCs w:val="false"/>
        </w:rPr>
        <w:t xml:space="preserve">Two organizations in the same region are not necessarily partners. A relationship requires supporting information beyond geographic overlap.</w:t>
      </w:r>
    </w:p>
    <w:p>
      <w:pPr>
        <w:pStyle w:val="ListParagraph"/>
        <w:numPr>
          <w:ilvl w:val="0"/>
          <w:numId w:val="1"/>
        </w:numPr>
      </w:pPr>
      <w:r>
        <w:rPr>
          <w:b w:val="false"/>
          <w:bCs w:val="false"/>
        </w:rPr>
        <w:t xml:space="preserve">Organizations may serve more than one region. A regional view is a way to explore the records, not proof that an organization works only within that area.</w:t>
      </w:r>
    </w:p>
    <w:p>
      <w:pPr>
        <w:pStyle w:val="ListParagraph"/>
        <w:numPr>
          <w:ilvl w:val="0"/>
          <w:numId w:val="1"/>
        </w:numPr>
      </w:pPr>
      <w:r>
        <w:rPr>
          <w:b w:val="false"/>
          <w:bCs w:val="false"/>
        </w:rPr>
        <w:t xml:space="preserve">The network reflects the information available to the project. It is not a complete directory of every organization or a ranking of organizational importance.</w:t>
      </w:r>
    </w:p>
    <w:p>
      <w:r>
        <w:rPr>
          <w:b/>
          <w:bCs/>
        </w:rPr>
        <w:t xml:space="preserve">Future data management.</w:t>
      </w:r>
      <w:r>
        <w:rPr>
          <w:b w:val="false"/>
          <w:bCs w:val="false"/>
        </w:rPr>
        <w:t xml:space="preserve"> MHM is considering an Airtable form or a broader database approach for managing submissions and records. A form collects information into an underlying database; it does not by itself approve the information or publish it to the website. The final approach will determine how submissions are reviewed, where approved records are kept, and how they reach the tool. Implementation and ongoing support are addressed under maintenance, subject to MHM’s decision.</w:t>
      </w:r>
    </w:p>
    <w:p>
      <w:pPr>
        <w:pStyle w:val="Heading2"/>
      </w:pPr>
      <w:r>
        <w:t xml:space="preserve">2.3 How the tools are built and kept available</w:t>
      </w:r>
    </w:p>
    <w:p>
      <w:r>
        <w:rPr>
          <w:b w:val="false"/>
          <w:bCs w:val="false"/>
        </w:rPr>
        <w:t xml:space="preserve">Both tools use Next.js, the software framework used to build their web pages. The following services have separate functions. Understanding the distinction helps MHM retain the right access and explain problems when requesting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cantSplit/>
          <w:tblHeader/>
        </w:trPr>
        <w:tc>
          <w:tcPr>
            <w:tcW w:type="dxa" w:w="2350"/>
            <w:shd w:fill="203C55"/>
            <w:tcMar>
              <w:top w:type="dxa" w:w="110"/>
              <w:left w:type="dxa" w:w="130"/>
              <w:bottom w:type="dxa" w:w="110"/>
              <w:right w:type="dxa" w:w="130"/>
            </w:tcMar>
          </w:tcPr>
          <w:p>
            <w:pPr>
              <w:spacing w:after="0" w:line="245"/>
            </w:pPr>
            <w:r>
              <w:rPr>
                <w:b/>
                <w:bCs/>
                <w:color w:val="FFFFFF"/>
                <w:sz w:val="20"/>
                <w:szCs w:val="20"/>
              </w:rPr>
              <w:t xml:space="preserve">Service or asset</w:t>
            </w:r>
          </w:p>
        </w:tc>
        <w:tc>
          <w:tcPr>
            <w:tcW w:type="dxa" w:w="7010"/>
            <w:shd w:fill="203C55"/>
            <w:tcMar>
              <w:top w:type="dxa" w:w="110"/>
              <w:left w:type="dxa" w:w="130"/>
              <w:bottom w:type="dxa" w:w="110"/>
              <w:right w:type="dxa" w:w="130"/>
            </w:tcMar>
          </w:tcPr>
          <w:p>
            <w:pPr>
              <w:spacing w:after="0" w:line="245"/>
            </w:pPr>
            <w:r>
              <w:rPr>
                <w:b/>
                <w:bCs/>
                <w:color w:val="FFFFFF"/>
                <w:sz w:val="20"/>
                <w:szCs w:val="20"/>
              </w:rPr>
              <w:t xml:space="preserve">What it does</w:t>
            </w:r>
          </w:p>
        </w:tc>
      </w:tr>
      <w:tr>
        <w:trPr>
          <w:cantSplit/>
          <w:tblHeader w:val="false"/>
        </w:trPr>
        <w:tc>
          <w:tcPr>
            <w:tcW w:type="dxa" w:w="2350"/>
            <w:tcMar>
              <w:top w:type="dxa" w:w="110"/>
              <w:left w:type="dxa" w:w="130"/>
              <w:bottom w:type="dxa" w:w="110"/>
              <w:right w:type="dxa" w:w="130"/>
            </w:tcMar>
          </w:tcPr>
          <w:p>
            <w:pPr>
              <w:spacing w:after="0" w:line="245"/>
            </w:pPr>
            <w:r>
              <w:rPr>
                <w:b w:val="false"/>
                <w:bCs w:val="false"/>
                <w:color w:val="25313B"/>
                <w:sz w:val="20"/>
                <w:szCs w:val="20"/>
              </w:rPr>
              <w:t xml:space="preserve">GitHub</w:t>
            </w:r>
          </w:p>
        </w:tc>
        <w:tc>
          <w:tcPr>
            <w:tcW w:type="dxa" w:w="7010"/>
            <w:tcMar>
              <w:top w:type="dxa" w:w="110"/>
              <w:left w:type="dxa" w:w="130"/>
              <w:bottom w:type="dxa" w:w="110"/>
              <w:right w:type="dxa" w:w="130"/>
            </w:tcMar>
          </w:tcPr>
          <w:p>
            <w:pPr>
              <w:spacing w:after="0" w:line="245"/>
            </w:pPr>
            <w:r>
              <w:rPr>
                <w:b w:val="false"/>
                <w:bCs w:val="false"/>
                <w:color w:val="25313B"/>
                <w:sz w:val="20"/>
                <w:szCs w:val="20"/>
              </w:rPr>
              <w:t xml:space="preserve">Stores the website code and its change history. Repository access supports continuity if the technical maintainer changes.</w:t>
            </w:r>
          </w:p>
        </w:tc>
      </w:tr>
      <w:tr>
        <w:trPr>
          <w:cantSplit/>
          <w:tblHeader w:val="false"/>
        </w:trPr>
        <w:tc>
          <w:tcPr>
            <w:tcW w:type="dxa" w:w="2350"/>
            <w:tcMar>
              <w:top w:type="dxa" w:w="110"/>
              <w:left w:type="dxa" w:w="130"/>
              <w:bottom w:type="dxa" w:w="110"/>
              <w:right w:type="dxa" w:w="130"/>
            </w:tcMar>
          </w:tcPr>
          <w:p>
            <w:pPr>
              <w:spacing w:after="0" w:line="245"/>
            </w:pPr>
            <w:r>
              <w:rPr>
                <w:b w:val="false"/>
                <w:bCs w:val="false"/>
                <w:color w:val="25313B"/>
                <w:sz w:val="20"/>
                <w:szCs w:val="20"/>
              </w:rPr>
              <w:t xml:space="preserve">Vercel</w:t>
            </w:r>
          </w:p>
        </w:tc>
        <w:tc>
          <w:tcPr>
            <w:tcW w:type="dxa" w:w="7010"/>
            <w:tcMar>
              <w:top w:type="dxa" w:w="110"/>
              <w:left w:type="dxa" w:w="130"/>
              <w:bottom w:type="dxa" w:w="110"/>
              <w:right w:type="dxa" w:w="130"/>
            </w:tcMar>
          </w:tcPr>
          <w:p>
            <w:pPr>
              <w:spacing w:after="0" w:line="245"/>
            </w:pPr>
            <w:r>
              <w:rPr>
                <w:b w:val="false"/>
                <w:bCs w:val="false"/>
                <w:color w:val="25313B"/>
                <w:sz w:val="20"/>
                <w:szCs w:val="20"/>
              </w:rPr>
              <w:t xml:space="preserve">Hosts both websites and publishes new versions. Restoring a website version does not necessarily restore data held elsewhere.</w:t>
            </w:r>
          </w:p>
        </w:tc>
      </w:tr>
      <w:tr>
        <w:trPr>
          <w:cantSplit/>
          <w:tblHeader w:val="false"/>
        </w:trPr>
        <w:tc>
          <w:tcPr>
            <w:tcW w:type="dxa" w:w="2350"/>
            <w:tcMar>
              <w:top w:type="dxa" w:w="110"/>
              <w:left w:type="dxa" w:w="130"/>
              <w:bottom w:type="dxa" w:w="110"/>
              <w:right w:type="dxa" w:w="130"/>
            </w:tcMar>
          </w:tcPr>
          <w:p>
            <w:pPr>
              <w:spacing w:after="0" w:line="245"/>
            </w:pPr>
            <w:r>
              <w:rPr>
                <w:b w:val="false"/>
                <w:bCs w:val="false"/>
                <w:color w:val="25313B"/>
                <w:sz w:val="20"/>
                <w:szCs w:val="20"/>
              </w:rPr>
              <w:t xml:space="preserve">Amazon S3</w:t>
            </w:r>
          </w:p>
        </w:tc>
        <w:tc>
          <w:tcPr>
            <w:tcW w:type="dxa" w:w="7010"/>
            <w:tcMar>
              <w:top w:type="dxa" w:w="110"/>
              <w:left w:type="dxa" w:w="130"/>
              <w:bottom w:type="dxa" w:w="110"/>
              <w:right w:type="dxa" w:w="130"/>
            </w:tcMar>
          </w:tcPr>
          <w:p>
            <w:pPr>
              <w:spacing w:after="0" w:line="245"/>
            </w:pPr>
            <w:r>
              <w:rPr>
                <w:b w:val="false"/>
                <w:bCs w:val="false"/>
                <w:color w:val="25313B"/>
                <w:sz w:val="20"/>
                <w:szCs w:val="20"/>
              </w:rPr>
              <w:t xml:space="preserve">Stores the prepared broadband map files separately from the code. Those files and their source materials must be included in the handoff arrangements.</w:t>
            </w:r>
          </w:p>
        </w:tc>
      </w:tr>
      <w:tr>
        <w:trPr>
          <w:cantSplit/>
          <w:tblHeader w:val="false"/>
        </w:trPr>
        <w:tc>
          <w:tcPr>
            <w:tcW w:type="dxa" w:w="2350"/>
            <w:tcMar>
              <w:top w:type="dxa" w:w="110"/>
              <w:left w:type="dxa" w:w="130"/>
              <w:bottom w:type="dxa" w:w="110"/>
              <w:right w:type="dxa" w:w="130"/>
            </w:tcMar>
          </w:tcPr>
          <w:p>
            <w:pPr>
              <w:spacing w:after="0" w:line="245"/>
            </w:pPr>
            <w:r>
              <w:rPr>
                <w:b w:val="false"/>
                <w:bCs w:val="false"/>
                <w:color w:val="25313B"/>
                <w:sz w:val="20"/>
                <w:szCs w:val="20"/>
              </w:rPr>
              <w:t xml:space="preserve">Mapbox</w:t>
            </w:r>
          </w:p>
        </w:tc>
        <w:tc>
          <w:tcPr>
            <w:tcW w:type="dxa" w:w="7010"/>
            <w:tcMar>
              <w:top w:type="dxa" w:w="110"/>
              <w:left w:type="dxa" w:w="130"/>
              <w:bottom w:type="dxa" w:w="110"/>
              <w:right w:type="dxa" w:w="130"/>
            </w:tcMar>
          </w:tcPr>
          <w:p>
            <w:pPr>
              <w:spacing w:after="0" w:line="245"/>
            </w:pPr>
            <w:r>
              <w:rPr>
                <w:b w:val="false"/>
                <w:bCs w:val="false"/>
                <w:color w:val="25313B"/>
                <w:sz w:val="20"/>
                <w:szCs w:val="20"/>
              </w:rPr>
              <w:t xml:space="preserve">Displays the interactive broadband maps. The tool depends on its mapping access and configuration remaining valid.</w:t>
            </w:r>
          </w:p>
        </w:tc>
      </w:tr>
      <w:tr>
        <w:trPr>
          <w:cantSplit/>
          <w:tblHeader w:val="false"/>
        </w:trPr>
        <w:tc>
          <w:tcPr>
            <w:tcW w:type="dxa" w:w="2350"/>
            <w:tcMar>
              <w:top w:type="dxa" w:w="110"/>
              <w:left w:type="dxa" w:w="130"/>
              <w:bottom w:type="dxa" w:w="110"/>
              <w:right w:type="dxa" w:w="130"/>
            </w:tcMar>
          </w:tcPr>
          <w:p>
            <w:pPr>
              <w:spacing w:after="0" w:line="245"/>
            </w:pPr>
            <w:r>
              <w:rPr>
                <w:b w:val="false"/>
                <w:bCs w:val="false"/>
                <w:color w:val="25313B"/>
                <w:sz w:val="20"/>
                <w:szCs w:val="20"/>
              </w:rPr>
              <w:t xml:space="preserve">Domains and future data platform</w:t>
            </w:r>
          </w:p>
        </w:tc>
        <w:tc>
          <w:tcPr>
            <w:tcW w:type="dxa" w:w="7010"/>
            <w:tcMar>
              <w:top w:type="dxa" w:w="110"/>
              <w:left w:type="dxa" w:w="130"/>
              <w:bottom w:type="dxa" w:w="110"/>
              <w:right w:type="dxa" w:w="130"/>
            </w:tcMar>
          </w:tcPr>
          <w:p>
            <w:pPr>
              <w:spacing w:after="0" w:line="245"/>
            </w:pPr>
            <w:r>
              <w:rPr>
                <w:b w:val="false"/>
                <w:bCs w:val="false"/>
                <w:color w:val="25313B"/>
                <w:sz w:val="20"/>
                <w:szCs w:val="20"/>
              </w:rPr>
              <w:t xml:space="preserve">Any custom web addresses must remain renewed and connected. Airtable or another selected platform will add its own access and maintenance requirements.</w:t>
            </w:r>
          </w:p>
        </w:tc>
      </w:tr>
    </w:tbl>
    <w:p>
      <w:pPr>
        <w:spacing w:after="30"/>
      </w:pPr>
    </w:p>
    <w:p>
      <w:r>
        <w:rPr>
          <w:b w:val="false"/>
          <w:bCs w:val="false"/>
        </w:rPr>
        <w:t xml:space="preserve">Keeping the tools available requires active service accounts, working configuration, current software, and recoverable copies of the code and data. These are technical support tasks, not routine tasks for staff using the public tools. Final account ownership and administrative access have not yet been agreed.</w:t>
      </w:r>
    </w:p>
    <w:p>
      <w:pPr>
        <w:pStyle w:val="Heading2"/>
      </w:pPr>
      <w:r>
        <w:t xml:space="preserve">2.4 What the handoff should provide</w:t>
      </w:r>
    </w:p>
    <w:p>
      <w:r>
        <w:rPr>
          <w:b w:val="false"/>
          <w:bCs w:val="false"/>
        </w:rPr>
        <w:t xml:space="preserve">The handoff should provide MHM with a shared reference package for both tools, rather than relying on one person’s knowledge. Before handoff is considered complete, MHM and HR&amp;A should confirm that it contains:</w:t>
      </w:r>
    </w:p>
    <w:p>
      <w:pPr>
        <w:pStyle w:val="ListParagraph"/>
        <w:numPr>
          <w:ilvl w:val="0"/>
          <w:numId w:val="1"/>
        </w:numPr>
      </w:pPr>
      <w:r>
        <w:rPr>
          <w:b w:val="false"/>
          <w:bCs w:val="false"/>
        </w:rPr>
        <w:t xml:space="preserve">Links and access instructions for the live tools, code repositories, hosting projects, map storage, and any selected data platform, with account ownership and recovery contacts recorded.</w:t>
      </w:r>
    </w:p>
    <w:p>
      <w:pPr>
        <w:pStyle w:val="ListParagraph"/>
        <w:numPr>
          <w:ilvl w:val="0"/>
          <w:numId w:val="1"/>
        </w:numPr>
      </w:pPr>
      <w:r>
        <w:rPr>
          <w:b w:val="false"/>
          <w:bCs w:val="false"/>
        </w:rPr>
        <w:t xml:space="preserve">Current datasets and available source documentation: broadband map files, funding tracker, source dates and analytical notes; ecosystem organization and relationship records and their supporting references.</w:t>
      </w:r>
    </w:p>
    <w:p>
      <w:pPr>
        <w:pStyle w:val="ListParagraph"/>
        <w:numPr>
          <w:ilvl w:val="0"/>
          <w:numId w:val="1"/>
        </w:numPr>
      </w:pPr>
      <w:r>
        <w:rPr>
          <w:b w:val="false"/>
          <w:bCs w:val="false"/>
        </w:rPr>
        <w:t xml:space="preserve">A concise operating guide covering configuration, publication, checks after a release, and restoration of a working version. Existing repository documentation should be checked against the final deployed tools.</w:t>
      </w:r>
    </w:p>
    <w:p>
      <w:pPr>
        <w:pStyle w:val="ListParagraph"/>
        <w:numPr>
          <w:ilvl w:val="0"/>
          <w:numId w:val="1"/>
        </w:numPr>
      </w:pPr>
      <w:r>
        <w:rPr>
          <w:b w:val="false"/>
          <w:bCs w:val="false"/>
        </w:rPr>
        <w:t xml:space="preserve">A dated record of the versions handed over, known limitations, unresolved issues, and where the materials are stored.</w:t>
      </w:r>
    </w:p>
    <w:p>
      <w:r>
        <w:rPr>
          <w:b w:val="false"/>
          <w:bCs w:val="false"/>
        </w:rPr>
        <w:t xml:space="preserve">A walkthrough should demonstrate a typical MHM use case in each tool, explain the sources and limitations, and show how to request support. It should also explain what happens behind the scenes when a correction is published or a service is restored. A written guide or recording should be retained for new staff. This memo does not assume that the materials, training, or access transfers have already been completed.</w:t>
      </w:r>
    </w:p>
    <w:p>
      <w:pPr>
        <w:pStyle w:val="Heading1"/>
      </w:pPr>
      <w:r>
        <w:t xml:space="preserve">3. Maintenance Schedule and Scope</w:t>
      </w:r>
    </w:p>
    <w:p>
      <w:r>
        <w:rPr>
          <w:b w:val="false"/>
          <w:bCs w:val="false"/>
        </w:rPr>
        <w:t xml:space="preserve">The following schedule is proposed for both tools and should be confirmed before maintenance begins. Routine checks keep the websites working; data refreshes keep their content current. A functioning website does not, by itself, establish that every dataset has been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cantSplit/>
          <w:tblHeader/>
        </w:trPr>
        <w:tc>
          <w:tcPr>
            <w:tcW w:type="dxa" w:w="2550"/>
            <w:shd w:fill="203C55"/>
            <w:tcMar>
              <w:top w:type="dxa" w:w="110"/>
              <w:left w:type="dxa" w:w="130"/>
              <w:bottom w:type="dxa" w:w="110"/>
              <w:right w:type="dxa" w:w="130"/>
            </w:tcMar>
          </w:tcPr>
          <w:p>
            <w:pPr>
              <w:spacing w:after="0" w:line="245"/>
            </w:pPr>
            <w:r>
              <w:rPr>
                <w:b/>
                <w:bCs/>
                <w:color w:val="FFFFFF"/>
                <w:sz w:val="20"/>
                <w:szCs w:val="20"/>
              </w:rPr>
              <w:t xml:space="preserve">Timing</w:t>
            </w:r>
          </w:p>
        </w:tc>
        <w:tc>
          <w:tcPr>
            <w:tcW w:type="dxa" w:w="6810"/>
            <w:shd w:fill="203C55"/>
            <w:tcMar>
              <w:top w:type="dxa" w:w="110"/>
              <w:left w:type="dxa" w:w="130"/>
              <w:bottom w:type="dxa" w:w="110"/>
              <w:right w:type="dxa" w:w="130"/>
            </w:tcMar>
          </w:tcPr>
          <w:p>
            <w:pPr>
              <w:spacing w:after="0" w:line="245"/>
            </w:pPr>
            <w:r>
              <w:rPr>
                <w:b/>
                <w:bCs/>
                <w:color w:val="FFFFFF"/>
                <w:sz w:val="20"/>
                <w:szCs w:val="20"/>
              </w:rPr>
              <w:t xml:space="preserve">Maintenance activity</w:t>
            </w:r>
          </w:p>
        </w:tc>
      </w:tr>
      <w:tr>
        <w:trPr>
          <w:cantSplit/>
          <w:tblHeader w:val="false"/>
        </w:trPr>
        <w:tc>
          <w:tcPr>
            <w:tcW w:type="dxa" w:w="2550"/>
            <w:tcMar>
              <w:top w:type="dxa" w:w="110"/>
              <w:left w:type="dxa" w:w="130"/>
              <w:bottom w:type="dxa" w:w="110"/>
              <w:right w:type="dxa" w:w="130"/>
            </w:tcMar>
          </w:tcPr>
          <w:p>
            <w:pPr>
              <w:spacing w:after="0" w:line="245"/>
            </w:pPr>
            <w:r>
              <w:rPr>
                <w:b w:val="false"/>
                <w:bCs w:val="false"/>
                <w:color w:val="25313B"/>
                <w:sz w:val="20"/>
                <w:szCs w:val="20"/>
              </w:rPr>
              <w:t xml:space="preserve">Quarterly</w:t>
            </w:r>
          </w:p>
        </w:tc>
        <w:tc>
          <w:tcPr>
            <w:tcW w:type="dxa" w:w="6810"/>
            <w:tcMar>
              <w:top w:type="dxa" w:w="110"/>
              <w:left w:type="dxa" w:w="130"/>
              <w:bottom w:type="dxa" w:w="110"/>
              <w:right w:type="dxa" w:w="130"/>
            </w:tcMar>
          </w:tcPr>
          <w:p>
            <w:pPr>
              <w:spacing w:after="0" w:line="245"/>
            </w:pPr>
            <w:r>
              <w:rPr>
                <w:b w:val="false"/>
                <w:bCs w:val="false"/>
                <w:color w:val="25313B"/>
                <w:sz w:val="20"/>
                <w:szCs w:val="20"/>
              </w:rPr>
              <w:t xml:space="preserve">Review hosting, map and data access, key links, and core functions such as search and regional navigation. Review software dependencies and apply appropriate updates with testing. Provide a brief activity summary and check-in with MHM.</w:t>
            </w:r>
          </w:p>
        </w:tc>
      </w:tr>
      <w:tr>
        <w:trPr>
          <w:cantSplit/>
          <w:tblHeader w:val="false"/>
        </w:trPr>
        <w:tc>
          <w:tcPr>
            <w:tcW w:type="dxa" w:w="2550"/>
            <w:tcMar>
              <w:top w:type="dxa" w:w="110"/>
              <w:left w:type="dxa" w:w="130"/>
              <w:bottom w:type="dxa" w:w="110"/>
              <w:right w:type="dxa" w:w="130"/>
            </w:tcMar>
          </w:tcPr>
          <w:p>
            <w:pPr>
              <w:spacing w:after="0" w:line="245"/>
            </w:pPr>
            <w:r>
              <w:rPr>
                <w:b w:val="false"/>
                <w:bCs w:val="false"/>
                <w:color w:val="25313B"/>
                <w:sz w:val="20"/>
                <w:szCs w:val="20"/>
              </w:rPr>
              <w:t xml:space="preserve">Annually, aligned with source releases</w:t>
            </w:r>
          </w:p>
        </w:tc>
        <w:tc>
          <w:tcPr>
            <w:tcW w:type="dxa" w:w="6810"/>
            <w:tcMar>
              <w:top w:type="dxa" w:w="110"/>
              <w:left w:type="dxa" w:w="130"/>
              <w:bottom w:type="dxa" w:w="110"/>
              <w:right w:type="dxa" w:w="130"/>
            </w:tcMar>
          </w:tcPr>
          <w:p>
            <w:pPr>
              <w:spacing w:after="0" w:line="245"/>
            </w:pPr>
            <w:r>
              <w:rPr>
                <w:b w:val="false"/>
                <w:bCs w:val="false"/>
                <w:color w:val="25313B"/>
                <w:sz w:val="20"/>
                <w:szCs w:val="20"/>
              </w:rPr>
              <w:t xml:space="preserve">Review which broadband sources and funding records have new information. Agree on a refresh scope and confirm who will perform any underlying analysis before preparing and publishing approved results. Review maintenance needs for the coming year.</w:t>
            </w:r>
          </w:p>
        </w:tc>
      </w:tr>
      <w:tr>
        <w:trPr>
          <w:cantSplit/>
          <w:tblHeader w:val="false"/>
        </w:trPr>
        <w:tc>
          <w:tcPr>
            <w:tcW w:type="dxa" w:w="2550"/>
            <w:tcMar>
              <w:top w:type="dxa" w:w="110"/>
              <w:left w:type="dxa" w:w="130"/>
              <w:bottom w:type="dxa" w:w="110"/>
              <w:right w:type="dxa" w:w="130"/>
            </w:tcMar>
          </w:tcPr>
          <w:p>
            <w:pPr>
              <w:spacing w:after="0" w:line="245"/>
            </w:pPr>
            <w:r>
              <w:rPr>
                <w:b w:val="false"/>
                <w:bCs w:val="false"/>
                <w:color w:val="25313B"/>
                <w:sz w:val="20"/>
                <w:szCs w:val="20"/>
              </w:rPr>
              <w:t xml:space="preserve">As approved information becomes available</w:t>
            </w:r>
          </w:p>
        </w:tc>
        <w:tc>
          <w:tcPr>
            <w:tcW w:type="dxa" w:w="6810"/>
            <w:tcMar>
              <w:top w:type="dxa" w:w="110"/>
              <w:left w:type="dxa" w:w="130"/>
              <w:bottom w:type="dxa" w:w="110"/>
              <w:right w:type="dxa" w:w="130"/>
            </w:tcMar>
          </w:tcPr>
          <w:p>
            <w:pPr>
              <w:spacing w:after="0" w:line="245"/>
            </w:pPr>
            <w:r>
              <w:rPr>
                <w:b w:val="false"/>
                <w:bCs w:val="false"/>
                <w:color w:val="25313B"/>
                <w:sz w:val="20"/>
                <w:szCs w:val="20"/>
              </w:rPr>
              <w:t xml:space="preserve">Publish agreed ecosystem record corrections and content changes. Check the affected organizations, regions, and connections after each release.</w:t>
            </w:r>
          </w:p>
        </w:tc>
      </w:tr>
      <w:tr>
        <w:trPr>
          <w:cantSplit/>
          <w:tblHeader w:val="false"/>
        </w:trPr>
        <w:tc>
          <w:tcPr>
            <w:tcW w:type="dxa" w:w="2550"/>
            <w:tcMar>
              <w:top w:type="dxa" w:w="110"/>
              <w:left w:type="dxa" w:w="130"/>
              <w:bottom w:type="dxa" w:w="110"/>
              <w:right w:type="dxa" w:w="130"/>
            </w:tcMar>
          </w:tcPr>
          <w:p>
            <w:pPr>
              <w:spacing w:after="0" w:line="245"/>
            </w:pPr>
            <w:r>
              <w:rPr>
                <w:b w:val="false"/>
                <w:bCs w:val="false"/>
                <w:color w:val="25313B"/>
                <w:sz w:val="20"/>
                <w:szCs w:val="20"/>
              </w:rPr>
              <w:t xml:space="preserve">As issues arise</w:t>
            </w:r>
          </w:p>
        </w:tc>
        <w:tc>
          <w:tcPr>
            <w:tcW w:type="dxa" w:w="6810"/>
            <w:tcMar>
              <w:top w:type="dxa" w:w="110"/>
              <w:left w:type="dxa" w:w="130"/>
              <w:bottom w:type="dxa" w:w="110"/>
              <w:right w:type="dxa" w:w="130"/>
            </w:tcMar>
          </w:tcPr>
          <w:p>
            <w:pPr>
              <w:spacing w:after="0" w:line="245"/>
            </w:pPr>
            <w:r>
              <w:rPr>
                <w:b w:val="false"/>
                <w:bCs w:val="false"/>
                <w:color w:val="25313B"/>
                <w:sz w:val="20"/>
                <w:szCs w:val="20"/>
              </w:rPr>
              <w:t xml:space="preserve">Investigate outages and defects, address relevant security issues without waiting for the quarterly review, and coordinate any action needed from service providers.</w:t>
            </w:r>
          </w:p>
        </w:tc>
      </w:tr>
      <w:tr>
        <w:trPr>
          <w:cantSplit/>
          <w:tblHeader w:val="false"/>
        </w:trPr>
        <w:tc>
          <w:tcPr>
            <w:tcW w:type="dxa" w:w="2550"/>
            <w:tcMar>
              <w:top w:type="dxa" w:w="110"/>
              <w:left w:type="dxa" w:w="130"/>
              <w:bottom w:type="dxa" w:w="110"/>
              <w:right w:type="dxa" w:w="130"/>
            </w:tcMar>
          </w:tcPr>
          <w:p>
            <w:pPr>
              <w:spacing w:after="0" w:line="245"/>
            </w:pPr>
            <w:r>
              <w:rPr>
                <w:b w:val="false"/>
                <w:bCs w:val="false"/>
                <w:color w:val="25313B"/>
                <w:sz w:val="20"/>
                <w:szCs w:val="20"/>
              </w:rPr>
              <w:t xml:space="preserve">Before and after significant changes</w:t>
            </w:r>
          </w:p>
        </w:tc>
        <w:tc>
          <w:tcPr>
            <w:tcW w:type="dxa" w:w="6810"/>
            <w:tcMar>
              <w:top w:type="dxa" w:w="110"/>
              <w:left w:type="dxa" w:w="130"/>
              <w:bottom w:type="dxa" w:w="110"/>
              <w:right w:type="dxa" w:w="130"/>
            </w:tcMar>
          </w:tcPr>
          <w:p>
            <w:pPr>
              <w:spacing w:after="0" w:line="245"/>
            </w:pPr>
            <w:r>
              <w:rPr>
                <w:b w:val="false"/>
                <w:bCs w:val="false"/>
                <w:color w:val="25313B"/>
                <w:sz w:val="20"/>
                <w:szCs w:val="20"/>
              </w:rPr>
              <w:t xml:space="preserve">Retain the previous working version and relevant data, test affected features, notify MHM of public-facing changes or interruptions, and check the live result after release.</w:t>
            </w:r>
          </w:p>
        </w:tc>
      </w:tr>
    </w:tbl>
    <w:p>
      <w:pPr>
        <w:spacing w:after="30"/>
      </w:pPr>
    </w:p>
    <w:p>
      <w:r>
        <w:rPr>
          <w:b/>
          <w:bCs/>
        </w:rPr>
        <w:t xml:space="preserve">Platform and corrective maintenance.</w:t>
      </w:r>
      <w:r>
        <w:rPr>
          <w:b w:val="false"/>
          <w:bCs w:val="false"/>
        </w:rPr>
        <w:t xml:space="preserve"> HR&amp;A will support the agreed hosting, mapping, storage, and domain arrangements; investigate failures; and correct defects such as broken layers, search problems, rendering errors, and broken links. The availability-checking method and notification arrangements will be confirmed during transition. The plan does not assume continuous staffed monitoring.</w:t>
      </w:r>
    </w:p>
    <w:p>
      <w:r>
        <w:rPr>
          <w:b/>
          <w:bCs/>
        </w:rPr>
        <w:t xml:space="preserve">Broadband refresh support.</w:t>
      </w:r>
      <w:r>
        <w:rPr>
          <w:b w:val="false"/>
          <w:bCs w:val="false"/>
        </w:rPr>
        <w:t xml:space="preserve"> Refresh work includes preparing approved analytical outputs for the website, updating associated legends and descriptions, and checking published values. Funding figures require a separate review of the funding tracker. The website’s conversion scripts do not reproduce the original analysis, so responsibility for obtaining source data and recalculating derived measures must be agreed separately from technical publication.</w:t>
      </w:r>
    </w:p>
    <w:p>
      <w:r>
        <w:rPr>
          <w:b/>
          <w:bCs/>
        </w:rPr>
        <w:t xml:space="preserve">Ecosystem updates and the pending Airtable decision.</w:t>
      </w:r>
      <w:r>
        <w:rPr>
          <w:b w:val="false"/>
          <w:bCs w:val="false"/>
        </w:rPr>
        <w:t xml:space="preserve"> Maintenance includes agreed corrections to organization and relationship records. Once MHM selects its intake and database approach, HR&amp;A and MHM will confirm setup, transfer of the existing records, approval steps, and the connection to the public website. This work belongs within the maintenance discussion, but its specific scope and schedule remain subject to that decision. Unreviewed submissions should not automatically become public records.</w:t>
      </w:r>
    </w:p>
    <w:p>
      <w:r>
        <w:rPr>
          <w:b/>
          <w:bCs/>
        </w:rPr>
        <w:t xml:space="preserve">Small adjustments and larger changes.</w:t>
      </w:r>
      <w:r>
        <w:rPr>
          <w:b w:val="false"/>
          <w:bCs w:val="false"/>
        </w:rPr>
        <w:t xml:space="preserve"> Agreed wording, presentation, and configuration changes are included in routine support. New tools, substantial features, redesigns, additional data sources, or major changes to the analysis require a separate scope and written approval before work begins. If a data publisher changes or discontinues a source, HR&amp;A will explain the effect and propose a path forward.</w:t>
      </w:r>
    </w:p>
    <w:p>
      <w:r>
        <w:rPr>
          <w:b/>
          <w:bCs/>
        </w:rPr>
        <w:t xml:space="preserve">Recovery.</w:t>
      </w:r>
      <w:r>
        <w:rPr>
          <w:b w:val="false"/>
          <w:bCs w:val="false"/>
        </w:rPr>
        <w:t xml:space="preserve"> Before replacing published information, the maintainer should retain the previous code and data versions and record what changed. Broadband map files are stored separately from the website, so recovery may require restoring both. Backup locations and a workable restoration procedure must be confirmed during handoff.</w:t>
      </w:r>
    </w:p>
    <w:p>
      <w:pPr>
        <w:pStyle w:val="Heading1"/>
      </w:pPr>
      <w:r>
        <w:t xml:space="preserve">4. Requesting Specific Maintenance</w:t>
      </w:r>
    </w:p>
    <w:p>
      <w:pPr>
        <w:pStyle w:val="Heading2"/>
      </w:pPr>
      <w:r>
        <w:t xml:space="preserve">4.1 Submit the request</w:t>
      </w:r>
    </w:p>
    <w:p>
      <w:r>
        <w:rPr>
          <w:b w:val="false"/>
          <w:bCs w:val="false"/>
        </w:rPr>
        <w:t xml:space="preserve">MHM should email the agreed support address and copy its designated project contact. HR&amp;A will use the email thread for correspondence and maintain a request log; a separate ticketing platform is not required. The address and contacts will be confirmed during handoff.</w:t>
      </w:r>
    </w:p>
    <w:p>
      <w:r>
        <w:rPr>
          <w:b w:val="false"/>
          <w:bCs w:val="false"/>
        </w:rPr>
        <w:t xml:space="preserve">Use the subject line </w:t>
      </w:r>
      <w:r>
        <w:rPr>
          <w:b/>
          <w:bCs/>
        </w:rPr>
        <w:t xml:space="preserve">[Tool name] | [Brief description]</w:t>
      </w:r>
      <w:r>
        <w:rPr>
          <w:b w:val="false"/>
          <w:bCs w:val="false"/>
        </w:rPr>
        <w:t xml:space="preserve"> and include:</w:t>
      </w:r>
    </w:p>
    <w:p>
      <w:pPr>
        <w:pStyle w:val="ListParagraph"/>
        <w:numPr>
          <w:ilvl w:val="0"/>
          <w:numId w:val="1"/>
        </w:numPr>
      </w:pPr>
      <w:r>
        <w:rPr>
          <w:b w:val="false"/>
          <w:bCs w:val="false"/>
        </w:rPr>
        <w:t xml:space="preserve">The affected page link and a description of what is happening or what should change.</w:t>
      </w:r>
    </w:p>
    <w:p>
      <w:pPr>
        <w:pStyle w:val="ListParagraph"/>
        <w:numPr>
          <w:ilvl w:val="0"/>
          <w:numId w:val="1"/>
        </w:numPr>
      </w:pPr>
      <w:r>
        <w:rPr>
          <w:b w:val="false"/>
          <w:bCs w:val="false"/>
        </w:rPr>
        <w:t xml:space="preserve">A screenshot and steps to reproduce a technical problem, where possible. For a map issue, name the selected indicator and county or region. For a network issue, name the organization or connection.</w:t>
      </w:r>
    </w:p>
    <w:p>
      <w:pPr>
        <w:pStyle w:val="ListParagraph"/>
        <w:numPr>
          <w:ilvl w:val="0"/>
          <w:numId w:val="1"/>
        </w:numPr>
      </w:pPr>
      <w:r>
        <w:rPr>
          <w:b w:val="false"/>
          <w:bCs w:val="false"/>
        </w:rPr>
        <w:t xml:space="preserve">For a content correction, the current information, proposed replacement, supporting source, and whether it is approved for publication. Staff may flag a suspected error without supplying replacement data.</w:t>
      </w:r>
    </w:p>
    <w:p>
      <w:pPr>
        <w:pStyle w:val="ListParagraph"/>
        <w:numPr>
          <w:ilvl w:val="0"/>
          <w:numId w:val="1"/>
        </w:numPr>
      </w:pPr>
      <w:r>
        <w:rPr>
          <w:b w:val="false"/>
          <w:bCs w:val="false"/>
        </w:rPr>
        <w:t xml:space="preserve">Any relevant presentation, program deadline, or other timing consideration.</w:t>
      </w:r>
    </w:p>
    <w:p>
      <w:r>
        <w:rPr>
          <w:b w:val="false"/>
          <w:bCs w:val="false"/>
        </w:rPr>
        <w:t xml:space="preserve">If a tool is unavailable or a main feature cannot be used, add </w:t>
      </w:r>
      <w:r>
        <w:rPr>
          <w:b/>
          <w:bCs/>
        </w:rPr>
        <w:t xml:space="preserve">URGENT</w:t>
      </w:r>
      <w:r>
        <w:rPr>
          <w:b w:val="false"/>
          <w:bCs w:val="false"/>
        </w:rPr>
        <w:t xml:space="preserve"> to the subject line. Do not send passwords, access tokens, or sensitive personal information in the support email.</w:t>
      </w:r>
    </w:p>
    <w:p>
      <w:pPr>
        <w:pStyle w:val="Heading2"/>
      </w:pPr>
      <w:r>
        <w:t xml:space="preserve">4.2 Receive confirmation and a plan</w:t>
      </w:r>
    </w:p>
    <w:p>
      <w:r>
        <w:rPr>
          <w:b w:val="false"/>
          <w:bCs w:val="false"/>
        </w:rPr>
        <w:t xml:space="preserve">Under the proposed process, HR&amp;A will acknowledge maintenance requests within two business days and service interruptions within one business day. The response will confirm the request, identify any information needed, and explain the next step and expected timing. If investigation is needed before a completion date can be provided, HR&amp;A will specify when MHM can expect another update.</w:t>
      </w:r>
    </w:p>
    <w:p>
      <w:pPr>
        <w:pStyle w:val="ListParagraph"/>
        <w:numPr>
          <w:ilvl w:val="0"/>
          <w:numId w:val="1"/>
        </w:numPr>
      </w:pPr>
      <w:r>
        <w:rPr>
          <w:b w:val="false"/>
          <w:bCs w:val="false"/>
        </w:rPr>
        <w:t xml:space="preserve">For service interruptions, HR&amp;A will focus on restoring access or identifying a temporary workaround and explain any dependency on a hosting or other provider.</w:t>
      </w:r>
    </w:p>
    <w:p>
      <w:pPr>
        <w:pStyle w:val="ListParagraph"/>
        <w:numPr>
          <w:ilvl w:val="0"/>
          <w:numId w:val="1"/>
        </w:numPr>
      </w:pPr>
      <w:r>
        <w:rPr>
          <w:b w:val="false"/>
          <w:bCs w:val="false"/>
        </w:rPr>
        <w:t xml:space="preserve">For data and content updates, HR&amp;A will confirm the source, publication approval, and release date with MHM. Related changes may be released together by agreement.</w:t>
      </w:r>
    </w:p>
    <w:p>
      <w:pPr>
        <w:pStyle w:val="ListParagraph"/>
        <w:numPr>
          <w:ilvl w:val="0"/>
          <w:numId w:val="1"/>
        </w:numPr>
      </w:pPr>
      <w:r>
        <w:rPr>
          <w:b w:val="false"/>
          <w:bCs w:val="false"/>
        </w:rPr>
        <w:t xml:space="preserve">For technical corrections, HR&amp;A will explain the proposed fix and check affected functions before release. A preview will be provided where it will help MHM review the result.</w:t>
      </w:r>
    </w:p>
    <w:p>
      <w:r>
        <w:rPr>
          <w:b w:val="false"/>
          <w:bCs w:val="false"/>
        </w:rPr>
        <w:t xml:space="preserve">If requests overlap or extend beyond the agreed maintenance scope, HR&amp;A will discuss sequencing and options with MHM before proceeding. Response targets apply during agreed business hours, excluding holidays, and refer to acknowledgment and initial assessment rather than guaranteed completion. They do not establish after-hours coverage.</w:t>
      </w:r>
    </w:p>
    <w:p>
      <w:pPr>
        <w:pStyle w:val="Heading2"/>
      </w:pPr>
      <w:r>
        <w:t xml:space="preserve">4.3 Review the outcome and close the request</w:t>
      </w:r>
    </w:p>
    <w:p>
      <w:r>
        <w:rPr>
          <w:b w:val="false"/>
          <w:bCs w:val="false"/>
        </w:rPr>
        <w:t xml:space="preserve">HR&amp;A will notify MHM before changes affecting public-facing content or expected availability. MHM’s approval will be obtained for changes to published data, methodology, or wording. Routine technical upkeep that does not change public-facing content may proceed within the agreed scope.</w:t>
      </w:r>
    </w:p>
    <w:p>
      <w:r>
        <w:rPr>
          <w:b w:val="false"/>
          <w:bCs w:val="false"/>
        </w:rPr>
        <w:t xml:space="preserve">After completion, HR&amp;A will reply in the original thread with what changed, what was checked, and any remaining actions. MHM can report a continuing issue in that same thread. HR&amp;A will record the outcome and provide updates if the expected schedule changes. Quarterly summaries will identify completed work, open requests, upcoming maintenance, and decisions needed from MHM.</w:t>
      </w:r>
    </w:p>
    <w:p>
      <w:pPr>
        <w:pStyle w:val="Heading1"/>
      </w:pPr>
      <w:r>
        <w:t xml:space="preserve">5. Next Steps</w:t>
      </w:r>
    </w:p>
    <w:p>
      <w:r>
        <w:rPr>
          <w:b/>
          <w:bCs/>
        </w:rPr>
        <w:t xml:space="preserve">1. Confirm the remaining decisions.</w:t>
      </w:r>
      <w:r>
        <w:rPr>
          <w:b w:val="false"/>
          <w:bCs w:val="false"/>
        </w:rPr>
        <w:t xml:space="preserve"> Agree on account ownership and access, responsibility for the underlying broadband analysis, and the ecosystem intake and database approach. These decisions do not require MHM staff to assume technical administration by default.</w:t>
      </w:r>
    </w:p>
    <w:p>
      <w:r>
        <w:rPr>
          <w:b/>
          <w:bCs/>
        </w:rPr>
        <w:t xml:space="preserve">2. Complete the handoff package.</w:t>
      </w:r>
      <w:r>
        <w:rPr>
          <w:b w:val="false"/>
          <w:bCs w:val="false"/>
        </w:rPr>
        <w:t xml:space="preserve"> Gather the materials listed in Section 2.4, confirm where they will be stored, and check that the required access works. Transfer administrative access securely and document renewal and recovery arrangements.</w:t>
      </w:r>
    </w:p>
    <w:p>
      <w:r>
        <w:rPr>
          <w:b/>
          <w:bCs/>
        </w:rPr>
        <w:t xml:space="preserve">3. Conduct the walkthrough.</w:t>
      </w:r>
      <w:r>
        <w:rPr>
          <w:b w:val="false"/>
          <w:bCs w:val="false"/>
        </w:rPr>
        <w:t xml:space="preserve"> Demonstrate both tools, explain interpretation limits, and review support and recovery procedures. Retain the guide or recording in the shared handoff location.</w:t>
      </w:r>
    </w:p>
    <w:p>
      <w:r>
        <w:rPr>
          <w:b/>
          <w:bCs/>
        </w:rPr>
        <w:t xml:space="preserve">4. Confirm the maintenance arrangements.</w:t>
      </w:r>
      <w:r>
        <w:rPr>
          <w:b w:val="false"/>
          <w:bCs w:val="false"/>
        </w:rPr>
        <w:t xml:space="preserve"> Agree on the schedule, support contacts and business hours, availability checks, and the length of the initial transition support period. Document any changes resulting from MHM’s data management decision.</w:t>
      </w:r>
    </w:p>
    <w:p>
      <w:r>
        <w:rPr>
          <w:b/>
          <w:bCs/>
        </w:rPr>
        <w:t xml:space="preserve">5. Record completion and outstanding actions.</w:t>
      </w:r>
      <w:r>
        <w:rPr>
          <w:b w:val="false"/>
          <w:bCs w:val="false"/>
        </w:rPr>
        <w:t xml:space="preserve"> Identify any remaining action, the party responsible, and its agreed completion date. Confirm the transition once access, documentation, and the walkthrough are complete.</w:t>
      </w:r>
    </w:p>
    <w:sectPr>
      <w:headerReference w:type="default" r:id="rId7"/>
      <w:footerReference w:type="default" r:id="rId8"/>
      <w:pgSz w:w="12240" w:h="15840" w:orient="portrait"/>
      <w:pgMar w:top="1000" w:right="1440" w:bottom="1000" w:left="1440" w:header="46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717A"/>
        <w:sz w:val="17"/>
        <w:szCs w:val="17"/>
      </w:rPr>
      <w:t xml:space="preserve">Digital Tools | </w:t>
    </w:r>
    <w:r>
      <w:rPr>
        <w:color w:val="6671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5" w:sz="4"/>
      </w:pBdr>
      <w:spacing w:after="90"/>
    </w:pPr>
    <w:r>
      <w:rPr>
        <w:color w:val="203C55"/>
        <w:sz w:val="17"/>
        <w:szCs w:val="17"/>
      </w:rPr>
      <w:t xml:space="preserve">HR&amp;A ADVISORS  |  METHODIST HEALTHCARE MINISTRIES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13B"/>
        <w:sz w:val="22"/>
        <w:szCs w:val="22"/>
      </w:rPr>
    </w:rPrDefault>
    <w:pPrDefault>
      <w:pPr>
        <w:widowControl/>
        <w:spacing w:after="11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00" w:before="0"/>
    </w:pPr>
    <w:rPr>
      <w:rFonts w:ascii="Calibri" w:cs="Calibri" w:eastAsia="Calibri" w:hAnsi="Calibri"/>
      <w:b/>
      <w:bCs/>
      <w:color w:val="203C55"/>
      <w:sz w:val="30"/>
      <w:szCs w:val="30"/>
    </w:rPr>
  </w:style>
  <w:style w:type="paragraph" w:styleId="Heading1">
    <w:name w:val="Heading 1"/>
    <w:basedOn w:val="Normal"/>
    <w:next w:val="Normal"/>
    <w:pPr>
      <w:keepNext/>
      <w:spacing w:after="120" w:before="220"/>
    </w:pPr>
    <w:rPr>
      <w:b/>
      <w:bCs/>
      <w:color w:val="203C55"/>
      <w:sz w:val="27"/>
      <w:szCs w:val="27"/>
    </w:rPr>
  </w:style>
  <w:style w:type="paragraph" w:styleId="Heading2">
    <w:name w:val="Heading 2"/>
    <w:basedOn w:val="Normal"/>
    <w:next w:val="Normal"/>
    <w:pPr>
      <w:keepNext/>
      <w:spacing w:after="90" w:before="170"/>
    </w:pPr>
    <w:rPr>
      <w:b/>
      <w:bCs/>
      <w:color w:val="203C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nzdzoqg8xixmza39pyt" Type="http://schemas.openxmlformats.org/officeDocument/2006/relationships/hyperlink" Target="https://mhm-broadband-infrastructure-mappin-three.vercel.app" TargetMode="External"/><Relationship Id="rIdpshq4qkfe6p_cd4uukfkb" Type="http://schemas.openxmlformats.org/officeDocument/2006/relationships/hyperlink" Target="https://mhm-ecosystem-mapping-three.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MHM Digital Tools Knowledge Transfer and Maintenance Plan</dc:title>
  <dc:creator>HR&amp;A Advisors, Inc.</dc:creator>
  <dc:description>Operating knowledge, proposed maintenance, support requests, and handoff steps for MHM’s two digital tools.</dc:description>
  <cp:lastModifiedBy>Un-named</cp:lastModifiedBy>
  <cp:revision>1</cp:revision>
  <dcterms:created xsi:type="dcterms:W3CDTF">2026-09-25T06:57:46.339Z</dcterms:created>
  <dcterms:modified xsi:type="dcterms:W3CDTF">2026-09-25T06:57:46.343Z</dcterms:modified>
</cp:coreProperties>
</file>

<file path=docProps/custom.xml><?xml version="1.0" encoding="utf-8"?>
<Properties xmlns="http://schemas.openxmlformats.org/officeDocument/2006/custom-properties" xmlns:vt="http://schemas.openxmlformats.org/officeDocument/2006/docPropsVTypes"/>
</file>