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MEMORANDUM</w:t>
      </w:r>
    </w:p>
    <w:p>
      <w:r>
        <w:rPr>
          <w:b/>
          <w:bCs/>
        </w:rPr>
        <w:t xml:space="preserve">To: </w:t>
      </w:r>
      <w:r>
        <w:t xml:space="preserve">Methodist Healthcare Ministries of South Texas, Inc. (MHM)</w:t>
      </w:r>
    </w:p>
    <w:p>
      <w:r>
        <w:rPr>
          <w:b/>
          <w:bCs/>
        </w:rPr>
        <w:t xml:space="preserve">From: </w:t>
      </w:r>
      <w:r>
        <w:t xml:space="preserve">HR&amp;A Advisors, Inc.</w:t>
      </w:r>
    </w:p>
    <w:p>
      <w:r>
        <w:rPr>
          <w:b/>
          <w:bCs/>
        </w:rPr>
        <w:t xml:space="preserve">Date: </w:t>
      </w:r>
      <w:r>
        <w:t xml:space="preserve">[Insert date]</w:t>
      </w:r>
    </w:p>
    <w:p>
      <w:r>
        <w:rPr>
          <w:b/>
          <w:bCs/>
        </w:rPr>
        <w:t xml:space="preserve">Re: </w:t>
      </w:r>
      <w:r>
        <w:t xml:space="preserve">Digital Tools Knowledge Transfer and Maintenance Plan</w:t>
      </w:r>
    </w:p>
    <w:p>
      <w:pPr>
        <w:pStyle w:val="Heading1"/>
      </w:pPr>
      <w:r>
        <w:t xml:space="preserve">1. Introduction</w:t>
      </w:r>
    </w:p>
    <w:p>
      <w:r>
        <w:t xml:space="preserve">HR&amp;A Advisors (the Team) developed the Broadband Infrastructure Mapping Tool and Regional Ecosystem Network Tool to support MHM’s understanding of broadband conditions, investment, and organizational capacity across its service area. This memo explains what staff need to know to use and update the tools, the proposed maintenance schedule, and how to request support.</w:t>
      </w:r>
    </w:p>
    <w:p>
      <w:r>
        <w:t xml:space="preserve">MHM staff do not need to edit code or manage map files to request changes. The key tasks are to identify the information that needs to change, provide or review its source, and approve the public-facing result. HR&amp;A handles technical preparation and publication under the agreed maintenance scope.</w:t>
      </w:r>
    </w:p>
    <w:p>
      <w:r>
        <w:t xml:space="preserve">Account ownership, responsibility for updating the underlying broadband analysis, and the future ecosystem data management approach remain to be confirmed. The relevant procedures below are subject to those decisions.</w:t>
      </w:r>
    </w:p>
    <w:p>
      <w:pPr>
        <w:pStyle w:val="Heading1"/>
      </w:pPr>
      <w:r>
        <w:t xml:space="preserve">2. Knowledge Transfer</w:t>
      </w:r>
    </w:p>
    <w:p>
      <w:pPr>
        <w:pStyle w:val="Heading2"/>
      </w:pPr>
      <w:r>
        <w:t xml:space="preserve">2.1 Broadband Infrastructure Mapping Tool</w:t>
      </w:r>
    </w:p>
    <w:p>
      <w:hyperlink w:history="1" r:id="rIdywwyysto2pyhlkw0jupwr">
        <w:r>
          <w:rPr>
            <w:rStyle w:val="Hyperlink"/>
            <w:b/>
            <w:bCs/>
          </w:rPr>
          <w:t xml:space="preserve">Open the Broadband Infrastructure Mapping Tool</w:t>
        </w:r>
      </w:hyperlink>
    </w:p>
    <w:p>
      <w:r>
        <w:rPr>
          <w:b/>
          <w:bCs/>
        </w:rPr>
        <w:t xml:space="preserve">What it does. </w:t>
      </w:r>
      <w:r>
        <w:t xml:space="preserve">The tool presents existing broadband conditions, current investment, and anticipated gaps across MHM’s service area. Staff can select a map section and indicator, find a county or region, and use the legend and information displayed for that area to interpret the results. Before using a figure in a report or presentation, check its source, reference period, and geographic coverage.</w:t>
      </w:r>
    </w:p>
    <w:p>
      <w:r>
        <w:rPr>
          <w:b/>
          <w:bCs/>
        </w:rPr>
        <w:t xml:space="preserve">Where the information comes from. </w:t>
      </w:r>
      <w:r>
        <w:t xml:space="preserve">The maps use prepared geographic data derived from sources including the Federal Communications Commission, the U.S. Census Bureau’s American Community Survey, Feeding America, and the Texas Broadband Development Office. Funding amounts also come from HR&amp;A’s separate Funding Amounts.xlsx tracker.</w:t>
      </w:r>
    </w:p>
    <w:p>
      <w:r>
        <w:rPr>
          <w:b/>
          <w:bCs/>
        </w:rPr>
        <w:t xml:space="preserve">How updates reach the tool. </w:t>
      </w:r>
      <w:r>
        <w:t xml:space="preserve">New source information must first be reviewed and prepared as map data. Any need or gap calculations must also be updated before publication. HR&amp;A then prepares the approved files for the website, checks their display, and publishes them. The website does not automatically collect new releases or recalculate the underlying analysis. Responsibility for that analytical work remains undecided.</w:t>
      </w:r>
    </w:p>
    <w:p>
      <w:r>
        <w:t xml:space="preserve">When interpreting the maps, keep these distinctions in mind:</w:t>
      </w:r>
    </w:p>
    <w:p>
      <w:pPr>
        <w:pStyle w:val="ListParagraph"/>
        <w:numPr>
          <w:ilvl w:val="0"/>
          <w:numId w:val="1"/>
        </w:numPr>
      </w:pPr>
      <w:r>
        <w:rPr>
          <w:b/>
          <w:bCs/>
        </w:rPr>
        <w:t xml:space="preserve">Availability is not subscription. </w:t>
      </w:r>
      <w:r>
        <w:t xml:space="preserve">Service may be available to a household that does not subscribe to it.</w:t>
      </w:r>
    </w:p>
    <w:p>
      <w:pPr>
        <w:pStyle w:val="ListParagraph"/>
        <w:numPr>
          <w:ilvl w:val="0"/>
          <w:numId w:val="1"/>
        </w:numPr>
      </w:pPr>
      <w:r>
        <w:rPr>
          <w:b/>
          <w:bCs/>
        </w:rPr>
        <w:t xml:space="preserve">Planned investment is not completed service. </w:t>
      </w:r>
      <w:r>
        <w:t xml:space="preserve">An award or proposed project does not establish that construction is complete or service is available.</w:t>
      </w:r>
    </w:p>
    <w:p>
      <w:pPr>
        <w:pStyle w:val="ListParagraph"/>
        <w:numPr>
          <w:ilvl w:val="0"/>
          <w:numId w:val="1"/>
        </w:numPr>
      </w:pPr>
      <w:r>
        <w:rPr>
          <w:b/>
          <w:bCs/>
        </w:rPr>
        <w:t xml:space="preserve">Missing information is not zero. </w:t>
      </w:r>
      <w:r>
        <w:t xml:space="preserve">An unavailable funding amount indicates that a matching figure is not provided, not that the project received no funding.</w:t>
      </w:r>
    </w:p>
    <w:p>
      <w:r>
        <w:rPr>
          <w:b/>
          <w:bCs/>
        </w:rPr>
        <w:t xml:space="preserve">Preparing a data update </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9E0E6" w:sz="4"/>
              <w:left w:val="single" w:color="D9E0E6" w:sz="4"/>
              <w:bottom w:val="single" w:color="D9E0E6" w:sz="4"/>
              <w:right w:val="single" w:color="D9E0E6" w:sz="4"/>
            </w:tcBorders>
            <w:shd w:fill="233B53"/>
            <w:tcMar>
              <w:top w:type="dxa" w:w="110"/>
              <w:left w:type="dxa" w:w="130"/>
              <w:bottom w:type="dxa" w:w="110"/>
              <w:right w:type="dxa" w:w="130"/>
            </w:tcMar>
          </w:tcPr>
          <w:p>
            <w:pPr>
              <w:spacing w:after="0" w:line="260"/>
            </w:pPr>
            <w:r>
              <w:rPr>
                <w:b/>
                <w:bCs/>
                <w:color w:val="FFFFFF"/>
                <w:sz w:val="21"/>
                <w:szCs w:val="21"/>
              </w:rPr>
              <w:t xml:space="preserve">What MHM should identify</w:t>
            </w:r>
          </w:p>
        </w:tc>
        <w:tc>
          <w:tcPr>
            <w:tcW w:type="dxa" w:w="6560"/>
            <w:tcBorders>
              <w:top w:val="single" w:color="D9E0E6" w:sz="4"/>
              <w:left w:val="single" w:color="D9E0E6" w:sz="4"/>
              <w:bottom w:val="single" w:color="D9E0E6" w:sz="4"/>
              <w:right w:val="single" w:color="D9E0E6" w:sz="4"/>
            </w:tcBorders>
            <w:shd w:fill="233B53"/>
            <w:tcMar>
              <w:top w:type="dxa" w:w="110"/>
              <w:left w:type="dxa" w:w="130"/>
              <w:bottom w:type="dxa" w:w="110"/>
              <w:right w:type="dxa" w:w="130"/>
            </w:tcMar>
          </w:tcPr>
          <w:p>
            <w:pPr>
              <w:spacing w:after="0" w:line="260"/>
            </w:pPr>
            <w:r>
              <w:rPr>
                <w:b/>
                <w:bCs/>
                <w:color w:val="FFFFFF"/>
                <w:sz w:val="21"/>
                <w:szCs w:val="21"/>
              </w:rPr>
              <w:t xml:space="preserve">Information needed for review</w:t>
            </w:r>
          </w:p>
        </w:tc>
      </w:tr>
      <w:tr>
        <w:trPr>
          <w:cantSplit/>
          <w:tblHeader w:val="false"/>
        </w:trPr>
        <w:tc>
          <w:tcPr>
            <w:tcW w:type="dxa" w:w="28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The affected information</w:t>
            </w:r>
          </w:p>
        </w:tc>
        <w:tc>
          <w:tcPr>
            <w:tcW w:type="dxa" w:w="65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Map section, indicator, and county, region, or project, where applicable.</w:t>
            </w:r>
          </w:p>
        </w:tc>
      </w:tr>
      <w:tr>
        <w:trPr>
          <w:cantSplit/>
          <w:tblHeader w:val="false"/>
        </w:trPr>
        <w:tc>
          <w:tcPr>
            <w:tcW w:type="dxa" w:w="280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The source and date</w:t>
            </w:r>
          </w:p>
        </w:tc>
        <w:tc>
          <w:tcPr>
            <w:tcW w:type="dxa" w:w="656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Publisher, source link or file, and the period the information describes.</w:t>
            </w:r>
          </w:p>
        </w:tc>
      </w:tr>
      <w:tr>
        <w:trPr>
          <w:cantSplit/>
          <w:tblHeader w:val="false"/>
        </w:trPr>
        <w:tc>
          <w:tcPr>
            <w:tcW w:type="dxa" w:w="28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The proposed change</w:t>
            </w:r>
          </w:p>
        </w:tc>
        <w:tc>
          <w:tcPr>
            <w:tcW w:type="dxa" w:w="65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New release, corrected figure, changed project status, or revised analysis. Include the expected value and source for a specific correction.</w:t>
            </w:r>
          </w:p>
        </w:tc>
      </w:tr>
      <w:tr>
        <w:trPr>
          <w:cantSplit/>
          <w:tblHeader w:val="false"/>
        </w:trPr>
        <w:tc>
          <w:tcPr>
            <w:tcW w:type="dxa" w:w="280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Supporting files and approval</w:t>
            </w:r>
          </w:p>
        </w:tc>
        <w:tc>
          <w:tcPr>
            <w:tcW w:type="dxa" w:w="656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Prepared map files and calculation notes, where available; the revised funding tracker for funding changes. State whether the information is approved or still under review.</w:t>
            </w:r>
          </w:p>
        </w:tc>
      </w:tr>
    </w:tbl>
    <w:p>
      <w:pPr>
        <w:spacing w:after="40"/>
      </w:pPr>
      <w:r>
        <w:t xml:space="preserve"/>
      </w:r>
    </w:p>
    <w:p>
      <w:r>
        <w:t xml:space="preserve">If MHM has found a new source release but does not have prepared map files, send the source first. HR&amp;A and MHM will identify the analytical work required and who will complete it before scheduling publication.</w:t>
      </w:r>
    </w:p>
    <w:p>
      <w:r>
        <w:rPr>
          <w:b/>
          <w:bCs/>
        </w:rPr>
        <w:t xml:space="preserve">Reviewing and publishing the update </w:t>
      </w:r>
      <w:r>
        <w:t xml:space="preserve"/>
      </w:r>
    </w:p>
    <w:p>
      <w:r>
        <w:rPr>
          <w:b/>
          <w:bCs/>
        </w:rPr>
        <w:t xml:space="preserve">1. Confirm what changed. </w:t>
      </w:r>
      <w:r>
        <w:t xml:space="preserve">The updated analysis should identify its source dates and any changes in geography, definitions, or calculations. A figure from a new release should not be treated as directly comparable with the previous one without checking those differences.</w:t>
      </w:r>
    </w:p>
    <w:p>
      <w:r>
        <w:rPr>
          <w:b/>
          <w:bCs/>
        </w:rPr>
        <w:t xml:space="preserve">2. Prepare and check the website. </w:t>
      </w:r>
      <w:r>
        <w:t xml:space="preserve">HR&amp;A prepares the approved map files and updates the related legends, labels, and descriptions. Funding figures must be checked separately against the funding tracker. Changes to regional assignments also require checking the boundary files and county-to-region reference list.</w:t>
      </w:r>
    </w:p>
    <w:p>
      <w:r>
        <w:rPr>
          <w:b/>
          <w:bCs/>
        </w:rPr>
        <w:t xml:space="preserve">3. Review the public-facing result. </w:t>
      </w:r>
      <w:r>
        <w:t xml:space="preserve">HR&amp;A provides a preview or review materials appropriate to the change. MHM checks the locations and figures that prompted the update, confirms the explanatory wording, and approves publication. HR&amp;A checks that the maps load, values match the approved files, and county and regional search still work.</w:t>
      </w:r>
    </w:p>
    <w:p>
      <w:r>
        <w:rPr>
          <w:b/>
          <w:bCs/>
        </w:rPr>
        <w:t xml:space="preserve">4. Publish and record the change. </w:t>
      </w:r>
      <w:r>
        <w:t xml:space="preserve">HR&amp;A publishes the approved update, checks the live tool, and records the source versions and publication date. The previous website and map files should be retained before replacement. They are stored separately, so restoring the website alone may not restore the previous map data.</w:t>
      </w:r>
    </w:p>
    <w:p>
      <w:r>
        <w:rPr>
          <w:b/>
          <w:bCs/>
        </w:rPr>
        <w:t xml:space="preserve">If something looks wrong. </w:t>
      </w:r>
      <w:r>
        <w:t xml:space="preserve">Include the page link, selected map section and indicator, county or region, and a screenshot in the support request. For a disputed value, include the expected figure and its source. This helps distinguish a display issue from a source-data or analytical question.</w:t>
      </w:r>
    </w:p>
    <w:p>
      <w:pPr>
        <w:pStyle w:val="Heading2"/>
      </w:pPr>
      <w:r>
        <w:t xml:space="preserve">2.2 Regional Ecosystem Network Tool</w:t>
      </w:r>
    </w:p>
    <w:p>
      <w:hyperlink w:history="1" r:id="rIdmdshildjupc8q0yshs1s8">
        <w:r>
          <w:rPr>
            <w:rStyle w:val="Hyperlink"/>
            <w:b/>
            <w:bCs/>
          </w:rPr>
          <w:t xml:space="preserve">Open the Regional Ecosystem Network Tool</w:t>
        </w:r>
      </w:hyperlink>
    </w:p>
    <w:p>
      <w:r>
        <w:rPr>
          <w:b/>
          <w:bCs/>
        </w:rPr>
        <w:t xml:space="preserve">What it does. </w:t>
      </w:r>
      <w:r>
        <w:t xml:space="preserve">The tool presents organizations working across MHM’s regions and the relationships documented between them. Staff can explore regional views, search for an organization, and review the network connections. The Data and Methodology pages explain how to interpret the information.</w:t>
      </w:r>
    </w:p>
    <w:p>
      <w:r>
        <w:rPr>
          <w:b/>
          <w:bCs/>
        </w:rPr>
        <w:t xml:space="preserve">Where the information comes from. </w:t>
      </w:r>
      <w:r>
        <w:t xml:space="preserve">The dataset combines MHM-provided records and research. Records are currently reviewed and updated by hand, then published with the website. A live Airtable connection is not currently in place.</w:t>
      </w:r>
    </w:p>
    <w:p>
      <w:r>
        <w:rPr>
          <w:b/>
          <w:bCs/>
        </w:rPr>
        <w:t xml:space="preserve">What a connection means. </w:t>
      </w:r>
      <w:r>
        <w:t xml:space="preserve">A displayed connection represents a relationship recorded in the dataset. A missing connection does not establish that no relationship exists. Two organizations appearing in the same region should not be treated as partners unless their relationship is documented.</w:t>
      </w:r>
    </w:p>
    <w:p>
      <w:r>
        <w:rPr>
          <w:b/>
          <w:bCs/>
        </w:rPr>
        <w:t xml:space="preserve">Preparing an addition or correction </w:t>
      </w:r>
      <w:r>
        <w:t xml:space="preserve"/>
      </w:r>
    </w:p>
    <w:p>
      <w:r>
        <w:t xml:space="preserve">A short email is sufficient for an individual correction. For several changes, use a spreadsheet with one organization or relationship change per row. For corrections, show both the current information and its proposed replacement. The following is a recommended submission format, not an existing online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D9E0E6" w:sz="4"/>
              <w:left w:val="single" w:color="D9E0E6" w:sz="4"/>
              <w:bottom w:val="single" w:color="D9E0E6" w:sz="4"/>
              <w:right w:val="single" w:color="D9E0E6" w:sz="4"/>
            </w:tcBorders>
            <w:shd w:fill="233B53"/>
            <w:tcMar>
              <w:top w:type="dxa" w:w="110"/>
              <w:left w:type="dxa" w:w="130"/>
              <w:bottom w:type="dxa" w:w="110"/>
              <w:right w:type="dxa" w:w="130"/>
            </w:tcMar>
          </w:tcPr>
          <w:p>
            <w:pPr>
              <w:spacing w:after="0" w:line="260"/>
            </w:pPr>
            <w:r>
              <w:rPr>
                <w:b/>
                <w:bCs/>
                <w:color w:val="FFFFFF"/>
                <w:sz w:val="21"/>
                <w:szCs w:val="21"/>
              </w:rPr>
              <w:t xml:space="preserve">Type of change</w:t>
            </w:r>
          </w:p>
        </w:tc>
        <w:tc>
          <w:tcPr>
            <w:tcW w:type="dxa" w:w="6860"/>
            <w:tcBorders>
              <w:top w:val="single" w:color="D9E0E6" w:sz="4"/>
              <w:left w:val="single" w:color="D9E0E6" w:sz="4"/>
              <w:bottom w:val="single" w:color="D9E0E6" w:sz="4"/>
              <w:right w:val="single" w:color="D9E0E6" w:sz="4"/>
            </w:tcBorders>
            <w:shd w:fill="233B53"/>
            <w:tcMar>
              <w:top w:type="dxa" w:w="110"/>
              <w:left w:type="dxa" w:w="130"/>
              <w:bottom w:type="dxa" w:w="110"/>
              <w:right w:type="dxa" w:w="130"/>
            </w:tcMar>
          </w:tcPr>
          <w:p>
            <w:pPr>
              <w:spacing w:after="0" w:line="260"/>
            </w:pPr>
            <w:r>
              <w:rPr>
                <w:b/>
                <w:bCs/>
                <w:color w:val="FFFFFF"/>
                <w:sz w:val="21"/>
                <w:szCs w:val="21"/>
              </w:rPr>
              <w:t xml:space="preserve">Information to provide</w:t>
            </w:r>
          </w:p>
        </w:tc>
      </w:tr>
      <w:tr>
        <w:trPr>
          <w:cantSplit/>
          <w:tblHeader w:val="false"/>
        </w:trPr>
        <w:tc>
          <w:tcPr>
            <w:tcW w:type="dxa" w:w="25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Organization</w:t>
            </w:r>
          </w:p>
        </w:tc>
        <w:tc>
          <w:tcPr>
            <w:tcW w:type="dxa" w:w="68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Name, website if available, relevant region or regions, description or service category being changed, and supporting source and date.</w:t>
            </w:r>
          </w:p>
        </w:tc>
      </w:tr>
      <w:tr>
        <w:trPr>
          <w:cantSplit/>
          <w:tblHeader w:val="false"/>
        </w:trPr>
        <w:tc>
          <w:tcPr>
            <w:tcW w:type="dxa" w:w="250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Relationship</w:t>
            </w:r>
          </w:p>
        </w:tc>
        <w:tc>
          <w:tcPr>
            <w:tcW w:type="dxa" w:w="686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Names of both organizations, description of the connection, relevant geographic context, and supporting source and date.</w:t>
            </w:r>
          </w:p>
        </w:tc>
      </w:tr>
      <w:tr>
        <w:trPr>
          <w:cantSplit/>
          <w:tblHeader w:val="false"/>
        </w:trPr>
        <w:tc>
          <w:tcPr>
            <w:tcW w:type="dxa" w:w="25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Removal</w:t>
            </w:r>
          </w:p>
        </w:tc>
        <w:tc>
          <w:tcPr>
            <w:tcW w:type="dxa" w:w="68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The affected organization or relationship, the reason, and whether the request concerns the full record or only one connection or regional listing.</w:t>
            </w:r>
          </w:p>
        </w:tc>
      </w:tr>
      <w:tr>
        <w:trPr>
          <w:cantSplit/>
          <w:tblHeader w:val="false"/>
        </w:trPr>
        <w:tc>
          <w:tcPr>
            <w:tcW w:type="dxa" w:w="250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Every request</w:t>
            </w:r>
          </w:p>
        </w:tc>
        <w:tc>
          <w:tcPr>
            <w:tcW w:type="dxa" w:w="686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Whether the information is approved for public use or still needs review.</w:t>
            </w:r>
          </w:p>
        </w:tc>
      </w:tr>
    </w:tbl>
    <w:p>
      <w:pPr>
        <w:spacing w:after="40"/>
      </w:pPr>
      <w:r>
        <w:t xml:space="preserve"/>
      </w:r>
    </w:p>
    <w:p>
      <w:r>
        <w:rPr>
          <w:b/>
          <w:bCs/>
        </w:rPr>
        <w:t xml:space="preserve">Reviewing and publishing the update </w:t>
      </w:r>
      <w:r>
        <w:t xml:space="preserve"/>
      </w:r>
    </w:p>
    <w:p>
      <w:r>
        <w:rPr>
          <w:b/>
          <w:bCs/>
        </w:rPr>
        <w:t xml:space="preserve">1. Check the proposed records. </w:t>
      </w:r>
      <w:r>
        <w:t xml:space="preserve">MHM should search for the organization’s full name and common abbreviation to avoid duplicates. Confirm each organization’s regions separately; a partnership does not necessarily mean both organizations serve the same area. Check that the source supports the relationship being described.</w:t>
      </w:r>
    </w:p>
    <w:p>
      <w:r>
        <w:rPr>
          <w:b/>
          <w:bCs/>
        </w:rPr>
        <w:t xml:space="preserve">2. Separate approved changes from open questions. </w:t>
      </w:r>
      <w:r>
        <w:t xml:space="preserve">Resolve conflicting or unclear information with the source or contributing organization where possible. Clearly distinguish records approved for publication from those submitted for discussion. Exclude internal notes and sensitive information from public descriptions.</w:t>
      </w:r>
    </w:p>
    <w:p>
      <w:r>
        <w:rPr>
          <w:b/>
          <w:bCs/>
        </w:rPr>
        <w:t xml:space="preserve">3. Send the approved changes. </w:t>
      </w:r>
      <w:r>
        <w:t xml:space="preserve">Submit the reviewed records and supporting information through the support process in Section 4. Retain a dated copy of an approved spreadsheet, using a filename such as YYYY-MM-DD_Ecosystem_Approved-Updates.xlsx to distinguish it from working drafts.</w:t>
      </w:r>
    </w:p>
    <w:p>
      <w:r>
        <w:rPr>
          <w:b/>
          <w:bCs/>
        </w:rPr>
        <w:t xml:space="preserve">4. Check the result and publish. </w:t>
      </w:r>
      <w:r>
        <w:t xml:space="preserve">HR&amp;A updates the website’s data files and checks search results, regional views, and network connections. Renaming or removing an organization also requires checking its related connections. Where a preview is needed, MHM confirms the description, regions, and intended relationships before release. Changes to categories or interpretation should also be reflected in the Data and Methodology text. HR&amp;A then publishes the update and retains the approved submission, publication date, and previous dataset.</w:t>
      </w:r>
    </w:p>
    <w:p>
      <w:r>
        <w:rPr>
          <w:b/>
          <w:bCs/>
        </w:rPr>
        <w:t xml:space="preserve">Pending Airtable decision. </w:t>
      </w:r>
      <w:r>
        <w:t xml:space="preserve">MHM is considering an Airtable form for submissions or a broader database approach for managing information and supporting updates to the tool. A form stores responses in an underlying database, but receiving a submission is not the same as approving or publishing it.</w:t>
      </w:r>
    </w:p>
    <w:p>
      <w:r>
        <w:t xml:space="preserve">Once MHM selects its approach, HR&amp;A and MHM will confirm where incoming and approved records are kept, how review and approval work, how existing records will be transferred, and whether publication is manual or automated. Setup and ongoing support will be addressed in the confirmed maintenance scope. These procedures are subject to change following MHM’s decision; until then, the email and review process above is the proposed update path.</w:t>
      </w:r>
    </w:p>
    <w:p>
      <w:pPr>
        <w:pStyle w:val="Heading2"/>
      </w:pPr>
      <w:r>
        <w:t xml:space="preserve">2.3 Access and materials for continued use</w:t>
      </w:r>
    </w:p>
    <w:p>
      <w:r>
        <w:t xml:space="preserve">The handoff should include access to the supporting materials, not only the public websites. Both applications use GitHub for code and Vercel for website hosting. The broadband tool also uses Mapbox to display maps and Amazon S3 to store its published map files. Repository access alone does not provide the separate map files or original analytical materials.</w:t>
      </w:r>
    </w:p>
    <w:p>
      <w:r>
        <w:t xml:space="preserve">MHM and HR&amp;A should retain the following in an agreed shared location, with separate folders for each tool:</w:t>
      </w:r>
    </w:p>
    <w:p>
      <w:pPr>
        <w:pStyle w:val="ListParagraph"/>
        <w:numPr>
          <w:ilvl w:val="0"/>
          <w:numId w:val="1"/>
        </w:numPr>
      </w:pPr>
      <w:r>
        <w:rPr>
          <w:b/>
          <w:bCs/>
        </w:rPr>
        <w:t xml:space="preserve">Broadband materials: </w:t>
      </w:r>
      <w:r>
        <w:t xml:space="preserve">Current map files, source references and dates, funding tracker, county-to-region reference list, and available notes explaining the calculations.</w:t>
      </w:r>
    </w:p>
    <w:p>
      <w:pPr>
        <w:pStyle w:val="ListParagraph"/>
        <w:numPr>
          <w:ilvl w:val="0"/>
          <w:numId w:val="1"/>
        </w:numPr>
      </w:pPr>
      <w:r>
        <w:rPr>
          <w:b/>
          <w:bCs/>
        </w:rPr>
        <w:t xml:space="preserve">Ecosystem materials: </w:t>
      </w:r>
      <w:r>
        <w:t xml:space="preserve">Current organization and relationship records, supporting references, approved updates, and unresolved questions.</w:t>
      </w:r>
    </w:p>
    <w:p>
      <w:pPr>
        <w:pStyle w:val="ListParagraph"/>
        <w:numPr>
          <w:ilvl w:val="0"/>
          <w:numId w:val="1"/>
        </w:numPr>
      </w:pPr>
      <w:r>
        <w:rPr>
          <w:b/>
          <w:bCs/>
        </w:rPr>
        <w:t xml:space="preserve">Operating and access information: </w:t>
      </w:r>
      <w:r>
        <w:t xml:space="preserve">Links to the repositories and relevant accounts, publication and recovery instructions, known limitations, and a dated record of the versions in use.</w:t>
      </w:r>
    </w:p>
    <w:p>
      <w:r>
        <w:t xml:space="preserve">Account ownership and administrative access remain to be confirmed. Account recovery and renewal arrangements should be documented, with credentials transferred securely rather than included in this memo or support emails.</w:t>
      </w:r>
    </w:p>
    <w:p>
      <w:pPr>
        <w:pStyle w:val="Heading1"/>
      </w:pPr>
      <w:r>
        <w:t xml:space="preserve">3. Maintenance Schedule and Scope</w:t>
      </w:r>
    </w:p>
    <w:p>
      <w:r>
        <w:t xml:space="preserve">The following schedule is proposed for agreement with MHM. It separates routine checks from data updates, which depend on source releases and approved content. It does not assume that monitoring or backup arrangements are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E0E6" w:sz="4"/>
              <w:left w:val="single" w:color="D9E0E6" w:sz="4"/>
              <w:bottom w:val="single" w:color="D9E0E6" w:sz="4"/>
              <w:right w:val="single" w:color="D9E0E6" w:sz="4"/>
            </w:tcBorders>
            <w:shd w:fill="233B53"/>
            <w:tcMar>
              <w:top w:type="dxa" w:w="110"/>
              <w:left w:type="dxa" w:w="130"/>
              <w:bottom w:type="dxa" w:w="110"/>
              <w:right w:type="dxa" w:w="130"/>
            </w:tcMar>
          </w:tcPr>
          <w:p>
            <w:pPr>
              <w:spacing w:after="0" w:line="260"/>
            </w:pPr>
            <w:r>
              <w:rPr>
                <w:b/>
                <w:bCs/>
                <w:color w:val="FFFFFF"/>
                <w:sz w:val="21"/>
                <w:szCs w:val="21"/>
              </w:rPr>
              <w:t xml:space="preserve">Timing</w:t>
            </w:r>
          </w:p>
        </w:tc>
        <w:tc>
          <w:tcPr>
            <w:tcW w:type="dxa" w:w="7160"/>
            <w:tcBorders>
              <w:top w:val="single" w:color="D9E0E6" w:sz="4"/>
              <w:left w:val="single" w:color="D9E0E6" w:sz="4"/>
              <w:bottom w:val="single" w:color="D9E0E6" w:sz="4"/>
              <w:right w:val="single" w:color="D9E0E6" w:sz="4"/>
            </w:tcBorders>
            <w:shd w:fill="233B53"/>
            <w:tcMar>
              <w:top w:type="dxa" w:w="110"/>
              <w:left w:type="dxa" w:w="130"/>
              <w:bottom w:type="dxa" w:w="110"/>
              <w:right w:type="dxa" w:w="130"/>
            </w:tcMar>
          </w:tcPr>
          <w:p>
            <w:pPr>
              <w:spacing w:after="0" w:line="260"/>
            </w:pPr>
            <w:r>
              <w:rPr>
                <w:b/>
                <w:bCs/>
                <w:color w:val="FFFFFF"/>
                <w:sz w:val="21"/>
                <w:szCs w:val="21"/>
              </w:rPr>
              <w:t xml:space="preserve">Work and expected outcome</w:t>
            </w:r>
          </w:p>
        </w:tc>
      </w:tr>
      <w:tr>
        <w:trPr>
          <w:cantSplit/>
          <w:tblHeader w:val="false"/>
        </w:trPr>
        <w:tc>
          <w:tcPr>
            <w:tcW w:type="dxa" w:w="22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Monthly</w:t>
            </w:r>
          </w:p>
        </w:tc>
        <w:tc>
          <w:tcPr>
            <w:tcW w:type="dxa" w:w="71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Check that both sites and key functions are working, including maps, regional views, search, and important links. Review relevant software and security updates, apply needed changes, and check affected functions. Identify any access, renewal, or recovery concerns.</w:t>
            </w:r>
          </w:p>
        </w:tc>
      </w:tr>
      <w:tr>
        <w:trPr>
          <w:cantSplit/>
          <w:tblHeader w:val="false"/>
        </w:trPr>
        <w:tc>
          <w:tcPr>
            <w:tcW w:type="dxa" w:w="220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When an issue or security concern arises</w:t>
            </w:r>
          </w:p>
        </w:tc>
        <w:tc>
          <w:tcPr>
            <w:tcW w:type="dxa" w:w="716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Investigate reported defects and service interruptions, identify a fix or temporary workaround, and check the affected functions after the change. Material security concerns should be assessed when identified rather than deferred to the monthly review.</w:t>
            </w:r>
          </w:p>
        </w:tc>
      </w:tr>
      <w:tr>
        <w:trPr>
          <w:cantSplit/>
          <w:tblHeader w:val="false"/>
        </w:trPr>
        <w:tc>
          <w:tcPr>
            <w:tcW w:type="dxa" w:w="22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When approved data is ready</w:t>
            </w:r>
          </w:p>
        </w:tc>
        <w:tc>
          <w:tcPr>
            <w:tcW w:type="dxa" w:w="71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Publish ecosystem corrections and broadband updates through the review steps in Section 2. Related changes may be released together on a date agreed with MHM. Preserve the prior files and record what was published.</w:t>
            </w:r>
          </w:p>
        </w:tc>
      </w:tr>
      <w:tr>
        <w:trPr>
          <w:cantSplit/>
          <w:tblHeader w:val="false"/>
        </w:trPr>
        <w:tc>
          <w:tcPr>
            <w:tcW w:type="dxa" w:w="220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Quarterly</w:t>
            </w:r>
          </w:p>
        </w:tc>
        <w:tc>
          <w:tcPr>
            <w:tcW w:type="dxa" w:w="7160"/>
            <w:tcBorders>
              <w:top w:val="single" w:color="D9E0E6" w:sz="4"/>
              <w:left w:val="single" w:color="D9E0E6" w:sz="4"/>
              <w:bottom w:val="single" w:color="D9E0E6" w:sz="4"/>
              <w:right w:val="single" w:color="D9E0E6" w:sz="4"/>
            </w:tcBorders>
            <w:shd w:fill="FFFFFF"/>
            <w:tcMar>
              <w:top w:type="dxa" w:w="110"/>
              <w:left w:type="dxa" w:w="130"/>
              <w:bottom w:type="dxa" w:w="110"/>
              <w:right w:type="dxa" w:w="130"/>
            </w:tcMar>
          </w:tcPr>
          <w:p>
            <w:pPr>
              <w:spacing w:after="0" w:line="260"/>
            </w:pPr>
            <w:r>
              <w:rPr>
                <w:b w:val="false"/>
                <w:bCs w:val="false"/>
                <w:color w:val="28323C"/>
                <w:sz w:val="21"/>
                <w:szCs w:val="21"/>
              </w:rPr>
              <w:t xml:space="preserve">Provide a short summary of completed work, open requests, upcoming updates, and decisions needed. Use a check-in to confirm timing, anticipated presentations, and data needs.</w:t>
            </w:r>
          </w:p>
        </w:tc>
      </w:tr>
      <w:tr>
        <w:trPr>
          <w:cantSplit/>
          <w:tblHeader w:val="false"/>
        </w:trPr>
        <w:tc>
          <w:tcPr>
            <w:tcW w:type="dxa" w:w="220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Annually</w:t>
            </w:r>
          </w:p>
        </w:tc>
        <w:tc>
          <w:tcPr>
            <w:tcW w:type="dxa" w:w="7160"/>
            <w:tcBorders>
              <w:top w:val="single" w:color="D9E0E6" w:sz="4"/>
              <w:left w:val="single" w:color="D9E0E6" w:sz="4"/>
              <w:bottom w:val="single" w:color="D9E0E6" w:sz="4"/>
              <w:right w:val="single" w:color="D9E0E6" w:sz="4"/>
            </w:tcBorders>
            <w:shd w:fill="F1F4F6"/>
            <w:tcMar>
              <w:top w:type="dxa" w:w="110"/>
              <w:left w:type="dxa" w:w="130"/>
              <w:bottom w:type="dxa" w:w="110"/>
              <w:right w:type="dxa" w:w="130"/>
            </w:tcMar>
          </w:tcPr>
          <w:p>
            <w:pPr>
              <w:spacing w:after="0" w:line="260"/>
            </w:pPr>
            <w:r>
              <w:rPr>
                <w:b w:val="false"/>
                <w:bCs w:val="false"/>
                <w:color w:val="28323C"/>
                <w:sz w:val="21"/>
                <w:szCs w:val="21"/>
              </w:rPr>
              <w:t xml:space="preserve">Review available broadband source releases, data age, analytical needs, and the tools’ condition. Agree which datasets need refreshing and who will prepare them. Review access, recovery arrangements, and any changes needed to this plan.</w:t>
            </w:r>
          </w:p>
        </w:tc>
      </w:tr>
    </w:tbl>
    <w:p>
      <w:pPr>
        <w:spacing w:after="40"/>
      </w:pPr>
      <w:r>
        <w:t xml:space="preserve"/>
      </w:r>
    </w:p>
    <w:p>
      <w:r>
        <w:rPr>
          <w:b/>
          <w:bCs/>
        </w:rPr>
        <w:t xml:space="preserve">Included maintenance work. </w:t>
      </w:r>
      <w:r>
        <w:t xml:space="preserve">Maintenance covers hosting and service configuration, relevant software and security updates, corrections to existing features, approved data publication, and agreed minor wording or presentation changes. It also includes establishing the agreed availability checks and instructions for retaining and restoring working versions.</w:t>
      </w:r>
    </w:p>
    <w:p>
      <w:r>
        <w:rPr>
          <w:b/>
          <w:bCs/>
        </w:rPr>
        <w:t xml:space="preserve">Broadband refresh limits. </w:t>
      </w:r>
      <w:r>
        <w:t xml:space="preserve">An annual review does not mean every source will have a new release or that all calculations will be rebuilt automatically. The refresh must identify the datasets to change, the required analytical work, and who is responsible for preparing and approving it.</w:t>
      </w:r>
    </w:p>
    <w:p>
      <w:r>
        <w:rPr>
          <w:b/>
          <w:bCs/>
        </w:rPr>
        <w:t xml:space="preserve">Future ecosystem data management. </w:t>
      </w:r>
      <w:r>
        <w:t xml:space="preserve">The selected Airtable approach will determine the specific setup, review, publication, and support tasks. Those tasks will be documented once the decision is made.</w:t>
      </w:r>
    </w:p>
    <w:p>
      <w:r>
        <w:rPr>
          <w:b/>
          <w:bCs/>
        </w:rPr>
        <w:t xml:space="preserve">Changes requiring separate agreement. </w:t>
      </w:r>
      <w:r>
        <w:t xml:space="preserve">New tools, major features, redesigns, additional data sources, and substantial analytical changes require a separate review. HR&amp;A will explain the proposed work, dependencies, and schedule and obtain MHM’s written approval before proceeding.</w:t>
      </w:r>
    </w:p>
    <w:p>
      <w:pPr>
        <w:pStyle w:val="Heading1"/>
      </w:pPr>
      <w:r>
        <w:t xml:space="preserve">4. Requesting Specific Maintenance</w:t>
      </w:r>
    </w:p>
    <w:p>
      <w:pPr>
        <w:pStyle w:val="Heading2"/>
      </w:pPr>
      <w:r>
        <w:t xml:space="preserve">4.1 Submit the request</w:t>
      </w:r>
    </w:p>
    <w:p>
      <w:r>
        <w:t xml:space="preserve">MHM and HR&amp;A will confirm a support email address and primary contacts during handoff. Send requests to that address and copy MHM’s project contact. Use the subject line [Tool name] | [Brief description]. Add URGENT if the tool is unavailable or a main feature cannot be used.</w:t>
      </w:r>
    </w:p>
    <w:p>
      <w:r>
        <w:t xml:space="preserve">Include the following so HR&amp;A can act on the request:</w:t>
      </w:r>
    </w:p>
    <w:p>
      <w:pPr>
        <w:pStyle w:val="ListParagraph"/>
        <w:numPr>
          <w:ilvl w:val="0"/>
          <w:numId w:val="1"/>
        </w:numPr>
      </w:pPr>
      <w:r>
        <w:rPr>
          <w:b/>
          <w:bCs/>
        </w:rPr>
        <w:t xml:space="preserve">Location: </w:t>
      </w:r>
      <w:r>
        <w:t xml:space="preserve">Tool name and page link. For maps, include the selected indicator and county or region. For ecosystem records, identify the organization or relationship.</w:t>
      </w:r>
    </w:p>
    <w:p>
      <w:pPr>
        <w:pStyle w:val="ListParagraph"/>
        <w:numPr>
          <w:ilvl w:val="0"/>
          <w:numId w:val="1"/>
        </w:numPr>
      </w:pPr>
      <w:r>
        <w:rPr>
          <w:b/>
          <w:bCs/>
        </w:rPr>
        <w:t xml:space="preserve">Requested outcome: </w:t>
      </w:r>
      <w:r>
        <w:t xml:space="preserve">Describe the problem or change. Include a screenshot and the steps that led to the issue where helpful.</w:t>
      </w:r>
    </w:p>
    <w:p>
      <w:pPr>
        <w:pStyle w:val="ListParagraph"/>
        <w:numPr>
          <w:ilvl w:val="0"/>
          <w:numId w:val="1"/>
        </w:numPr>
      </w:pPr>
      <w:r>
        <w:rPr>
          <w:b/>
          <w:bCs/>
        </w:rPr>
        <w:t xml:space="preserve">Supporting information: </w:t>
      </w:r>
      <w:r>
        <w:t xml:space="preserve">For data updates, provide the source and approval status described in Section 2. Identify the expected value or replacement text for a correction.</w:t>
      </w:r>
    </w:p>
    <w:p>
      <w:pPr>
        <w:pStyle w:val="ListParagraph"/>
        <w:numPr>
          <w:ilvl w:val="0"/>
          <w:numId w:val="1"/>
        </w:numPr>
      </w:pPr>
      <w:r>
        <w:rPr>
          <w:b/>
          <w:bCs/>
        </w:rPr>
        <w:t xml:space="preserve">Timing: </w:t>
      </w:r>
      <w:r>
        <w:t xml:space="preserve">Flag upcoming presentations, program deadlines, or other considerations. Do not include passwords, access tokens, or sensitive personal information.</w:t>
      </w:r>
    </w:p>
    <w:p>
      <w:pPr>
        <w:pStyle w:val="Heading2"/>
      </w:pPr>
      <w:r>
        <w:t xml:space="preserve">4.2 What happens next</w:t>
      </w:r>
    </w:p>
    <w:p>
      <w:r>
        <w:t xml:space="preserve">Under the proposed process, HR&amp;A will acknowledge requests within two business days, or within one business day for a service interruption. The response will confirm the request, identify missing information, and provide a next step and expected timing. If investigation is needed before a completion date can be given, HR&amp;A will state when MHM can expect another update.</w:t>
      </w:r>
    </w:p>
    <w:p>
      <w:pPr>
        <w:pStyle w:val="ListParagraph"/>
        <w:numPr>
          <w:ilvl w:val="0"/>
          <w:numId w:val="1"/>
        </w:numPr>
      </w:pPr>
      <w:r>
        <w:rPr>
          <w:b/>
          <w:bCs/>
        </w:rPr>
        <w:t xml:space="preserve">Service interruptions: </w:t>
      </w:r>
      <w:r>
        <w:t xml:space="preserve">HR&amp;A will focus on restoring access or finding a temporary workaround and explain any dependency on a hosting or other service provider.</w:t>
      </w:r>
    </w:p>
    <w:p>
      <w:pPr>
        <w:pStyle w:val="ListParagraph"/>
        <w:numPr>
          <w:ilvl w:val="0"/>
          <w:numId w:val="1"/>
        </w:numPr>
      </w:pPr>
      <w:r>
        <w:rPr>
          <w:b/>
          <w:bCs/>
        </w:rPr>
        <w:t xml:space="preserve">Data and content updates: </w:t>
      </w:r>
      <w:r>
        <w:t xml:space="preserve">HR&amp;A will confirm the source, approval status, review materials, and publication date with MHM.</w:t>
      </w:r>
    </w:p>
    <w:p>
      <w:pPr>
        <w:pStyle w:val="ListParagraph"/>
        <w:numPr>
          <w:ilvl w:val="0"/>
          <w:numId w:val="1"/>
        </w:numPr>
      </w:pPr>
      <w:r>
        <w:rPr>
          <w:b/>
          <w:bCs/>
        </w:rPr>
        <w:t xml:space="preserve">Technical corrections: </w:t>
      </w:r>
      <w:r>
        <w:t xml:space="preserve">HR&amp;A will investigate, explain the proposed fix, and check the affected functions before release.</w:t>
      </w:r>
    </w:p>
    <w:p>
      <w:r>
        <w:t xml:space="preserve">If requests overlap, HR&amp;A will discuss timing and sequencing with MHM. If the work extends beyond the agreed scope, HR&amp;A will seek approval before proceeding. MHM will be notified if planned work could interrupt access or the expected schedule changes.</w:t>
      </w:r>
    </w:p>
    <w:p>
      <w:r>
        <w:t xml:space="preserve">Response targets apply during agreed business hours, excluding holidays. They refer to acknowledgment and initial assessment, not guaranteed completion times or continuous after-hours coverage.</w:t>
      </w:r>
    </w:p>
    <w:p>
      <w:pPr>
        <w:pStyle w:val="Heading2"/>
      </w:pPr>
      <w:r>
        <w:t xml:space="preserve">4.3 Completion and follow-up</w:t>
      </w:r>
    </w:p>
    <w:p>
      <w:r>
        <w:t xml:space="preserve">HR&amp;A will reply in the original email thread with what changed, what was checked, and any remaining actions. MHM can report continuing issues in the same thread. HR&amp;A will record the outcome in a request log and include completed and open work in the quarterly summary.</w:t>
      </w:r>
    </w:p>
    <w:p>
      <w:pPr>
        <w:pStyle w:val="Heading1"/>
      </w:pPr>
      <w:r>
        <w:t xml:space="preserve">5. Next Steps</w:t>
      </w:r>
    </w:p>
    <w:p>
      <w:r>
        <w:rPr>
          <w:b/>
          <w:bCs/>
        </w:rPr>
        <w:t xml:space="preserve">1. Confirm the open decisions. </w:t>
      </w:r>
      <w:r>
        <w:t xml:space="preserve">Agree on account ownership and access; responsibility for obtaining and analyzing updated broadband data; and the ecosystem intake and data management approach. Confirm the support address, business hours, transition support period, and proposed maintenance schedule.</w:t>
      </w:r>
    </w:p>
    <w:p>
      <w:r>
        <w:rPr>
          <w:b/>
          <w:bCs/>
        </w:rPr>
        <w:t xml:space="preserve">2. Assemble and check the handoff materials. </w:t>
      </w:r>
      <w:r>
        <w:t xml:space="preserve">Place the files and instructions listed in Section 2.3 in the agreed shared location. Confirm that designated MHM staff can access the materials and that account recovery, renewals, availability checks, and restoration arrangements are documented.</w:t>
      </w:r>
    </w:p>
    <w:p>
      <w:r>
        <w:rPr>
          <w:b/>
          <w:bCs/>
        </w:rPr>
        <w:t xml:space="preserve">3. Walk through one update for each tool. </w:t>
      </w:r>
      <w:r>
        <w:t xml:space="preserve">For broadband, review a source change, explain the analytical preparation, and show how the map update is checked. For the ecosystem tool, prepare an organization or relationship correction, check its evidence, and review the published result. Also explain how to report a problem and restore a previous working version. Retain a written guide or recording.</w:t>
      </w:r>
    </w:p>
    <w:p>
      <w:r>
        <w:rPr>
          <w:b/>
          <w:bCs/>
        </w:rPr>
        <w:t xml:space="preserve">4. Record remaining actions and confirm the plan. </w:t>
      </w:r>
      <w:r>
        <w:t xml:space="preserve">Assign a next action and completion date to each unresolved item. Confirm the handoff after access has been checked, the walkthrough is complete, and outstanding items are documented. Update this memo when the Airtable approach and analytical responsibilities are settled.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B75"/>
        <w:sz w:val="18"/>
        <w:szCs w:val="18"/>
      </w:rPr>
      <w:t xml:space="preserve">MHM | Knowledge Transfer and Maintenance Plan  •  </w:t>
    </w:r>
    <w:r>
      <w:rPr>
        <w:color w:val="606B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323C"/>
        <w:sz w:val="22"/>
        <w:szCs w:val="22"/>
      </w:rPr>
    </w:rPrDefault>
    <w:pPrDefault>
      <w:pPr>
        <w:spacing w:after="125"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30" w:before="0"/>
    </w:pPr>
    <w:rPr>
      <w:rFonts w:ascii="Calibri" w:cs="Calibri" w:eastAsia="Calibri" w:hAnsi="Calibri"/>
      <w:b/>
      <w:bCs/>
      <w:color w:val="233B53"/>
      <w:sz w:val="32"/>
      <w:szCs w:val="32"/>
    </w:rPr>
  </w:style>
  <w:style w:type="paragraph" w:styleId="Heading1">
    <w:name w:val="Heading 1"/>
    <w:basedOn w:val="Normal"/>
    <w:next w:val="Normal"/>
    <w:pPr>
      <w:keepNext/>
      <w:spacing w:after="140" w:before="280"/>
      <w:outlineLvl w:val="0"/>
    </w:pPr>
    <w:rPr>
      <w:b/>
      <w:bCs/>
      <w:color w:val="233B53"/>
      <w:sz w:val="28"/>
      <w:szCs w:val="28"/>
    </w:rPr>
  </w:style>
  <w:style w:type="paragraph" w:styleId="Heading2">
    <w:name w:val="Heading 2"/>
    <w:basedOn w:val="Normal"/>
    <w:next w:val="Normal"/>
    <w:pPr>
      <w:keepNext/>
      <w:spacing w:after="100" w:before="200"/>
      <w:outlineLvl w:val="1"/>
    </w:pPr>
    <w:rPr>
      <w:b/>
      <w:bCs/>
      <w:color w:val="233B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wwyysto2pyhlkw0jupwr" Type="http://schemas.openxmlformats.org/officeDocument/2006/relationships/hyperlink" Target="https://mhm-broadband-infrastructure-mappin-three.vercel.app" TargetMode="External"/><Relationship Id="rIdmdshildjupc8q0yshs1s8" Type="http://schemas.openxmlformats.org/officeDocument/2006/relationships/hyperlink" Target="https://mhm-ecosystem-mapping-three.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Tools Knowledge Transfer and Maintenance Plan</dc:title>
  <dc:subject>MHM digital tools handoff and maintenance</dc:subject>
  <dc:creator>HR&amp;A Advisors, Inc.</dc:creator>
  <cp:lastModifiedBy>Un-named</cp:lastModifiedBy>
  <cp:revision>1</cp:revision>
  <dcterms:created xsi:type="dcterms:W3CDTF">2026-09-25T06:41:17.904Z</dcterms:created>
  <dcterms:modified xsi:type="dcterms:W3CDTF">2026-09-25T06:41:17.908Z</dcterms:modified>
</cp:coreProperties>
</file>

<file path=docProps/custom.xml><?xml version="1.0" encoding="utf-8"?>
<Properties xmlns="http://schemas.openxmlformats.org/officeDocument/2006/custom-properties" xmlns:vt="http://schemas.openxmlformats.org/officeDocument/2006/docPropsVTypes"/>
</file>