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rPr>
          <w:b w:val="false"/>
          <w:bCs w:val="false"/>
        </w:rPr>
        <w:t xml:space="preserve">Memorandum</w:t>
      </w:r>
    </w:p>
    <w:p>
      <w:pPr>
        <w:spacing w:after="60"/>
      </w:pPr>
      <w:r>
        <w:rPr>
          <w:b/>
          <w:bCs/>
        </w:rPr>
        <w:t xml:space="preserve">To:</w:t>
      </w:r>
      <w:r>
        <w:rPr>
          <w:b w:val="false"/>
          <w:bCs w:val="false"/>
        </w:rPr>
        <w:t xml:space="preserve"> Methodist Healthcare Ministries of South Texas, Inc. (MHM)</w:t>
      </w:r>
    </w:p>
    <w:p>
      <w:pPr>
        <w:spacing w:after="60"/>
      </w:pPr>
      <w:r>
        <w:rPr>
          <w:b/>
          <w:bCs/>
        </w:rPr>
        <w:t xml:space="preserve">From:</w:t>
      </w:r>
      <w:r>
        <w:rPr>
          <w:b w:val="false"/>
          <w:bCs w:val="false"/>
        </w:rPr>
        <w:t xml:space="preserve"> HR&amp;A Advisors, Inc.</w:t>
      </w:r>
    </w:p>
    <w:p>
      <w:pPr>
        <w:spacing w:after="60"/>
      </w:pPr>
      <w:r>
        <w:rPr>
          <w:b/>
          <w:bCs/>
        </w:rPr>
        <w:t xml:space="preserve">Date:</w:t>
      </w:r>
      <w:r>
        <w:rPr>
          <w:b w:val="false"/>
          <w:bCs w:val="false"/>
        </w:rPr>
        <w:t xml:space="preserve"> [Insert date]</w:t>
      </w:r>
    </w:p>
    <w:p>
      <w:pPr>
        <w:spacing w:after="60"/>
      </w:pPr>
      <w:r>
        <w:rPr>
          <w:b/>
          <w:bCs/>
        </w:rPr>
        <w:t xml:space="preserve">Re:</w:t>
      </w:r>
      <w:r>
        <w:rPr>
          <w:b w:val="false"/>
          <w:bCs w:val="false"/>
        </w:rPr>
        <w:t xml:space="preserve"> Digital Tools Knowledge Transfer and Maintenance Plan</w:t>
      </w:r>
    </w:p>
    <w:p>
      <w:pPr>
        <w:pStyle w:val="Heading1"/>
        <w:keepNext/>
      </w:pPr>
      <w:r>
        <w:rPr>
          <w:b w:val="false"/>
          <w:bCs w:val="false"/>
        </w:rPr>
        <w:t xml:space="preserve">1. Purpose</w:t>
      </w:r>
    </w:p>
    <w:p>
      <w:pPr>
        <w:spacing w:after="140"/>
      </w:pPr>
      <w:r>
        <w:rPr>
          <w:b w:val="false"/>
          <w:bCs w:val="false"/>
        </w:rPr>
        <w:t xml:space="preserve">HR&amp;A Advisors (“the Team”) developed the Broadband Infrastructure Mapping Tool and Regional Ecosystem Network Tool to support MHM’s understanding of broadband conditions, investment, and organizational capacity across its service area.</w:t>
      </w:r>
    </w:p>
    <w:p>
      <w:pPr>
        <w:spacing w:after="140"/>
      </w:pPr>
      <w:r>
        <w:rPr>
          <w:b w:val="false"/>
          <w:bCs w:val="false"/>
        </w:rPr>
        <w:t xml:space="preserve">The purpose of this memo is to provide a framework for operating and maintaining both tools following development. It explains how information reaches each tool, describes procedures for reviewing and publishing updates, and establishes proposed responsibilities for ongoing support. MHM can use this memo to orient staff, coordinate with technical support, and maintain continuity as personnel or partnerships change.</w:t>
      </w:r>
    </w:p>
    <w:p>
      <w:pPr>
        <w:spacing w:after="140"/>
      </w:pPr>
      <w:r>
        <w:rPr>
          <w:b w:val="false"/>
          <w:bCs w:val="false"/>
        </w:rPr>
        <w:t xml:space="preserve">This plan distinguishes between maintaining the applications and maintaining the information they display. Technical maintenance keeps the tools functioning. Data stewardship ensures that their information remains accurate, appropriately documented, and approved for publication. Both are necessary for continued use.</w:t>
      </w:r>
    </w:p>
    <w:p>
      <w:pPr>
        <w:spacing w:after="140"/>
      </w:pPr>
      <w:r>
        <w:rPr>
          <w:b w:val="false"/>
          <w:bCs w:val="false"/>
        </w:rPr>
        <w:t xml:space="preserve">The procedures below reflect the current approach. Account ownership, responsibility for updating the underlying broadband analysis, and the future ecosystem data management approach remain subject to confirmation.</w:t>
      </w:r>
    </w:p>
    <w:p>
      <w:pPr>
        <w:pStyle w:val="Heading1"/>
        <w:keepNext/>
      </w:pPr>
      <w:r>
        <w:rPr>
          <w:b w:val="false"/>
          <w:bCs w:val="false"/>
        </w:rPr>
        <w:t xml:space="preserve">2. Tools in Scope</w:t>
      </w:r>
    </w:p>
    <w:p>
      <w:pPr>
        <w:pStyle w:val="Heading2"/>
        <w:keepNext/>
      </w:pPr>
      <w:r>
        <w:rPr>
          <w:b w:val="false"/>
          <w:bCs w:val="false"/>
        </w:rPr>
        <w:t xml:space="preserve">2.1 Broadband Infrastructure Mapping Tool</w:t>
      </w:r>
    </w:p>
    <w:p>
      <w:pPr>
        <w:spacing w:after="140"/>
      </w:pPr>
      <w:r>
        <w:rPr>
          <w:b w:val="false"/>
          <w:bCs w:val="false"/>
        </w:rPr>
        <w:t xml:space="preserve">The Broadband Infrastructure Mapping Tool presents interactive maps of existing conditions, current investment, and anticipated gaps across MHM’s service area. Users can explore geographic areas, select indicators, and review information associated with individual map features.</w:t>
      </w:r>
    </w:p>
    <w:p>
      <w:pPr>
        <w:spacing w:after="140"/>
      </w:pPr>
      <w:r>
        <w:rPr>
          <w:b w:val="false"/>
          <w:bCs w:val="false"/>
        </w:rPr>
        <w:t xml:space="preserve">The tool draws on prepared geographic datasets derived from sources including the Federal Communications Commission, the U.S. Census Bureau’s American Community Survey, Feeding America, and the Texas Broadband Development Office. Certain funding information is maintained separately in HR&amp;A’s funding tracker.</w:t>
      </w:r>
    </w:p>
    <w:p>
      <w:pPr>
        <w:spacing w:after="140"/>
      </w:pPr>
      <w:r>
        <w:rPr>
          <w:b w:val="false"/>
          <w:bCs w:val="false"/>
        </w:rPr>
        <w:t xml:space="preserve">The application is built in Next.js and hosted through Vercel. Mapbox displays the maps, while Amazon S3 stores the prepared geographic files. These services have different functions: the website presents the information, Mapbox renders it, and S3 supplies the map data. The website does not automatically download new source releases or recalculate the underlying analysis.</w:t>
      </w:r>
    </w:p>
    <w:p>
      <w:pPr>
        <w:pStyle w:val="Heading2"/>
        <w:keepNext/>
      </w:pPr>
      <w:r>
        <w:rPr>
          <w:b w:val="false"/>
          <w:bCs w:val="false"/>
        </w:rPr>
        <w:t xml:space="preserve">2.2 Regional Ecosystem Network Tool</w:t>
      </w:r>
    </w:p>
    <w:p>
      <w:pPr>
        <w:spacing w:after="140"/>
      </w:pPr>
      <w:r>
        <w:rPr>
          <w:b w:val="false"/>
          <w:bCs w:val="false"/>
        </w:rPr>
        <w:t xml:space="preserve">The Regional Ecosystem Network Tool presents organizations working across MHM’s regions and the relationships recorded between them. It includes regional views, a network graph, organization search, and supporting Data and Methodology pages.</w:t>
      </w:r>
    </w:p>
    <w:p>
      <w:pPr>
        <w:spacing w:after="140"/>
      </w:pPr>
      <w:r>
        <w:rPr>
          <w:b w:val="false"/>
          <w:bCs w:val="false"/>
        </w:rPr>
        <w:t xml:space="preserve">The current dataset combines MHM-provided records with research. Information is manually curated and maintained in the application’s data files rather than retrieved from an external database. The application is built in Next.js and hosted through Vercel.</w:t>
      </w:r>
    </w:p>
    <w:p>
      <w:pPr>
        <w:spacing w:after="140"/>
      </w:pPr>
      <w:r>
        <w:rPr>
          <w:b w:val="false"/>
          <w:bCs w:val="false"/>
        </w:rPr>
        <w:t xml:space="preserve">The tool distinguishes documented connections from additional ecosystem partners. A missing connection indicates that a relationship has not been documented in the dataset; it should not be interpreted as evidence that no relationship exists. Similarly, inclusion in the dataset does not establish that all information has been independently confirmed by the organization.</w:t>
      </w:r>
    </w:p>
    <w:p>
      <w:pPr>
        <w:spacing w:after="140"/>
      </w:pPr>
      <w:r>
        <w:rPr>
          <w:b w:val="false"/>
          <w:bCs w:val="false"/>
        </w:rPr>
        <w:t xml:space="preserve">MHM is considering an Airtable-based intake or data management approach, or another approach that brings its data streams together. The final selection will determine how future submissions are received, reviewed, stored, and connected to the tool. These procedures are subject to change following that decision.</w:t>
      </w:r>
    </w:p>
    <w:p>
      <w:pPr>
        <w:pStyle w:val="Heading1"/>
        <w:keepNext/>
      </w:pPr>
      <w:r>
        <w:rPr>
          <w:b w:val="false"/>
          <w:bCs w:val="false"/>
        </w:rPr>
        <w:t xml:space="preserve">3. Knowledge Transfer and Operating Procedures</w:t>
      </w:r>
    </w:p>
    <w:p>
      <w:pPr>
        <w:pStyle w:val="Heading2"/>
        <w:keepNext/>
      </w:pPr>
      <w:r>
        <w:rPr>
          <w:b w:val="false"/>
          <w:bCs w:val="false"/>
        </w:rPr>
        <w:t xml:space="preserve">3.1 Roles and responsibilities</w:t>
      </w:r>
    </w:p>
    <w:p>
      <w:pPr>
        <w:spacing w:after="140"/>
      </w:pPr>
      <w:r>
        <w:rPr>
          <w:b w:val="false"/>
          <w:bCs w:val="false"/>
        </w:rPr>
        <w:t xml:space="preserve">The Team recommends the following division of responsibilities. MHM and HR&amp;A will confirm designated staff and any supporting partners during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cantSplit/>
          <w:tblHeader/>
        </w:trPr>
        <w:tc>
          <w:tcPr>
            <w:tcW w:type="dxa" w:w="2520"/>
            <w:shd w:fill="17365D" w:val="clear"/>
            <w:tcMar>
              <w:top w:type="dxa" w:w="100"/>
              <w:left w:type="dxa" w:w="120"/>
              <w:bottom w:type="dxa" w:w="100"/>
              <w:right w:type="dxa" w:w="120"/>
            </w:tcMar>
          </w:tcPr>
          <w:p>
            <w:pPr>
              <w:spacing w:after="0" w:line="260"/>
            </w:pPr>
            <w:r>
              <w:rPr>
                <w:b/>
                <w:bCs/>
                <w:color w:val="FFFFFF"/>
              </w:rPr>
              <w:t xml:space="preserve">Role</w:t>
            </w:r>
          </w:p>
        </w:tc>
        <w:tc>
          <w:tcPr>
            <w:tcW w:type="dxa" w:w="6840"/>
            <w:shd w:fill="17365D" w:val="clear"/>
            <w:tcMar>
              <w:top w:type="dxa" w:w="100"/>
              <w:left w:type="dxa" w:w="120"/>
              <w:bottom w:type="dxa" w:w="100"/>
              <w:right w:type="dxa" w:w="120"/>
            </w:tcMar>
          </w:tcPr>
          <w:p>
            <w:pPr>
              <w:spacing w:after="0" w:line="260"/>
            </w:pPr>
            <w:r>
              <w:rPr>
                <w:b/>
                <w:bCs/>
                <w:color w:val="FFFFFF"/>
              </w:rPr>
              <w:t xml:space="preserve">Proposed responsibility</w:t>
            </w:r>
          </w:p>
        </w:tc>
      </w:tr>
      <w:tr>
        <w:trPr>
          <w:cantSplit/>
          <w:tblHeader w:val="false"/>
        </w:trPr>
        <w:tc>
          <w:tcPr>
            <w:tcW w:type="dxa" w:w="2520"/>
            <w:shd w:fill="F2F5F8" w:val="clear"/>
            <w:tcMar>
              <w:top w:type="dxa" w:w="100"/>
              <w:left w:type="dxa" w:w="120"/>
              <w:bottom w:type="dxa" w:w="100"/>
              <w:right w:type="dxa" w:w="120"/>
            </w:tcMar>
          </w:tcPr>
          <w:p>
            <w:pPr>
              <w:spacing w:after="0" w:line="260"/>
            </w:pPr>
            <w:r>
              <w:rPr>
                <w:b/>
                <w:bCs/>
              </w:rPr>
              <w:t xml:space="preserve">MHM project lead</w:t>
            </w:r>
          </w:p>
        </w:tc>
        <w:tc>
          <w:tcPr>
            <w:tcW w:type="dxa" w:w="6840"/>
            <w:shd w:fill="F2F5F8" w:val="clear"/>
            <w:tcMar>
              <w:top w:type="dxa" w:w="100"/>
              <w:left w:type="dxa" w:w="120"/>
              <w:bottom w:type="dxa" w:w="100"/>
              <w:right w:type="dxa" w:w="120"/>
            </w:tcMar>
          </w:tcPr>
          <w:p>
            <w:pPr>
              <w:spacing w:after="0" w:line="260"/>
            </w:pPr>
            <w:r>
              <w:rPr>
                <w:b w:val="false"/>
                <w:bCs w:val="false"/>
              </w:rPr>
              <w:t xml:space="preserve">Coordinates requests, identifies timing considerations, approves public-facing content and data changes, and confirms that updates meet MHM’s needs.</w:t>
            </w:r>
          </w:p>
        </w:tc>
      </w:tr>
      <w:tr>
        <w:trPr>
          <w:cantSplit/>
          <w:tblHeader w:val="false"/>
        </w:trPr>
        <w:tc>
          <w:tcPr>
            <w:tcW w:type="dxa" w:w="2520"/>
            <w:shd w:fill="FFFFFF" w:val="clear"/>
            <w:tcMar>
              <w:top w:type="dxa" w:w="100"/>
              <w:left w:type="dxa" w:w="120"/>
              <w:bottom w:type="dxa" w:w="100"/>
              <w:right w:type="dxa" w:w="120"/>
            </w:tcMar>
          </w:tcPr>
          <w:p>
            <w:pPr>
              <w:spacing w:after="0" w:line="260"/>
            </w:pPr>
            <w:r>
              <w:rPr>
                <w:b/>
                <w:bCs/>
              </w:rPr>
              <w:t xml:space="preserve">MHM-designated data reviewer</w:t>
            </w:r>
          </w:p>
        </w:tc>
        <w:tc>
          <w:tcPr>
            <w:tcW w:type="dxa" w:w="6840"/>
            <w:shd w:fill="FFFFFF" w:val="clear"/>
            <w:tcMar>
              <w:top w:type="dxa" w:w="100"/>
              <w:left w:type="dxa" w:w="120"/>
              <w:bottom w:type="dxa" w:w="100"/>
              <w:right w:type="dxa" w:w="120"/>
            </w:tcMar>
          </w:tcPr>
          <w:p>
            <w:pPr>
              <w:spacing w:after="0" w:line="260"/>
            </w:pPr>
            <w:r>
              <w:rPr>
                <w:b w:val="false"/>
                <w:bCs w:val="false"/>
              </w:rPr>
              <w:t xml:space="preserve">Reviews proposed records and corrections, resolves questions with contributing organizations or source owners, and maintains supporting documentation. This role may be held by the project lead.</w:t>
            </w:r>
          </w:p>
        </w:tc>
      </w:tr>
      <w:tr>
        <w:trPr>
          <w:cantSplit/>
          <w:tblHeader w:val="false"/>
        </w:trPr>
        <w:tc>
          <w:tcPr>
            <w:tcW w:type="dxa" w:w="2520"/>
            <w:shd w:fill="F2F5F8" w:val="clear"/>
            <w:tcMar>
              <w:top w:type="dxa" w:w="100"/>
              <w:left w:type="dxa" w:w="120"/>
              <w:bottom w:type="dxa" w:w="100"/>
              <w:right w:type="dxa" w:w="120"/>
            </w:tcMar>
          </w:tcPr>
          <w:p>
            <w:pPr>
              <w:spacing w:after="0" w:line="260"/>
            </w:pPr>
            <w:r>
              <w:rPr>
                <w:b/>
                <w:bCs/>
              </w:rPr>
              <w:t xml:space="preserve">HR&amp;A technical maintainer</w:t>
            </w:r>
          </w:p>
        </w:tc>
        <w:tc>
          <w:tcPr>
            <w:tcW w:type="dxa" w:w="6840"/>
            <w:shd w:fill="F2F5F8" w:val="clear"/>
            <w:tcMar>
              <w:top w:type="dxa" w:w="100"/>
              <w:left w:type="dxa" w:w="120"/>
              <w:bottom w:type="dxa" w:w="100"/>
              <w:right w:type="dxa" w:w="120"/>
            </w:tcMar>
          </w:tcPr>
          <w:p>
            <w:pPr>
              <w:spacing w:after="0" w:line="260"/>
            </w:pPr>
            <w:r>
              <w:rPr>
                <w:b w:val="false"/>
                <w:bCs w:val="false"/>
              </w:rPr>
              <w:t xml:space="preserve">Prepares approved information for the applications, implements technical changes, checks affected functionality, publishes agreed updates, and maintains the technical operating instructions.</w:t>
            </w:r>
          </w:p>
        </w:tc>
      </w:tr>
      <w:tr>
        <w:trPr>
          <w:cantSplit/>
          <w:tblHeader w:val="false"/>
        </w:trPr>
        <w:tc>
          <w:tcPr>
            <w:tcW w:type="dxa" w:w="2520"/>
            <w:shd w:fill="FFFFFF" w:val="clear"/>
            <w:tcMar>
              <w:top w:type="dxa" w:w="100"/>
              <w:left w:type="dxa" w:w="120"/>
              <w:bottom w:type="dxa" w:w="100"/>
              <w:right w:type="dxa" w:w="120"/>
            </w:tcMar>
          </w:tcPr>
          <w:p>
            <w:pPr>
              <w:spacing w:after="0" w:line="260"/>
            </w:pPr>
            <w:r>
              <w:rPr>
                <w:b/>
                <w:bCs/>
              </w:rPr>
              <w:t xml:space="preserve">Broadband analytical lead, to be designated</w:t>
            </w:r>
          </w:p>
        </w:tc>
        <w:tc>
          <w:tcPr>
            <w:tcW w:type="dxa" w:w="6840"/>
            <w:shd w:fill="FFFFFF" w:val="clear"/>
            <w:tcMar>
              <w:top w:type="dxa" w:w="100"/>
              <w:left w:type="dxa" w:w="120"/>
              <w:bottom w:type="dxa" w:w="100"/>
              <w:right w:type="dxa" w:w="120"/>
            </w:tcMar>
          </w:tcPr>
          <w:p>
            <w:pPr>
              <w:spacing w:after="0" w:line="260"/>
            </w:pPr>
            <w:r>
              <w:rPr>
                <w:b w:val="false"/>
                <w:bCs w:val="false"/>
              </w:rPr>
              <w:t xml:space="preserve">Obtains updated source datasets, reproduces or revises the GIS analysis and derived scores, documents methods, and supplies reviewed analytical outputs for publication.</w:t>
            </w:r>
          </w:p>
        </w:tc>
      </w:tr>
      <w:tr>
        <w:trPr>
          <w:cantSplit/>
          <w:tblHeader w:val="false"/>
        </w:trPr>
        <w:tc>
          <w:tcPr>
            <w:tcW w:type="dxa" w:w="2520"/>
            <w:shd w:fill="F2F5F8" w:val="clear"/>
            <w:tcMar>
              <w:top w:type="dxa" w:w="100"/>
              <w:left w:type="dxa" w:w="120"/>
              <w:bottom w:type="dxa" w:w="100"/>
              <w:right w:type="dxa" w:w="120"/>
            </w:tcMar>
          </w:tcPr>
          <w:p>
            <w:pPr>
              <w:spacing w:after="0" w:line="260"/>
            </w:pPr>
            <w:r>
              <w:rPr>
                <w:b/>
                <w:bCs/>
              </w:rPr>
              <w:t xml:space="preserve">Account administrators, to be designated</w:t>
            </w:r>
          </w:p>
        </w:tc>
        <w:tc>
          <w:tcPr>
            <w:tcW w:type="dxa" w:w="6840"/>
            <w:shd w:fill="F2F5F8" w:val="clear"/>
            <w:tcMar>
              <w:top w:type="dxa" w:w="100"/>
              <w:left w:type="dxa" w:w="120"/>
              <w:bottom w:type="dxa" w:w="100"/>
              <w:right w:type="dxa" w:w="120"/>
            </w:tcMar>
          </w:tcPr>
          <w:p>
            <w:pPr>
              <w:spacing w:after="0" w:line="260"/>
            </w:pPr>
            <w:r>
              <w:rPr>
                <w:b w:val="false"/>
                <w:bCs w:val="false"/>
              </w:rPr>
              <w:t xml:space="preserve">Manage access, account recovery, service renewals, and continuity for hosting, storage, mapping, repositories, and any future data platform.</w:t>
            </w:r>
          </w:p>
        </w:tc>
      </w:tr>
    </w:tbl>
    <w:p>
      <w:pPr>
        <w:spacing w:after="100"/>
      </w:pPr>
    </w:p>
    <w:p>
      <w:pPr>
        <w:spacing w:after="140"/>
      </w:pPr>
      <w:r>
        <w:rPr>
          <w:b w:val="false"/>
          <w:bCs w:val="false"/>
        </w:rPr>
        <w:t xml:space="preserve">MHM staff do not need to edit application code to request an update. Their principal responsibilities are to supply or review information, confirm what may be published, and communicate relevant deadlines. Technical publication remains with the designated maintainer unless a different arrangement is agreed.</w:t>
      </w:r>
    </w:p>
    <w:p>
      <w:pPr>
        <w:pStyle w:val="Heading2"/>
        <w:keepNext/>
      </w:pPr>
      <w:r>
        <w:rPr>
          <w:b w:val="false"/>
          <w:bCs w:val="false"/>
        </w:rPr>
        <w:t xml:space="preserve">3.2 Broadband tool: data flow and update procedure</w:t>
      </w:r>
    </w:p>
    <w:p>
      <w:pPr>
        <w:spacing w:after="140"/>
      </w:pPr>
      <w:r>
        <w:rPr>
          <w:b/>
          <w:bCs/>
        </w:rPr>
        <w:t xml:space="preserve">Current data flow:</w:t>
      </w:r>
      <w:r>
        <w:rPr>
          <w:b w:val="false"/>
          <w:bCs w:val="false"/>
        </w:rPr>
        <w:t xml:space="preserve"> Public source datasets and supporting records → prepared GIS analysis → web-ready geographic files → S3 storage → interactive maps. Funding information also follows a separate path from HR&amp;A’s funding spreadsheet into the application.</w:t>
      </w:r>
    </w:p>
    <w:p>
      <w:pPr>
        <w:spacing w:after="140"/>
      </w:pPr>
      <w:r>
        <w:rPr>
          <w:b w:val="false"/>
          <w:bCs w:val="false"/>
        </w:rPr>
        <w:t xml:space="preserve">The distinction between analytical preparation and web publication is important. The repository’s scripts convert and package prepared GIS files. They do not reproduce the analysis used to calculate economic need, anticipated gaps, or other derived measures. Responsibility for that analytical work must be assigned before an end-to-end refresh can be scheduled.</w:t>
      </w:r>
    </w:p>
    <w:p>
      <w:pPr>
        <w:spacing w:after="140"/>
      </w:pPr>
      <w:r>
        <w:rPr>
          <w:b w:val="false"/>
          <w:bCs w:val="false"/>
        </w:rPr>
        <w:t xml:space="preserve">For each refresh, the following process should be used:</w:t>
      </w:r>
    </w:p>
    <w:p>
      <w:pPr>
        <w:pStyle w:val="ListParagraph"/>
        <w:numPr>
          <w:ilvl w:val="0"/>
          <w:numId w:val="2"/>
        </w:numPr>
        <w:spacing w:after="130"/>
      </w:pPr>
      <w:r>
        <w:rPr>
          <w:b/>
          <w:bCs/>
        </w:rPr>
        <w:t xml:space="preserve">Confirm the refresh scope.</w:t>
      </w:r>
      <w:r>
        <w:rPr>
          <w:b w:val="false"/>
          <w:bCs w:val="false"/>
        </w:rPr>
        <w:t xml:space="preserve"> MHM and the Team identify the datasets and map views to update. The designated analytical lead confirms the source releases, reference periods, geographic coverage, and any changes in definitions. A new source release should not be substituted without reviewing its comparability with the existing data.</w:t>
      </w:r>
    </w:p>
    <w:p>
      <w:pPr>
        <w:pStyle w:val="ListParagraph"/>
        <w:numPr>
          <w:ilvl w:val="0"/>
          <w:numId w:val="2"/>
        </w:numPr>
        <w:spacing w:after="130"/>
      </w:pPr>
      <w:r>
        <w:rPr>
          <w:b/>
          <w:bCs/>
        </w:rPr>
        <w:t xml:space="preserve">Prepare and review the analytical outputs.</w:t>
      </w:r>
      <w:r>
        <w:rPr>
          <w:b w:val="false"/>
          <w:bCs w:val="false"/>
        </w:rPr>
        <w:t xml:space="preserve"> The analytical lead updates the GIS datasets and any derived measures. The delivery should include the prepared files, source references, data dates, calculation methods, and known limitations. MHM’s designated reviewer confirms that the information is appropriate for publication.</w:t>
      </w:r>
    </w:p>
    <w:p>
      <w:pPr>
        <w:pStyle w:val="ListParagraph"/>
        <w:numPr>
          <w:ilvl w:val="0"/>
          <w:numId w:val="2"/>
        </w:numPr>
        <w:spacing w:after="130"/>
      </w:pPr>
      <w:r>
        <w:rPr>
          <w:b/>
          <w:bCs/>
        </w:rPr>
        <w:t xml:space="preserve">Prepare the web files.</w:t>
      </w:r>
      <w:r>
        <w:rPr>
          <w:b w:val="false"/>
          <w:bCs w:val="false"/>
        </w:rPr>
        <w:t xml:space="preserve"> The technical maintainer uses the conversion procedures documented in docs/data-dictionary.md and scripts/data/. Smaller datasets are published as GeoJSON. Larger datasets require vector tiles so that maps remain usable. The conversion manifest must match the supplied filenames, and any skipped inputs must be reviewed. Tiling is a separate step for the applicable datasets and should not be assumed complete after the general conversion script runs.</w:t>
      </w:r>
    </w:p>
    <w:p>
      <w:pPr>
        <w:pStyle w:val="ListParagraph"/>
        <w:numPr>
          <w:ilvl w:val="0"/>
          <w:numId w:val="2"/>
        </w:numPr>
        <w:spacing w:after="130"/>
      </w:pPr>
      <w:r>
        <w:rPr>
          <w:b/>
          <w:bCs/>
        </w:rPr>
        <w:t xml:space="preserve">Update related information.</w:t>
      </w:r>
      <w:r>
        <w:rPr>
          <w:b w:val="false"/>
          <w:bCs w:val="false"/>
        </w:rPr>
        <w:t xml:space="preserve"> The technical maintainer checks the layer definitions in components/map/layers.config.ts, including file paths, attribute names, legends, and explanatory text. Funding information must also be checked against the approved version of Funding Amounts.xlsx and the application’s generated funding lookup. Replacing geographic files alone will not update those funding figures. County or regional boundary changes also require review of the county-to-region crosswalk and regeneration of the affected region boundaries.</w:t>
      </w:r>
    </w:p>
    <w:p>
      <w:pPr>
        <w:pStyle w:val="ListParagraph"/>
        <w:numPr>
          <w:ilvl w:val="0"/>
          <w:numId w:val="2"/>
        </w:numPr>
        <w:spacing w:after="130"/>
      </w:pPr>
      <w:r>
        <w:rPr>
          <w:b/>
          <w:bCs/>
        </w:rPr>
        <w:t xml:space="preserve">Validate the proposed release.</w:t>
      </w:r>
      <w:r>
        <w:rPr>
          <w:b w:val="false"/>
          <w:bCs w:val="false"/>
        </w:rPr>
        <w:t xml:space="preserve"> Before publication, the maintainer checks that each affected layer loads, geographic coverage is correct, legends match the data, and representative values agree with the approved analytical outputs. County and region search, funding displays, and missing-data behavior should also be checked. MHM reviews changes to methodology and public-facing interpretation.</w:t>
      </w:r>
    </w:p>
    <w:p>
      <w:pPr>
        <w:pStyle w:val="ListParagraph"/>
        <w:numPr>
          <w:ilvl w:val="0"/>
          <w:numId w:val="2"/>
        </w:numPr>
        <w:spacing w:after="130"/>
      </w:pPr>
      <w:r>
        <w:rPr>
          <w:b/>
          <w:bCs/>
        </w:rPr>
        <w:t xml:space="preserve">Publish and record the update.</w:t>
      </w:r>
      <w:r>
        <w:rPr>
          <w:b w:val="false"/>
          <w:bCs w:val="false"/>
        </w:rPr>
        <w:t xml:space="preserve"> Following approval, the maintainer uploads the prepared geographic files to the agreed S3 location and deploys any associated application changes. The live tool is checked after publication. The update record identifies the source versions, files changed, approval, publication date, and any remaining limitations.</w:t>
      </w:r>
    </w:p>
    <w:p>
      <w:pPr>
        <w:spacing w:after="140"/>
      </w:pPr>
      <w:r>
        <w:rPr>
          <w:b/>
          <w:bCs/>
        </w:rPr>
        <w:t xml:space="preserve">Important interpretation checks.</w:t>
      </w:r>
      <w:r>
        <w:rPr>
          <w:b w:val="false"/>
          <w:bCs w:val="false"/>
        </w:rPr>
        <w:t xml:space="preserve"> The current broadband subscription source stores the share of households without broadband, while the map displays the share with broadband. That conversion must be preserved or deliberately revised if the source format changes. Missing funding matches should remain identified as unavailable rather than treated as zero. Planned investment should not be interpreted as completed service delivery.</w:t>
      </w:r>
    </w:p>
    <w:p>
      <w:pPr>
        <w:spacing w:after="140"/>
      </w:pPr>
      <w:r>
        <w:rPr>
          <w:b/>
          <w:bCs/>
        </w:rPr>
        <w:t xml:space="preserve">Troubleshooting.</w:t>
      </w:r>
      <w:r>
        <w:rPr>
          <w:b w:val="false"/>
          <w:bCs w:val="false"/>
        </w:rPr>
        <w:t xml:space="preserve"> If a basemap appears but a data layer does not, the maintainer should check the published data path, S3 access, expected attributes, and tile configuration. If all maps fail, the maintainer should also check Mapbox configuration and application errors. If updated data appears unchanged, caching should be checked before assuming publication failed; the current upload procedure applies a one-hour cache setting.</w:t>
      </w:r>
    </w:p>
    <w:p>
      <w:pPr>
        <w:spacing w:after="140"/>
      </w:pPr>
      <w:r>
        <w:rPr>
          <w:b/>
          <w:bCs/>
        </w:rPr>
        <w:t xml:space="preserve">Recovery.</w:t>
      </w:r>
      <w:r>
        <w:rPr>
          <w:b w:val="false"/>
          <w:bCs w:val="false"/>
        </w:rPr>
        <w:t xml:space="preserve"> Before replacing published data, the maintainer should retain a dated copy of the previous files and record the corresponding application version. Restoring a Vercel deployment does not restore separately stored S3 data. Recovery may therefore require restoring both the application and the geographic files. Backup arrangements and the restoration procedure must be confirmed during transition.</w:t>
      </w:r>
    </w:p>
    <w:p>
      <w:pPr>
        <w:pStyle w:val="Heading2"/>
        <w:keepNext/>
      </w:pPr>
      <w:r>
        <w:rPr>
          <w:b w:val="false"/>
          <w:bCs w:val="false"/>
        </w:rPr>
        <w:t xml:space="preserve">3.3 Ecosystem tool: data flow and update procedure</w:t>
      </w:r>
    </w:p>
    <w:p>
      <w:pPr>
        <w:spacing w:after="140"/>
      </w:pPr>
      <w:r>
        <w:rPr>
          <w:b/>
          <w:bCs/>
        </w:rPr>
        <w:t xml:space="preserve">Current data flow:</w:t>
      </w:r>
      <w:r>
        <w:rPr>
          <w:b w:val="false"/>
          <w:bCs w:val="false"/>
        </w:rPr>
        <w:t xml:space="preserve"> MHM records and research → manual review and curation → application data files → technical review and deployment → regional pages, search, and network views.</w:t>
      </w:r>
    </w:p>
    <w:p>
      <w:pPr>
        <w:spacing w:after="140"/>
      </w:pPr>
      <w:r>
        <w:rPr>
          <w:b w:val="false"/>
          <w:bCs w:val="false"/>
        </w:rPr>
        <w:t xml:space="preserve">Until the future intake approach is implemented, MHM should submit proposed changes through the maintenance email process in Section 7. Submitting a record does not automatically publish it.</w:t>
      </w:r>
    </w:p>
    <w:p>
      <w:pPr>
        <w:spacing w:after="140"/>
      </w:pPr>
      <w:r>
        <w:rPr>
          <w:b w:val="false"/>
          <w:bCs w:val="false"/>
        </w:rPr>
        <w:t xml:space="preserve">The following process should be used for additions and corrections:</w:t>
      </w:r>
    </w:p>
    <w:p>
      <w:pPr>
        <w:pStyle w:val="ListParagraph"/>
        <w:numPr>
          <w:ilvl w:val="0"/>
          <w:numId w:val="3"/>
        </w:numPr>
        <w:spacing w:after="130"/>
      </w:pPr>
      <w:r>
        <w:rPr>
          <w:b/>
          <w:bCs/>
        </w:rPr>
        <w:t xml:space="preserve">Collect the proposed change.</w:t>
      </w:r>
      <w:r>
        <w:rPr>
          <w:b w:val="false"/>
          <w:bCs w:val="false"/>
        </w:rPr>
        <w:t xml:space="preserve"> MHM or its designated contributor identifies the organization or relationship, describes the addition or correction, and supplies its source. For relationship updates, the submission should identify both organizations and explain the connection being recorded. Include the date of the information and supporting references where available.</w:t>
      </w:r>
    </w:p>
    <w:p>
      <w:pPr>
        <w:pStyle w:val="ListParagraph"/>
        <w:numPr>
          <w:ilvl w:val="0"/>
          <w:numId w:val="3"/>
        </w:numPr>
        <w:spacing w:after="130"/>
      </w:pPr>
      <w:r>
        <w:rPr>
          <w:b/>
          <w:bCs/>
        </w:rPr>
        <w:t xml:space="preserve">Review and reconcile the information.</w:t>
      </w:r>
      <w:r>
        <w:rPr>
          <w:b w:val="false"/>
          <w:bCs w:val="false"/>
        </w:rPr>
        <w:t xml:space="preserve"> MHM’s designated data reviewer checks for duplicate organization names, outdated information, inconsistent service categories, and conflicting regional assignments. Organization records and relationship records should be reviewed separately. An organization’s presence in a region does not, by itself, establish a relationship with another organization.</w:t>
      </w:r>
    </w:p>
    <w:p>
      <w:pPr>
        <w:pStyle w:val="ListParagraph"/>
        <w:numPr>
          <w:ilvl w:val="0"/>
          <w:numId w:val="3"/>
        </w:numPr>
        <w:spacing w:after="130"/>
      </w:pPr>
      <w:r>
        <w:rPr>
          <w:b/>
          <w:bCs/>
        </w:rPr>
        <w:t xml:space="preserve">Confirm regional coverage and documentation.</w:t>
      </w:r>
      <w:r>
        <w:rPr>
          <w:b w:val="false"/>
          <w:bCs w:val="false"/>
        </w:rPr>
        <w:t xml:space="preserve"> Review the regions served by each organization independently, including additional regions where applicable. Do not assign one organization’s service area to its partner simply because they appear in the same record. Relationship descriptions and confirmation status should reflect the available evidence. Unresolved information should be clarified or retained as unconfirmed in the working records rather than presented as established fact.</w:t>
      </w:r>
    </w:p>
    <w:p>
      <w:pPr>
        <w:pStyle w:val="ListParagraph"/>
        <w:numPr>
          <w:ilvl w:val="0"/>
          <w:numId w:val="3"/>
        </w:numPr>
        <w:spacing w:after="130"/>
      </w:pPr>
      <w:r>
        <w:rPr>
          <w:b/>
          <w:bCs/>
        </w:rPr>
        <w:t xml:space="preserve">Approve the publication set.</w:t>
      </w:r>
      <w:r>
        <w:rPr>
          <w:b w:val="false"/>
          <w:bCs w:val="false"/>
        </w:rPr>
        <w:t xml:space="preserve"> MHM confirms which additions, corrections, or removals should appear publicly. The approved set should exclude internal notes and information that is not appropriate for public release. Material questions about a relationship should be resolved before that relationship is published as documented.</w:t>
      </w:r>
    </w:p>
    <w:p>
      <w:pPr>
        <w:pStyle w:val="ListParagraph"/>
        <w:numPr>
          <w:ilvl w:val="0"/>
          <w:numId w:val="3"/>
        </w:numPr>
        <w:spacing w:after="130"/>
      </w:pPr>
      <w:r>
        <w:rPr>
          <w:b/>
          <w:bCs/>
        </w:rPr>
        <w:t xml:space="preserve">Implement and check the update.</w:t>
      </w:r>
      <w:r>
        <w:rPr>
          <w:b w:val="false"/>
          <w:bCs w:val="false"/>
        </w:rPr>
        <w:t xml:space="preserve"> The technical maintainer updates the application’s data files and checks the resulting regional views, organization search results, categories, and network connections. Checks should include organizations that operate across multiple regions and any records affected by a name change or removal. Changes to the dataset’s scope or interpretation should also be reflected in the Data and Methodology pages.</w:t>
      </w:r>
    </w:p>
    <w:p>
      <w:pPr>
        <w:pStyle w:val="ListParagraph"/>
        <w:numPr>
          <w:ilvl w:val="0"/>
          <w:numId w:val="3"/>
        </w:numPr>
        <w:spacing w:after="130"/>
      </w:pPr>
      <w:r>
        <w:rPr>
          <w:b/>
          <w:bCs/>
        </w:rPr>
        <w:t xml:space="preserve">Publish and retain the record.</w:t>
      </w:r>
      <w:r>
        <w:rPr>
          <w:b w:val="false"/>
          <w:bCs w:val="false"/>
        </w:rPr>
        <w:t xml:space="preserve"> Following approval, the maintainer releases the update, checks the live tool, and records what changed. The prior dataset and application version should be retained so that incorrect updates can be reversed.</w:t>
      </w:r>
    </w:p>
    <w:p>
      <w:pPr>
        <w:spacing w:after="140"/>
      </w:pPr>
      <w:r>
        <w:rPr>
          <w:b/>
          <w:bCs/>
        </w:rPr>
        <w:t xml:space="preserve">Troubleshooting.</w:t>
      </w:r>
      <w:r>
        <w:rPr>
          <w:b w:val="false"/>
          <w:bCs w:val="false"/>
        </w:rPr>
        <w:t xml:space="preserve"> If an organization is missing from a regional view, check its structured regional assignments and publication status. If a connection is missing or incorrect, check the relationship record and its supporting information rather than inferring a link from the organizations’ presence in the same region. Search behavior should be checked against the fields the application actually searches.</w:t>
      </w:r>
    </w:p>
    <w:p>
      <w:pPr>
        <w:spacing w:after="140"/>
      </w:pPr>
      <w:r>
        <w:rPr>
          <w:b/>
          <w:bCs/>
        </w:rPr>
        <w:t xml:space="preserve">Future intake and data management.</w:t>
      </w:r>
      <w:r>
        <w:rPr>
          <w:b w:val="false"/>
          <w:bCs w:val="false"/>
        </w:rPr>
        <w:t xml:space="preserve"> An Airtable form collects submissions into an underlying base; it does not, by itself, establish a reviewed publishing process or a live connection to the website. Once MHM selects its approach, the Team will document the authoritative dataset, required fields, review permissions, approval steps, migration procedure, and method for publishing approved changes. New submissions should remain separate from approved public records. Integration and ongoing support will be incorporated into the confirmed maintenance scope, subject to the selected approach.</w:t>
      </w:r>
    </w:p>
    <w:p>
      <w:pPr>
        <w:pStyle w:val="Heading2"/>
        <w:keepNext/>
      </w:pPr>
      <w:r>
        <w:rPr>
          <w:b w:val="false"/>
          <w:bCs w:val="false"/>
        </w:rPr>
        <w:t xml:space="preserve">3.4 Handoff materials and walkthrough</w:t>
      </w:r>
    </w:p>
    <w:p>
      <w:pPr>
        <w:spacing w:after="140"/>
      </w:pPr>
      <w:r>
        <w:rPr>
          <w:b w:val="false"/>
          <w:bCs w:val="false"/>
        </w:rPr>
        <w:t xml:space="preserve">The Team and MHM will use the following checklist to confirm that the handoff is complete:</w:t>
      </w:r>
    </w:p>
    <w:p>
      <w:pPr>
        <w:pStyle w:val="ListParagraph"/>
        <w:numPr>
          <w:ilvl w:val="0"/>
          <w:numId w:val="1"/>
        </w:numPr>
        <w:spacing w:after="110"/>
      </w:pPr>
      <w:r>
        <w:rPr>
          <w:b/>
          <w:bCs/>
        </w:rPr>
        <w:t xml:space="preserve">Application access:</w:t>
      </w:r>
      <w:r>
        <w:rPr>
          <w:b w:val="false"/>
          <w:bCs w:val="false"/>
        </w:rPr>
        <w:t xml:space="preserve"> Repository and hosting links for both tools, designated administrators, and confirmed access for the staff responsible for support.</w:t>
      </w:r>
    </w:p>
    <w:p>
      <w:pPr>
        <w:pStyle w:val="ListParagraph"/>
        <w:numPr>
          <w:ilvl w:val="0"/>
          <w:numId w:val="1"/>
        </w:numPr>
        <w:spacing w:after="110"/>
      </w:pPr>
      <w:r>
        <w:rPr>
          <w:b/>
          <w:bCs/>
        </w:rPr>
        <w:t xml:space="preserve">Data materials:</w:t>
      </w:r>
      <w:r>
        <w:rPr>
          <w:b w:val="false"/>
          <w:bCs w:val="false"/>
        </w:rPr>
        <w:t xml:space="preserve"> The approved ecosystem dataset and available source references; broadband GIS inputs and outputs, funding tracker, crosswalk, and supporting analytical documentation. Repository access alone does not provide the broadband data files stored outside the repository.</w:t>
      </w:r>
    </w:p>
    <w:p>
      <w:pPr>
        <w:pStyle w:val="ListParagraph"/>
        <w:numPr>
          <w:ilvl w:val="0"/>
          <w:numId w:val="1"/>
        </w:numPr>
        <w:spacing w:after="110"/>
      </w:pPr>
      <w:r>
        <w:rPr>
          <w:b/>
          <w:bCs/>
        </w:rPr>
        <w:t xml:space="preserve">Operating instructions:</w:t>
      </w:r>
      <w:r>
        <w:rPr>
          <w:b w:val="false"/>
          <w:bCs w:val="false"/>
        </w:rPr>
        <w:t xml:space="preserve"> Data preparation and publication procedures, configuration requirements, validation checks, and recovery steps for each tool. The broadband README and data dictionary provide a starting point and should be checked against the final deployment.</w:t>
      </w:r>
    </w:p>
    <w:p>
      <w:pPr>
        <w:pStyle w:val="ListParagraph"/>
        <w:numPr>
          <w:ilvl w:val="0"/>
          <w:numId w:val="1"/>
        </w:numPr>
        <w:spacing w:after="110"/>
      </w:pPr>
      <w:r>
        <w:rPr>
          <w:b/>
          <w:bCs/>
        </w:rPr>
        <w:t xml:space="preserve">Account inventory:</w:t>
      </w:r>
      <w:r>
        <w:rPr>
          <w:b w:val="false"/>
          <w:bCs w:val="false"/>
        </w:rPr>
        <w:t xml:space="preserve"> Hosting, storage, mapping, domains, future intake services, and the process for securely transferring administrative access.</w:t>
      </w:r>
    </w:p>
    <w:p>
      <w:pPr>
        <w:pStyle w:val="ListParagraph"/>
        <w:numPr>
          <w:ilvl w:val="0"/>
          <w:numId w:val="1"/>
        </w:numPr>
        <w:spacing w:after="110"/>
      </w:pPr>
      <w:r>
        <w:rPr>
          <w:b/>
          <w:bCs/>
        </w:rPr>
        <w:t xml:space="preserve">Release record:</w:t>
      </w:r>
      <w:r>
        <w:rPr>
          <w:b w:val="false"/>
          <w:bCs w:val="false"/>
        </w:rPr>
        <w:t xml:space="preserve"> The application and data versions in use at handoff, known limitations, and outstanding decisions or issues.</w:t>
      </w:r>
    </w:p>
    <w:p>
      <w:pPr>
        <w:spacing w:after="140"/>
      </w:pPr>
      <w:r>
        <w:rPr>
          <w:b w:val="false"/>
          <w:bCs w:val="false"/>
        </w:rPr>
        <w:t xml:space="preserve">The walkthrough should demonstrate one representative update for each tool, from request and review through publication checks. It should also show how to report a problem and how the maintainer would restore a prior release. A written guide or recording should be retained in an agreed shared location. MHM and the Team will confirm the duration and contacts for transition support.</w:t>
      </w:r>
    </w:p>
    <w:p>
      <w:pPr>
        <w:pStyle w:val="Heading1"/>
        <w:keepNext/>
      </w:pPr>
      <w:r>
        <w:rPr>
          <w:b w:val="false"/>
          <w:bCs w:val="false"/>
        </w:rPr>
        <w:t xml:space="preserve">4. Accounts, Assets, and Ownership</w:t>
      </w:r>
    </w:p>
    <w:p>
      <w:pPr>
        <w:spacing w:after="140"/>
      </w:pPr>
      <w:r>
        <w:rPr>
          <w:b w:val="false"/>
          <w:bCs w:val="false"/>
        </w:rPr>
        <w:t xml:space="preserve">Final ownership and account structure have not yet been decided. MHM and HR&amp;A will confirm whether accounts will transfer to MHM, remain under an agreed managed arrangement, or use a combination of these approaches.</w:t>
      </w:r>
    </w:p>
    <w:p>
      <w:pPr>
        <w:spacing w:after="140"/>
      </w:pPr>
      <w:r>
        <w:rPr>
          <w:b w:val="false"/>
          <w:bCs w:val="false"/>
        </w:rPr>
        <w:t xml:space="preserve">The inventory should cover GitHub repositories, Vercel projects, Amazon S3 storage for broadband data, Mapbox access, custom domains, and the future ecosystem data platform. It should also identify where source datasets, analytical materials, and backups are retained.</w:t>
      </w:r>
    </w:p>
    <w:p>
      <w:pPr>
        <w:spacing w:after="140"/>
      </w:pPr>
      <w:r>
        <w:rPr>
          <w:b w:val="false"/>
          <w:bCs w:val="false"/>
        </w:rPr>
        <w:t xml:space="preserve">For each asset, record the owner, administrator, renewal responsibility, recovery contact, and access required by the maintainer. Credentials should be transferred through an approved secure method, not included in this memo or sent through maintenance emails. Access should be reviewed when responsibilities or personnel change.</w:t>
      </w:r>
    </w:p>
    <w:p>
      <w:pPr>
        <w:spacing w:after="140"/>
      </w:pPr>
      <w:r>
        <w:rPr>
          <w:b w:val="false"/>
          <w:bCs w:val="false"/>
        </w:rPr>
        <w:t xml:space="preserve">Any transfer of the broadband storage should address the project’s designated storage location without changing access to unrelated material in a shared bucket. Account transitions should be completed and checked before existing administrative access is removed.</w:t>
      </w:r>
    </w:p>
    <w:p>
      <w:pPr>
        <w:pStyle w:val="Heading1"/>
        <w:keepNext/>
      </w:pPr>
      <w:r>
        <w:rPr>
          <w:b w:val="false"/>
          <w:bCs w:val="false"/>
        </w:rPr>
        <w:t xml:space="preserve">5. Maintenance</w:t>
      </w:r>
    </w:p>
    <w:p>
      <w:pPr>
        <w:pStyle w:val="Heading2"/>
        <w:keepNext/>
      </w:pPr>
      <w:r>
        <w:rPr>
          <w:b w:val="false"/>
          <w:bCs w:val="false"/>
        </w:rPr>
        <w:t xml:space="preserve">5.1 What maintenance covers</w:t>
      </w:r>
    </w:p>
    <w:p>
      <w:pPr>
        <w:spacing w:after="140"/>
      </w:pPr>
      <w:r>
        <w:rPr>
          <w:b/>
          <w:bCs/>
        </w:rPr>
        <w:t xml:space="preserve">a. Platform and hosting upkeep.</w:t>
      </w:r>
      <w:r>
        <w:rPr>
          <w:b w:val="false"/>
          <w:bCs w:val="false"/>
        </w:rPr>
        <w:t xml:space="preserve"> Maintain the application deployments, broadband storage, Mapbox connection, and domain configuration, including responding to service changes that affect availability.</w:t>
      </w:r>
    </w:p>
    <w:p>
      <w:pPr>
        <w:spacing w:after="140"/>
      </w:pPr>
      <w:r>
        <w:rPr>
          <w:b/>
          <w:bCs/>
        </w:rPr>
        <w:t xml:space="preserve">b. Security and dependency maintenance.</w:t>
      </w:r>
      <w:r>
        <w:rPr>
          <w:b w:val="false"/>
          <w:bCs w:val="false"/>
        </w:rPr>
        <w:t xml:space="preserve"> Review framework and supporting-package updates, apply relevant security patches, and check affected functionality before release. Review access and configuration as needed to support continuity and reduce avoidable exposure.</w:t>
      </w:r>
    </w:p>
    <w:p>
      <w:pPr>
        <w:spacing w:after="140"/>
      </w:pPr>
      <w:r>
        <w:rPr>
          <w:b/>
          <w:bCs/>
        </w:rPr>
        <w:t xml:space="preserve">c. Broadband data refresh support.</w:t>
      </w:r>
      <w:r>
        <w:rPr>
          <w:b w:val="false"/>
          <w:bCs w:val="false"/>
        </w:rPr>
        <w:t xml:space="preserve"> Coordinate periodic refreshes, generally aligned with relevant source releases, and prepare and publish approved analytical outputs. The refresh scope will identify which datasets are changing and whether supporting funding information, boundaries, or methodology also require revision. Responsibility for obtaining source data and updating the underlying GIS analysis and derived scores remains to be assigned. This memo does not presume that the existing publication scripts perform those tasks.</w:t>
      </w:r>
    </w:p>
    <w:p>
      <w:pPr>
        <w:spacing w:after="140"/>
      </w:pPr>
      <w:r>
        <w:rPr>
          <w:b/>
          <w:bCs/>
        </w:rPr>
        <w:t xml:space="preserve">d. Ecosystem data updates and source integration.</w:t>
      </w:r>
      <w:r>
        <w:rPr>
          <w:b w:val="false"/>
          <w:bCs w:val="false"/>
        </w:rPr>
        <w:t xml:space="preserve"> Implement approved organization and relationship updates using the review process in Section 3. Once MHM selects its data management approach, confirm the setup, migration, publication connection, and ongoing maintenance responsibilities. The specific scope is subject to that decision.</w:t>
      </w:r>
    </w:p>
    <w:p>
      <w:pPr>
        <w:spacing w:after="140"/>
      </w:pPr>
      <w:r>
        <w:rPr>
          <w:b/>
          <w:bCs/>
        </w:rPr>
        <w:t xml:space="preserve">e. Corrective maintenance.</w:t>
      </w:r>
      <w:r>
        <w:rPr>
          <w:b w:val="false"/>
          <w:bCs w:val="false"/>
        </w:rPr>
        <w:t xml:space="preserve"> Diagnose and resolve defects such as missing map layers, rendering errors, search problems, incorrect data presentation, and broken links.</w:t>
      </w:r>
    </w:p>
    <w:p>
      <w:pPr>
        <w:spacing w:after="140"/>
      </w:pPr>
      <w:r>
        <w:rPr>
          <w:b/>
          <w:bCs/>
        </w:rPr>
        <w:t xml:space="preserve">f. Availability checks and incident response.</w:t>
      </w:r>
      <w:r>
        <w:rPr>
          <w:b w:val="false"/>
          <w:bCs w:val="false"/>
        </w:rPr>
        <w:t xml:space="preserve"> Establish an agreed approach for checking tool availability and identifying failures. Respond to reported interruptions using the process in Section 7. Monitoring arrangements will be confirmed during transition rather than assumed to be in place.</w:t>
      </w:r>
    </w:p>
    <w:p>
      <w:pPr>
        <w:spacing w:after="140"/>
      </w:pPr>
      <w:r>
        <w:rPr>
          <w:b/>
          <w:bCs/>
        </w:rPr>
        <w:t xml:space="preserve">g. Minor adjustments.</w:t>
      </w:r>
      <w:r>
        <w:rPr>
          <w:b w:val="false"/>
          <w:bCs w:val="false"/>
        </w:rPr>
        <w:t xml:space="preserve"> Make agreed copy edits, small presentation changes, and configuration updates that do not materially change the tools’ functionality.</w:t>
      </w:r>
    </w:p>
    <w:p>
      <w:pPr>
        <w:pStyle w:val="Heading2"/>
        <w:keepNext/>
      </w:pPr>
      <w:r>
        <w:rPr>
          <w:b w:val="false"/>
          <w:bCs w:val="false"/>
        </w:rPr>
        <w:t xml:space="preserve">5.2 Work requiring a separate scope</w:t>
      </w:r>
    </w:p>
    <w:p>
      <w:pPr>
        <w:spacing w:after="140"/>
      </w:pPr>
      <w:r>
        <w:rPr>
          <w:b w:val="false"/>
          <w:bCs w:val="false"/>
        </w:rPr>
        <w:t xml:space="preserve">New tools, substantial features, redesigns, additional data sources, major analytical changes, or significant changes to the applications’ architecture require review through the change-request process. If a source publisher discontinues a dataset or materially changes its structure, the Team will assess the effect, explain the available options, and agree on a path forward with MHM.</w:t>
      </w:r>
    </w:p>
    <w:p>
      <w:pPr>
        <w:pStyle w:val="Heading1"/>
        <w:keepNext/>
      </w:pPr>
      <w:r>
        <w:rPr>
          <w:b w:val="false"/>
          <w:bCs w:val="false"/>
        </w:rPr>
        <w:t xml:space="preserve">6. Change Requests</w:t>
      </w:r>
    </w:p>
    <w:p>
      <w:pPr>
        <w:spacing w:after="140"/>
      </w:pPr>
      <w:r>
        <w:rPr>
          <w:b w:val="false"/>
          <w:bCs w:val="false"/>
        </w:rPr>
        <w:t xml:space="preserve">When a request falls outside the agreed maintenance scope, the Team will:</w:t>
      </w:r>
    </w:p>
    <w:p>
      <w:pPr>
        <w:pStyle w:val="ListParagraph"/>
        <w:numPr>
          <w:ilvl w:val="0"/>
          <w:numId w:val="4"/>
        </w:numPr>
        <w:spacing w:after="130"/>
      </w:pPr>
      <w:r>
        <w:rPr>
          <w:b w:val="false"/>
          <w:bCs w:val="false"/>
        </w:rPr>
        <w:t xml:space="preserve">Confirm the objective and desired outcome with MHM.</w:t>
      </w:r>
    </w:p>
    <w:p>
      <w:pPr>
        <w:pStyle w:val="ListParagraph"/>
        <w:numPr>
          <w:ilvl w:val="0"/>
          <w:numId w:val="4"/>
        </w:numPr>
        <w:spacing w:after="130"/>
      </w:pPr>
      <w:r>
        <w:rPr>
          <w:b w:val="false"/>
          <w:bCs w:val="false"/>
        </w:rPr>
        <w:t xml:space="preserve">Identify the proposed work, dependencies, responsibilities, and implications for the existing tools.</w:t>
      </w:r>
    </w:p>
    <w:p>
      <w:pPr>
        <w:pStyle w:val="ListParagraph"/>
        <w:numPr>
          <w:ilvl w:val="0"/>
          <w:numId w:val="4"/>
        </w:numPr>
        <w:spacing w:after="130"/>
      </w:pPr>
      <w:r>
        <w:rPr>
          <w:b w:val="false"/>
          <w:bCs w:val="false"/>
        </w:rPr>
        <w:t xml:space="preserve">Provide a separate scope and proposed schedule for review.</w:t>
      </w:r>
    </w:p>
    <w:p>
      <w:pPr>
        <w:pStyle w:val="ListParagraph"/>
        <w:numPr>
          <w:ilvl w:val="0"/>
          <w:numId w:val="4"/>
        </w:numPr>
        <w:spacing w:after="130"/>
      </w:pPr>
      <w:r>
        <w:rPr>
          <w:b w:val="false"/>
          <w:bCs w:val="false"/>
        </w:rPr>
        <w:t xml:space="preserve">Proceed only after MHM’s written approval.</w:t>
      </w:r>
    </w:p>
    <w:p>
      <w:pPr>
        <w:spacing w:after="140"/>
      </w:pPr>
      <w:r>
        <w:rPr>
          <w:b w:val="false"/>
          <w:bCs w:val="false"/>
        </w:rPr>
        <w:t xml:space="preserve">This process allows MHM to make an informed decision before additional work begins.</w:t>
      </w:r>
    </w:p>
    <w:p>
      <w:pPr>
        <w:pStyle w:val="Heading1"/>
        <w:keepNext/>
      </w:pPr>
      <w:r>
        <w:rPr>
          <w:b w:val="false"/>
          <w:bCs w:val="false"/>
        </w:rPr>
        <w:t xml:space="preserve">7. Communicating About Maintenance Work</w:t>
      </w:r>
    </w:p>
    <w:p>
      <w:pPr>
        <w:spacing w:after="140"/>
      </w:pPr>
      <w:r>
        <w:rPr>
          <w:b w:val="false"/>
          <w:bCs w:val="false"/>
        </w:rPr>
        <w:t xml:space="preserve">MHM and HR&amp;A will confirm designated contacts and a support email address before ongoing maintenance begins. HR&amp;A will maintain a request log and use email for correspondence and approvals.</w:t>
      </w:r>
    </w:p>
    <w:p>
      <w:pPr>
        <w:pStyle w:val="Heading2"/>
        <w:keepNext/>
      </w:pPr>
      <w:r>
        <w:rPr>
          <w:b w:val="false"/>
          <w:bCs w:val="false"/>
        </w:rPr>
        <w:t xml:space="preserve">7.1 Submitting a request</w:t>
      </w:r>
    </w:p>
    <w:p>
      <w:pPr>
        <w:spacing w:after="140"/>
      </w:pPr>
      <w:r>
        <w:rPr>
          <w:b w:val="false"/>
          <w:bCs w:val="false"/>
        </w:rPr>
        <w:t xml:space="preserve">MHM should submit maintenance requests to the agreed support email address, copying its designated project contact. Each request should include:</w:t>
      </w:r>
    </w:p>
    <w:p>
      <w:pPr>
        <w:pStyle w:val="ListParagraph"/>
        <w:numPr>
          <w:ilvl w:val="0"/>
          <w:numId w:val="1"/>
        </w:numPr>
        <w:spacing w:after="110"/>
      </w:pPr>
      <w:r>
        <w:rPr>
          <w:b/>
          <w:bCs/>
        </w:rPr>
        <w:t xml:space="preserve">The affected tool and page:</w:t>
      </w:r>
      <w:r>
        <w:rPr>
          <w:b w:val="false"/>
          <w:bCs w:val="false"/>
        </w:rPr>
        <w:t xml:space="preserve"> Include a link where possible.</w:t>
      </w:r>
    </w:p>
    <w:p>
      <w:pPr>
        <w:pStyle w:val="ListParagraph"/>
        <w:numPr>
          <w:ilvl w:val="0"/>
          <w:numId w:val="1"/>
        </w:numPr>
        <w:spacing w:after="110"/>
      </w:pPr>
      <w:r>
        <w:rPr>
          <w:b/>
          <w:bCs/>
        </w:rPr>
        <w:t xml:space="preserve">The issue or requested change:</w:t>
      </w:r>
      <w:r>
        <w:rPr>
          <w:b w:val="false"/>
          <w:bCs w:val="false"/>
        </w:rPr>
        <w:t xml:space="preserve"> Describe what is happening and the intended outcome. For technical issues, include a screenshot and steps to reproduce the problem, if available.</w:t>
      </w:r>
    </w:p>
    <w:p>
      <w:pPr>
        <w:pStyle w:val="ListParagraph"/>
        <w:numPr>
          <w:ilvl w:val="0"/>
          <w:numId w:val="1"/>
        </w:numPr>
        <w:spacing w:after="110"/>
      </w:pPr>
      <w:r>
        <w:rPr>
          <w:b/>
          <w:bCs/>
        </w:rPr>
        <w:t xml:space="preserve">Relevant timing:</w:t>
      </w:r>
      <w:r>
        <w:rPr>
          <w:b w:val="false"/>
          <w:bCs w:val="false"/>
        </w:rPr>
        <w:t xml:space="preserve"> Identify upcoming presentations, program deadlines, or other considerations. If a tool is unavailable or unusable, mark the subject line “URGENT.”</w:t>
      </w:r>
    </w:p>
    <w:p>
      <w:pPr>
        <w:pStyle w:val="ListParagraph"/>
        <w:numPr>
          <w:ilvl w:val="0"/>
          <w:numId w:val="1"/>
        </w:numPr>
        <w:spacing w:after="110"/>
      </w:pPr>
      <w:r>
        <w:rPr>
          <w:b/>
          <w:bCs/>
        </w:rPr>
        <w:t xml:space="preserve">Supporting information:</w:t>
      </w:r>
      <w:r>
        <w:rPr>
          <w:b w:val="false"/>
          <w:bCs w:val="false"/>
        </w:rPr>
        <w:t xml:space="preserve"> For data corrections, identify the affected organization, relationship, or dataset, provide the proposed correction and its source, and indicate whether the content is approved for publication.</w:t>
      </w:r>
    </w:p>
    <w:p>
      <w:pPr>
        <w:spacing w:after="140"/>
      </w:pPr>
      <w:r>
        <w:rPr>
          <w:b w:val="false"/>
          <w:bCs w:val="false"/>
        </w:rPr>
        <w:t xml:space="preserve">Passwords, access tokens, and sensitive personal information should not be included in support emails.</w:t>
      </w:r>
    </w:p>
    <w:p>
      <w:pPr>
        <w:pStyle w:val="Heading2"/>
        <w:keepNext/>
      </w:pPr>
      <w:r>
        <w:rPr>
          <w:b w:val="false"/>
          <w:bCs w:val="false"/>
        </w:rPr>
        <w:t xml:space="preserve">7.2 Confirming requests and coordinating next steps</w:t>
      </w:r>
    </w:p>
    <w:p>
      <w:pPr>
        <w:spacing w:after="140"/>
      </w:pPr>
      <w:r>
        <w:rPr>
          <w:b w:val="false"/>
          <w:bCs w:val="false"/>
        </w:rPr>
        <w:t xml:space="preserve">HR&amp;A will acknowledge each maintenance request within two business days. The acknowledgment will confirm our understanding of the request, identify any additional information needed, and establish the next step and expected timing. If investigation is required before a completion date can be provided, HR&amp;A will specify when MHM can expect a further update.</w:t>
      </w:r>
    </w:p>
    <w:p>
      <w:pPr>
        <w:spacing w:after="140"/>
      </w:pPr>
      <w:r>
        <w:rPr>
          <w:b w:val="false"/>
          <w:bCs w:val="false"/>
        </w:rPr>
        <w:t xml:space="preserve">The response will follow the nature of the work:</w:t>
      </w:r>
    </w:p>
    <w:p>
      <w:pPr>
        <w:pStyle w:val="ListParagraph"/>
        <w:numPr>
          <w:ilvl w:val="0"/>
          <w:numId w:val="1"/>
        </w:numPr>
        <w:spacing w:after="110"/>
      </w:pPr>
      <w:r>
        <w:rPr>
          <w:b/>
          <w:bCs/>
        </w:rPr>
        <w:t xml:space="preserve">Service interruptions:</w:t>
      </w:r>
      <w:r>
        <w:rPr>
          <w:b w:val="false"/>
          <w:bCs w:val="false"/>
        </w:rPr>
        <w:t xml:space="preserve"> HR&amp;A will acknowledge reports of an unavailable tool or nonfunctioning core feature within one business day and focus on restoring access or identifying a temporary workaround. HR&amp;A will communicate progress and any dependencies on hosting or other service providers.</w:t>
      </w:r>
    </w:p>
    <w:p>
      <w:pPr>
        <w:pStyle w:val="ListParagraph"/>
        <w:numPr>
          <w:ilvl w:val="0"/>
          <w:numId w:val="1"/>
        </w:numPr>
        <w:spacing w:after="110"/>
      </w:pPr>
      <w:r>
        <w:rPr>
          <w:b/>
          <w:bCs/>
        </w:rPr>
        <w:t xml:space="preserve">Data and content updates:</w:t>
      </w:r>
      <w:r>
        <w:rPr>
          <w:b w:val="false"/>
          <w:bCs w:val="false"/>
        </w:rPr>
        <w:t xml:space="preserve"> HR&amp;A will review the proposed change with MHM, confirm the source and approval for publication, and agree on a release date. Related updates may be published together to support consistent review and validation.</w:t>
      </w:r>
    </w:p>
    <w:p>
      <w:pPr>
        <w:pStyle w:val="ListParagraph"/>
        <w:numPr>
          <w:ilvl w:val="0"/>
          <w:numId w:val="1"/>
        </w:numPr>
        <w:spacing w:after="110"/>
      </w:pPr>
      <w:r>
        <w:rPr>
          <w:b/>
          <w:bCs/>
        </w:rPr>
        <w:t xml:space="preserve">Technical corrections and adjustments:</w:t>
      </w:r>
      <w:r>
        <w:rPr>
          <w:b w:val="false"/>
          <w:bCs w:val="false"/>
        </w:rPr>
        <w:t xml:space="preserve"> HR&amp;A will investigate the reported behavior, explain the proposed correction, and confirm a schedule for implementation and testing. Where helpful, HR&amp;A will provide a preview for MHM’s review before release.</w:t>
      </w:r>
    </w:p>
    <w:p>
      <w:pPr>
        <w:spacing w:after="140"/>
      </w:pPr>
      <w:r>
        <w:rPr>
          <w:b w:val="false"/>
          <w:bCs w:val="false"/>
        </w:rPr>
        <w:t xml:space="preserve">If requests overlap or extend beyond the agreed scope, HR&amp;A will discuss sequencing and options with MHM before proceeding. Response targets apply during agreed business hours, excluding holidays, and refer to acknowledgment and initial assessment rather than guaranteed completion. HR&amp;A will communicate changes to the expected schedule and explain the next steps.</w:t>
      </w:r>
    </w:p>
    <w:p>
      <w:pPr>
        <w:spacing w:after="140"/>
      </w:pPr>
      <w:r>
        <w:rPr>
          <w:b w:val="false"/>
          <w:bCs w:val="false"/>
        </w:rPr>
        <w:t xml:space="preserve">When work is complete, HR&amp;A will respond in the original email thread with a brief description of the change, checks performed, and any remaining actions. MHM may report continuing issues in that same thread. HR&amp;A will record the outcome in the request log.</w:t>
      </w:r>
    </w:p>
    <w:p>
      <w:pPr>
        <w:pStyle w:val="Heading2"/>
        <w:keepNext/>
      </w:pPr>
      <w:r>
        <w:rPr>
          <w:b w:val="false"/>
          <w:bCs w:val="false"/>
        </w:rPr>
        <w:t xml:space="preserve">7.3 Regular cadence</w:t>
      </w:r>
    </w:p>
    <w:p>
      <w:pPr>
        <w:pStyle w:val="ListParagraph"/>
        <w:numPr>
          <w:ilvl w:val="0"/>
          <w:numId w:val="1"/>
        </w:numPr>
        <w:spacing w:after="110"/>
      </w:pPr>
      <w:r>
        <w:rPr>
          <w:b/>
          <w:bCs/>
        </w:rPr>
        <w:t xml:space="preserve">Quarterly check-in:</w:t>
      </w:r>
      <w:r>
        <w:rPr>
          <w:b w:val="false"/>
          <w:bCs w:val="false"/>
        </w:rPr>
        <w:t xml:space="preserve"> Review tool health, completed work, open requests, outstanding decisions, and upcoming updates.</w:t>
      </w:r>
    </w:p>
    <w:p>
      <w:pPr>
        <w:pStyle w:val="ListParagraph"/>
        <w:numPr>
          <w:ilvl w:val="0"/>
          <w:numId w:val="1"/>
        </w:numPr>
        <w:spacing w:after="110"/>
      </w:pPr>
      <w:r>
        <w:rPr>
          <w:b/>
          <w:bCs/>
        </w:rPr>
        <w:t xml:space="preserve">Annual planning review:</w:t>
      </w:r>
      <w:r>
        <w:rPr>
          <w:b w:val="false"/>
          <w:bCs w:val="false"/>
        </w:rPr>
        <w:t xml:space="preserve"> Review the past year, confirm anticipated data refreshes, revisit responsibilities, and identify proposed changes to the maintenance scope.</w:t>
      </w:r>
    </w:p>
    <w:p>
      <w:pPr>
        <w:pStyle w:val="ListParagraph"/>
        <w:numPr>
          <w:ilvl w:val="0"/>
          <w:numId w:val="1"/>
        </w:numPr>
        <w:spacing w:after="110"/>
      </w:pPr>
      <w:r>
        <w:rPr>
          <w:b/>
          <w:bCs/>
        </w:rPr>
        <w:t xml:space="preserve">Change notifications:</w:t>
      </w:r>
      <w:r>
        <w:rPr>
          <w:b w:val="false"/>
          <w:bCs w:val="false"/>
        </w:rPr>
        <w:t xml:space="preserve"> Notify MHM before changes that affect public-facing content or expected availability, and following significant maintenance actions such as a major dependency update or data release.</w:t>
      </w:r>
    </w:p>
    <w:p>
      <w:pPr>
        <w:pStyle w:val="Heading2"/>
        <w:keepNext/>
      </w:pPr>
      <w:r>
        <w:rPr>
          <w:b w:val="false"/>
          <w:bCs w:val="false"/>
        </w:rPr>
        <w:t xml:space="preserve">7.4 Transparency</w:t>
      </w:r>
    </w:p>
    <w:p>
      <w:pPr>
        <w:spacing w:after="140"/>
      </w:pPr>
      <w:r>
        <w:rPr>
          <w:b w:val="false"/>
          <w:bCs w:val="false"/>
        </w:rPr>
        <w:t xml:space="preserve">Each quarter, the Team will provide a brief written summary of what was requested, what was completed, what remains open, and any decisions needed from MHM. The summary should identify relevant source limitations or service dependencies so that MHM has a clear record of the tools’ condition and upcoming needs.</w:t>
      </w:r>
    </w:p>
    <w:p>
      <w:pPr>
        <w:pStyle w:val="Heading1"/>
        <w:keepNext/>
      </w:pPr>
      <w:r>
        <w:rPr>
          <w:b w:val="false"/>
          <w:bCs w:val="false"/>
        </w:rPr>
        <w:t xml:space="preserve">8. Decisions to Confirm During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cantSplit/>
          <w:tblHeader/>
        </w:trPr>
        <w:tc>
          <w:tcPr>
            <w:tcW w:type="dxa" w:w="2520"/>
            <w:shd w:fill="17365D" w:val="clear"/>
            <w:tcMar>
              <w:top w:type="dxa" w:w="100"/>
              <w:left w:type="dxa" w:w="120"/>
              <w:bottom w:type="dxa" w:w="100"/>
              <w:right w:type="dxa" w:w="120"/>
            </w:tcMar>
          </w:tcPr>
          <w:p>
            <w:pPr>
              <w:spacing w:after="0" w:line="260"/>
            </w:pPr>
            <w:r>
              <w:rPr>
                <w:b/>
                <w:bCs/>
                <w:color w:val="FFFFFF"/>
              </w:rPr>
              <w:t xml:space="preserve">Decision</w:t>
            </w:r>
          </w:p>
        </w:tc>
        <w:tc>
          <w:tcPr>
            <w:tcW w:type="dxa" w:w="6840"/>
            <w:shd w:fill="17365D" w:val="clear"/>
            <w:tcMar>
              <w:top w:type="dxa" w:w="100"/>
              <w:left w:type="dxa" w:w="120"/>
              <w:bottom w:type="dxa" w:w="100"/>
              <w:right w:type="dxa" w:w="120"/>
            </w:tcMar>
          </w:tcPr>
          <w:p>
            <w:pPr>
              <w:spacing w:after="0" w:line="260"/>
            </w:pPr>
            <w:r>
              <w:rPr>
                <w:b/>
                <w:bCs/>
                <w:color w:val="FFFFFF"/>
              </w:rPr>
              <w:t xml:space="preserve">What must be confirmed</w:t>
            </w:r>
          </w:p>
        </w:tc>
      </w:tr>
      <w:tr>
        <w:trPr>
          <w:cantSplit/>
          <w:tblHeader w:val="false"/>
        </w:trPr>
        <w:tc>
          <w:tcPr>
            <w:tcW w:type="dxa" w:w="2520"/>
            <w:shd w:fill="F2F5F8" w:val="clear"/>
            <w:tcMar>
              <w:top w:type="dxa" w:w="100"/>
              <w:left w:type="dxa" w:w="120"/>
              <w:bottom w:type="dxa" w:w="100"/>
              <w:right w:type="dxa" w:w="120"/>
            </w:tcMar>
          </w:tcPr>
          <w:p>
            <w:pPr>
              <w:spacing w:after="0" w:line="260"/>
            </w:pPr>
            <w:r>
              <w:rPr>
                <w:b/>
                <w:bCs/>
              </w:rPr>
              <w:t xml:space="preserve">Account and asset ownership</w:t>
            </w:r>
          </w:p>
        </w:tc>
        <w:tc>
          <w:tcPr>
            <w:tcW w:type="dxa" w:w="6840"/>
            <w:shd w:fill="F2F5F8" w:val="clear"/>
            <w:tcMar>
              <w:top w:type="dxa" w:w="100"/>
              <w:left w:type="dxa" w:w="120"/>
              <w:bottom w:type="dxa" w:w="100"/>
              <w:right w:type="dxa" w:w="120"/>
            </w:tcMar>
          </w:tcPr>
          <w:p>
            <w:pPr>
              <w:spacing w:after="0" w:line="260"/>
            </w:pPr>
            <w:r>
              <w:rPr>
                <w:b w:val="false"/>
                <w:bCs w:val="false"/>
              </w:rPr>
              <w:t xml:space="preserve">Ownership, administrative access, renewal responsibility, and recovery arrangements for both tools and their supporting services.</w:t>
            </w:r>
          </w:p>
        </w:tc>
      </w:tr>
      <w:tr>
        <w:trPr>
          <w:cantSplit/>
          <w:tblHeader w:val="false"/>
        </w:trPr>
        <w:tc>
          <w:tcPr>
            <w:tcW w:type="dxa" w:w="2520"/>
            <w:shd w:fill="FFFFFF" w:val="clear"/>
            <w:tcMar>
              <w:top w:type="dxa" w:w="100"/>
              <w:left w:type="dxa" w:w="120"/>
              <w:bottom w:type="dxa" w:w="100"/>
              <w:right w:type="dxa" w:w="120"/>
            </w:tcMar>
          </w:tcPr>
          <w:p>
            <w:pPr>
              <w:spacing w:after="0" w:line="260"/>
            </w:pPr>
            <w:r>
              <w:rPr>
                <w:b/>
                <w:bCs/>
              </w:rPr>
              <w:t xml:space="preserve">Broadband analytical responsibility</w:t>
            </w:r>
          </w:p>
        </w:tc>
        <w:tc>
          <w:tcPr>
            <w:tcW w:type="dxa" w:w="6840"/>
            <w:shd w:fill="FFFFFF" w:val="clear"/>
            <w:tcMar>
              <w:top w:type="dxa" w:w="100"/>
              <w:left w:type="dxa" w:w="120"/>
              <w:bottom w:type="dxa" w:w="100"/>
              <w:right w:type="dxa" w:w="120"/>
            </w:tcMar>
          </w:tcPr>
          <w:p>
            <w:pPr>
              <w:spacing w:after="0" w:line="260"/>
            </w:pPr>
            <w:r>
              <w:rPr>
                <w:b w:val="false"/>
                <w:bCs w:val="false"/>
              </w:rPr>
              <w:t xml:space="preserve">Who obtains source releases, maintains GIS methods, recalculates derived measures, and approves analytical outputs before publication.</w:t>
            </w:r>
          </w:p>
        </w:tc>
      </w:tr>
      <w:tr>
        <w:trPr>
          <w:cantSplit/>
          <w:tblHeader w:val="false"/>
        </w:trPr>
        <w:tc>
          <w:tcPr>
            <w:tcW w:type="dxa" w:w="2520"/>
            <w:shd w:fill="F2F5F8" w:val="clear"/>
            <w:tcMar>
              <w:top w:type="dxa" w:w="100"/>
              <w:left w:type="dxa" w:w="120"/>
              <w:bottom w:type="dxa" w:w="100"/>
              <w:right w:type="dxa" w:w="120"/>
            </w:tcMar>
          </w:tcPr>
          <w:p>
            <w:pPr>
              <w:spacing w:after="0" w:line="260"/>
            </w:pPr>
            <w:r>
              <w:rPr>
                <w:b/>
                <w:bCs/>
              </w:rPr>
              <w:t xml:space="preserve">Ecosystem data management</w:t>
            </w:r>
          </w:p>
        </w:tc>
        <w:tc>
          <w:tcPr>
            <w:tcW w:type="dxa" w:w="6840"/>
            <w:shd w:fill="F2F5F8" w:val="clear"/>
            <w:tcMar>
              <w:top w:type="dxa" w:w="100"/>
              <w:left w:type="dxa" w:w="120"/>
              <w:bottom w:type="dxa" w:w="100"/>
              <w:right w:type="dxa" w:w="120"/>
            </w:tcMar>
          </w:tcPr>
          <w:p>
            <w:pPr>
              <w:spacing w:after="0" w:line="260"/>
            </w:pPr>
            <w:r>
              <w:rPr>
                <w:b w:val="false"/>
                <w:bCs w:val="false"/>
              </w:rPr>
              <w:t xml:space="preserve">The selected intake and storage approach, authoritative dataset, review permissions, approval process, and publishing connection.</w:t>
            </w:r>
          </w:p>
        </w:tc>
      </w:tr>
      <w:tr>
        <w:trPr>
          <w:cantSplit/>
          <w:tblHeader w:val="false"/>
        </w:trPr>
        <w:tc>
          <w:tcPr>
            <w:tcW w:type="dxa" w:w="2520"/>
            <w:shd w:fill="FFFFFF" w:val="clear"/>
            <w:tcMar>
              <w:top w:type="dxa" w:w="100"/>
              <w:left w:type="dxa" w:w="120"/>
              <w:bottom w:type="dxa" w:w="100"/>
              <w:right w:type="dxa" w:w="120"/>
            </w:tcMar>
          </w:tcPr>
          <w:p>
            <w:pPr>
              <w:spacing w:after="0" w:line="260"/>
            </w:pPr>
            <w:r>
              <w:rPr>
                <w:b/>
                <w:bCs/>
              </w:rPr>
              <w:t xml:space="preserve">Data stewardship</w:t>
            </w:r>
          </w:p>
        </w:tc>
        <w:tc>
          <w:tcPr>
            <w:tcW w:type="dxa" w:w="6840"/>
            <w:shd w:fill="FFFFFF" w:val="clear"/>
            <w:tcMar>
              <w:top w:type="dxa" w:w="100"/>
              <w:left w:type="dxa" w:w="120"/>
              <w:bottom w:type="dxa" w:w="100"/>
              <w:right w:type="dxa" w:w="120"/>
            </w:tcMar>
          </w:tcPr>
          <w:p>
            <w:pPr>
              <w:spacing w:after="0" w:line="260"/>
            </w:pPr>
            <w:r>
              <w:rPr>
                <w:b w:val="false"/>
                <w:bCs w:val="false"/>
              </w:rPr>
              <w:t xml:space="preserve">The MHM project lead and reviewer, source documentation requirements, and process for resolving conflicting information.</w:t>
            </w:r>
          </w:p>
        </w:tc>
      </w:tr>
      <w:tr>
        <w:trPr>
          <w:cantSplit/>
          <w:tblHeader w:val="false"/>
        </w:trPr>
        <w:tc>
          <w:tcPr>
            <w:tcW w:type="dxa" w:w="2520"/>
            <w:shd w:fill="F2F5F8" w:val="clear"/>
            <w:tcMar>
              <w:top w:type="dxa" w:w="100"/>
              <w:left w:type="dxa" w:w="120"/>
              <w:bottom w:type="dxa" w:w="100"/>
              <w:right w:type="dxa" w:w="120"/>
            </w:tcMar>
          </w:tcPr>
          <w:p>
            <w:pPr>
              <w:spacing w:after="0" w:line="260"/>
            </w:pPr>
            <w:r>
              <w:rPr>
                <w:b/>
                <w:bCs/>
              </w:rPr>
              <w:t xml:space="preserve">Operational readiness</w:t>
            </w:r>
          </w:p>
        </w:tc>
        <w:tc>
          <w:tcPr>
            <w:tcW w:type="dxa" w:w="6840"/>
            <w:shd w:fill="F2F5F8" w:val="clear"/>
            <w:tcMar>
              <w:top w:type="dxa" w:w="100"/>
              <w:left w:type="dxa" w:w="120"/>
              <w:bottom w:type="dxa" w:w="100"/>
              <w:right w:type="dxa" w:w="120"/>
            </w:tcMar>
          </w:tcPr>
          <w:p>
            <w:pPr>
              <w:spacing w:after="0" w:line="260"/>
            </w:pPr>
            <w:r>
              <w:rPr>
                <w:b w:val="false"/>
                <w:bCs w:val="false"/>
              </w:rPr>
              <w:t xml:space="preserve">Support contacts and business hours, availability checks, backup and restoration arrangements, and transition support period.</w:t>
            </w:r>
          </w:p>
        </w:tc>
      </w:tr>
    </w:tbl>
    <w:p>
      <w:pPr>
        <w:spacing w:after="100"/>
      </w:pPr>
    </w:p>
    <w:p>
      <w:pPr>
        <w:spacing w:after="140"/>
      </w:pPr>
      <w:r>
        <w:rPr>
          <w:b w:val="false"/>
          <w:bCs w:val="false"/>
        </w:rPr>
        <w:t xml:space="preserve">Until these decisions are resolved, they should remain documented as open items rather than treated as completed transfers or established services.</w:t>
      </w:r>
    </w:p>
    <w:p>
      <w:pPr>
        <w:pStyle w:val="Heading1"/>
        <w:keepNext/>
      </w:pPr>
      <w:r>
        <w:rPr>
          <w:b w:val="false"/>
          <w:bCs w:val="false"/>
        </w:rPr>
        <w:t xml:space="preserve">9. Next Steps</w:t>
      </w:r>
    </w:p>
    <w:p>
      <w:pPr>
        <w:pStyle w:val="ListParagraph"/>
        <w:numPr>
          <w:ilvl w:val="0"/>
          <w:numId w:val="5"/>
        </w:numPr>
        <w:spacing w:after="130"/>
      </w:pPr>
      <w:r>
        <w:rPr>
          <w:b w:val="false"/>
          <w:bCs w:val="false"/>
        </w:rPr>
        <w:t xml:space="preserve">MHM reviews this memo and confirms the proposed responsibilities and procedures.</w:t>
      </w:r>
    </w:p>
    <w:p>
      <w:pPr>
        <w:pStyle w:val="ListParagraph"/>
        <w:numPr>
          <w:ilvl w:val="0"/>
          <w:numId w:val="5"/>
        </w:numPr>
        <w:spacing w:after="130"/>
      </w:pPr>
      <w:r>
        <w:rPr>
          <w:b w:val="false"/>
          <w:bCs w:val="false"/>
        </w:rPr>
        <w:t xml:space="preserve">MHM and HR&amp;A resolve the transition decisions identified in Section 8.</w:t>
      </w:r>
    </w:p>
    <w:p>
      <w:pPr>
        <w:pStyle w:val="ListParagraph"/>
        <w:numPr>
          <w:ilvl w:val="0"/>
          <w:numId w:val="5"/>
        </w:numPr>
        <w:spacing w:after="130"/>
      </w:pPr>
      <w:r>
        <w:rPr>
          <w:b w:val="false"/>
          <w:bCs w:val="false"/>
        </w:rPr>
        <w:t xml:space="preserve">The Team completes the account inventory and operating materials, including any missing analytical documentation or recovery instructions.</w:t>
      </w:r>
    </w:p>
    <w:p>
      <w:pPr>
        <w:pStyle w:val="ListParagraph"/>
        <w:numPr>
          <w:ilvl w:val="0"/>
          <w:numId w:val="5"/>
        </w:numPr>
        <w:spacing w:after="130"/>
      </w:pPr>
      <w:r>
        <w:rPr>
          <w:b w:val="false"/>
          <w:bCs w:val="false"/>
        </w:rPr>
        <w:t xml:space="preserve">MHM and the Team conduct the walkthrough for both tools and verify that designated staff can access the agreed materials and services.</w:t>
      </w:r>
    </w:p>
    <w:p>
      <w:pPr>
        <w:pStyle w:val="ListParagraph"/>
        <w:numPr>
          <w:ilvl w:val="0"/>
          <w:numId w:val="5"/>
        </w:numPr>
        <w:spacing w:after="130"/>
      </w:pPr>
      <w:r>
        <w:rPr>
          <w:b w:val="false"/>
          <w:bCs w:val="false"/>
        </w:rPr>
        <w:t xml:space="preserve">The Team records remaining actions, responsible parties, and agreed completion dates. MHM and HR&amp;A confirm the plan before ongoing maintenance begins.</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MHM | Knowledge Transfer and Maintenance Plan   •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424"/>
        <w:sz w:val="22"/>
        <w:szCs w:val="22"/>
      </w:rPr>
    </w:rPrDefault>
    <w:pPrDefault>
      <w:pPr>
        <w:widowControl/>
        <w:spacing w:after="140" w:line="28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spacing w:after="260" w:before="0"/>
    </w:pPr>
    <w:rPr>
      <w:b/>
      <w:bCs/>
      <w:color w:val="17365D"/>
      <w:sz w:val="36"/>
      <w:szCs w:val="36"/>
    </w:rPr>
  </w:style>
  <w:style w:type="paragraph" w:styleId="Heading1">
    <w:name w:val="Heading 1"/>
    <w:basedOn w:val="Normal"/>
    <w:next w:val="Normal"/>
    <w:pPr>
      <w:keepNext/>
      <w:spacing w:after="130" w:before="280"/>
      <w:outlineLvl w:val="0"/>
    </w:pPr>
    <w:rPr>
      <w:b/>
      <w:bCs/>
      <w:color w:val="17365D"/>
      <w:sz w:val="28"/>
      <w:szCs w:val="28"/>
    </w:rPr>
  </w:style>
  <w:style w:type="paragraph" w:styleId="Heading2">
    <w:name w:val="Heading 2"/>
    <w:basedOn w:val="Normal"/>
    <w:next w:val="Normal"/>
    <w:pPr>
      <w:keepNext/>
      <w:spacing w:after="110" w:before="220"/>
      <w:outlineLvl w:val="1"/>
    </w:pPr>
    <w:rPr>
      <w:b/>
      <w:bCs/>
      <w:color w:val="17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Tools Knowledge Transfer and Maintenance Plan</dc:title>
  <dc:subject>Methodist Healthcare Ministries: Broadband Infrastructure Mapping and Regional Ecosystem Network</dc:subject>
  <dc:creator>HR&amp;A Advisors, Inc.</dc:creator>
  <cp:lastModifiedBy>Un-named</cp:lastModifiedBy>
  <cp:revision>1</cp:revision>
  <dcterms:created xsi:type="dcterms:W3CDTF">2026-09-25T06:21:54.806Z</dcterms:created>
  <dcterms:modified xsi:type="dcterms:W3CDTF">2026-09-25T06:21:54.809Z</dcterms:modified>
</cp:coreProperties>
</file>

<file path=docProps/custom.xml><?xml version="1.0" encoding="utf-8"?>
<Properties xmlns="http://schemas.openxmlformats.org/officeDocument/2006/custom-properties" xmlns:vt="http://schemas.openxmlformats.org/officeDocument/2006/docPropsVTypes"/>
</file>