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49853" w14:textId="77777777" w:rsidR="00201621" w:rsidRDefault="00201621"/>
    <w:p w14:paraId="4691A5F2" w14:textId="2C4684A3" w:rsidR="00201621" w:rsidRPr="00201621" w:rsidRDefault="0020162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01621">
        <w:rPr>
          <w:rFonts w:ascii="Times New Roman" w:hAnsi="Times New Roman" w:cs="Times New Roman"/>
          <w:b/>
          <w:bCs/>
          <w:sz w:val="36"/>
          <w:szCs w:val="36"/>
        </w:rPr>
        <w:t xml:space="preserve">Arquitectura – Ticket </w:t>
      </w:r>
      <w:proofErr w:type="spellStart"/>
      <w:r w:rsidRPr="00201621">
        <w:rPr>
          <w:rFonts w:ascii="Times New Roman" w:hAnsi="Times New Roman" w:cs="Times New Roman"/>
          <w:b/>
          <w:bCs/>
          <w:sz w:val="36"/>
          <w:szCs w:val="36"/>
        </w:rPr>
        <w:t>System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br/>
      </w:r>
    </w:p>
    <w:p w14:paraId="4A7BA2C6" w14:textId="2E4884D8" w:rsidR="003C67BC" w:rsidRDefault="002B22BB" w:rsidP="00201621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201621">
        <w:rPr>
          <w:rFonts w:ascii="Times New Roman" w:hAnsi="Times New Roman" w:cs="Times New Roman"/>
          <w:sz w:val="24"/>
          <w:szCs w:val="24"/>
        </w:rPr>
        <w:t>Visión General</w:t>
      </w:r>
      <w:r w:rsidRPr="00201621">
        <w:rPr>
          <w:rFonts w:ascii="Times New Roman" w:hAnsi="Times New Roman" w:cs="Times New Roman"/>
          <w:sz w:val="24"/>
          <w:szCs w:val="24"/>
        </w:rPr>
        <w:br/>
      </w:r>
      <w:r w:rsidRPr="00201621">
        <w:rPr>
          <w:rFonts w:ascii="Times New Roman" w:hAnsi="Times New Roman" w:cs="Times New Roman"/>
          <w:sz w:val="24"/>
          <w:szCs w:val="24"/>
        </w:rPr>
        <w:br/>
        <w:t xml:space="preserve">Ticket </w:t>
      </w:r>
      <w:proofErr w:type="spellStart"/>
      <w:r w:rsidRPr="00201621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201621">
        <w:rPr>
          <w:rFonts w:ascii="Times New Roman" w:hAnsi="Times New Roman" w:cs="Times New Roman"/>
          <w:sz w:val="24"/>
          <w:szCs w:val="24"/>
        </w:rPr>
        <w:t xml:space="preserve"> es una aplicación web desarrollada en Django bajo el patrón </w:t>
      </w:r>
      <w:proofErr w:type="spellStart"/>
      <w:r w:rsidRPr="00201621">
        <w:rPr>
          <w:rFonts w:ascii="Times New Roman" w:hAnsi="Times New Roman" w:cs="Times New Roman"/>
          <w:sz w:val="24"/>
          <w:szCs w:val="24"/>
        </w:rPr>
        <w:t>Model</w:t>
      </w:r>
      <w:proofErr w:type="spellEnd"/>
      <w:r w:rsidRPr="00201621">
        <w:rPr>
          <w:rFonts w:ascii="Times New Roman" w:hAnsi="Times New Roman" w:cs="Times New Roman"/>
          <w:sz w:val="24"/>
          <w:szCs w:val="24"/>
        </w:rPr>
        <w:t>–View–</w:t>
      </w:r>
      <w:proofErr w:type="spellStart"/>
      <w:r w:rsidRPr="00201621">
        <w:rPr>
          <w:rFonts w:ascii="Times New Roman" w:hAnsi="Times New Roman" w:cs="Times New Roman"/>
          <w:sz w:val="24"/>
          <w:szCs w:val="24"/>
        </w:rPr>
        <w:t>Template</w:t>
      </w:r>
      <w:proofErr w:type="spellEnd"/>
      <w:r w:rsidRPr="00201621">
        <w:rPr>
          <w:rFonts w:ascii="Times New Roman" w:hAnsi="Times New Roman" w:cs="Times New Roman"/>
          <w:sz w:val="24"/>
          <w:szCs w:val="24"/>
        </w:rPr>
        <w:t xml:space="preserve"> (MVT). El sistema permite autenticación de usuarios, creación y seguimiento de tickets, así como gestión de </w:t>
      </w:r>
      <w:r w:rsidRPr="00201621">
        <w:rPr>
          <w:rFonts w:ascii="Times New Roman" w:hAnsi="Times New Roman" w:cs="Times New Roman"/>
          <w:sz w:val="24"/>
          <w:szCs w:val="24"/>
        </w:rPr>
        <w:t>comentarios asociados. La persistencia se realiza mediante base de datos relacional (SQLite en entorno local).</w:t>
      </w:r>
    </w:p>
    <w:p w14:paraId="4719172E" w14:textId="2D77D936" w:rsidR="00201621" w:rsidRPr="00201621" w:rsidRDefault="00201621" w:rsidP="00201621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04205E33" w14:textId="50FD6D16" w:rsidR="003C67BC" w:rsidRDefault="002B22BB" w:rsidP="00201621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201621">
        <w:rPr>
          <w:rFonts w:ascii="Times New Roman" w:hAnsi="Times New Roman" w:cs="Times New Roman"/>
          <w:sz w:val="24"/>
          <w:szCs w:val="24"/>
        </w:rPr>
        <w:t>Diagrama</w:t>
      </w:r>
      <w:r w:rsidRPr="00201621">
        <w:rPr>
          <w:rFonts w:ascii="Times New Roman" w:hAnsi="Times New Roman" w:cs="Times New Roman"/>
          <w:sz w:val="24"/>
          <w:szCs w:val="24"/>
        </w:rPr>
        <w:t xml:space="preserve"> de Arquitectura</w:t>
      </w:r>
    </w:p>
    <w:p w14:paraId="07D9905E" w14:textId="0AC0CB5F" w:rsidR="00201621" w:rsidRDefault="00201621" w:rsidP="00201621">
      <w:pPr>
        <w:pStyle w:val="Prrafodelista"/>
        <w:rPr>
          <w:rFonts w:ascii="Times New Roman" w:hAnsi="Times New Roman" w:cs="Times New Roman"/>
          <w:sz w:val="24"/>
          <w:szCs w:val="24"/>
        </w:rPr>
      </w:pPr>
      <w:r w:rsidRPr="00201621">
        <w:rPr>
          <w:noProof/>
        </w:rPr>
        <w:drawing>
          <wp:anchor distT="0" distB="0" distL="114300" distR="114300" simplePos="0" relativeHeight="251658240" behindDoc="0" locked="0" layoutInCell="1" allowOverlap="1" wp14:anchorId="59F51699" wp14:editId="19C28B87">
            <wp:simplePos x="0" y="0"/>
            <wp:positionH relativeFrom="margin">
              <wp:posOffset>457200</wp:posOffset>
            </wp:positionH>
            <wp:positionV relativeFrom="margin">
              <wp:posOffset>2844800</wp:posOffset>
            </wp:positionV>
            <wp:extent cx="4572000" cy="34290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arquitectura_ticket_syste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61CD79" w14:textId="361CD269" w:rsidR="00201621" w:rsidRPr="00201621" w:rsidRDefault="00201621" w:rsidP="00201621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7265B3C9" w14:textId="05D311D8" w:rsidR="00201621" w:rsidRDefault="00201621" w:rsidP="00201621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201621">
        <w:rPr>
          <w:rFonts w:ascii="Times New Roman" w:hAnsi="Times New Roman" w:cs="Times New Roman"/>
          <w:sz w:val="24"/>
          <w:szCs w:val="24"/>
        </w:rPr>
        <w:t>Decisiones Técnicas</w:t>
      </w:r>
      <w:r w:rsidRPr="00201621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42AF0AF3" w14:textId="576F6ABF" w:rsidR="00201621" w:rsidRDefault="00201621" w:rsidP="00201621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685EFDC5" w14:textId="2C621BB3" w:rsidR="00201621" w:rsidRPr="00201621" w:rsidRDefault="00201621" w:rsidP="00201621">
      <w:pPr>
        <w:pStyle w:val="Prrafodelista"/>
        <w:rPr>
          <w:rFonts w:ascii="Times New Roman" w:hAnsi="Times New Roman" w:cs="Times New Roman"/>
          <w:sz w:val="24"/>
          <w:szCs w:val="24"/>
        </w:rPr>
      </w:pPr>
      <w:r w:rsidRPr="00201621">
        <w:rPr>
          <w:rFonts w:ascii="Times New Roman" w:hAnsi="Times New Roman" w:cs="Times New Roman"/>
          <w:sz w:val="24"/>
          <w:szCs w:val="24"/>
        </w:rPr>
        <w:t>Framework: Se seleccionó Django por su rapidez de desarrollo, ORM robusto, sistema de autenticación integrado y mecanismos de seguridad incorporados (CSRF, validación de formularios y gestión de sesiones).</w:t>
      </w:r>
      <w:r w:rsidRPr="00201621">
        <w:rPr>
          <w:rFonts w:ascii="Times New Roman" w:hAnsi="Times New Roman" w:cs="Times New Roman"/>
          <w:sz w:val="24"/>
          <w:szCs w:val="24"/>
        </w:rPr>
        <w:br/>
      </w:r>
      <w:r w:rsidRPr="00201621">
        <w:rPr>
          <w:rFonts w:ascii="Times New Roman" w:hAnsi="Times New Roman" w:cs="Times New Roman"/>
          <w:sz w:val="24"/>
          <w:szCs w:val="24"/>
        </w:rPr>
        <w:br/>
        <w:t>Base de Datos: SQLite se utiliza en entorno de desarrollo por su simplicidad y facilidad de configuración. La arquitectura permite migración futura a PostgreSQL sin impacto en los modelos gracias al ORM.</w:t>
      </w:r>
      <w:r w:rsidRPr="00201621">
        <w:rPr>
          <w:rFonts w:ascii="Times New Roman" w:hAnsi="Times New Roman" w:cs="Times New Roman"/>
          <w:sz w:val="24"/>
          <w:szCs w:val="24"/>
        </w:rPr>
        <w:br/>
      </w:r>
      <w:r w:rsidRPr="00201621">
        <w:rPr>
          <w:rFonts w:ascii="Times New Roman" w:hAnsi="Times New Roman" w:cs="Times New Roman"/>
          <w:sz w:val="24"/>
          <w:szCs w:val="24"/>
        </w:rPr>
        <w:lastRenderedPageBreak/>
        <w:br/>
      </w:r>
      <w:proofErr w:type="spellStart"/>
      <w:r w:rsidRPr="00201621">
        <w:rPr>
          <w:rFonts w:ascii="Times New Roman" w:hAnsi="Times New Roman" w:cs="Times New Roman"/>
          <w:sz w:val="24"/>
          <w:szCs w:val="24"/>
        </w:rPr>
        <w:t>Contenerización</w:t>
      </w:r>
      <w:proofErr w:type="spellEnd"/>
      <w:r w:rsidRPr="00201621">
        <w:rPr>
          <w:rFonts w:ascii="Times New Roman" w:hAnsi="Times New Roman" w:cs="Times New Roman"/>
          <w:sz w:val="24"/>
          <w:szCs w:val="24"/>
        </w:rPr>
        <w:t>: Se implementa Docker para garantizar portabilidad, aislamiento de dependencias y reproducibilidad del entorno.</w:t>
      </w:r>
      <w:r w:rsidRPr="00201621">
        <w:rPr>
          <w:rFonts w:ascii="Times New Roman" w:hAnsi="Times New Roman" w:cs="Times New Roman"/>
          <w:sz w:val="24"/>
          <w:szCs w:val="24"/>
        </w:rPr>
        <w:br/>
      </w:r>
      <w:r w:rsidRPr="00201621">
        <w:rPr>
          <w:rFonts w:ascii="Times New Roman" w:hAnsi="Times New Roman" w:cs="Times New Roman"/>
          <w:sz w:val="24"/>
          <w:szCs w:val="24"/>
        </w:rPr>
        <w:br/>
        <w:t xml:space="preserve">Seguridad: Se emplea protección CSRF, validación </w:t>
      </w:r>
      <w:proofErr w:type="spellStart"/>
      <w:r w:rsidRPr="00201621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201621">
        <w:rPr>
          <w:rFonts w:ascii="Times New Roman" w:hAnsi="Times New Roman" w:cs="Times New Roman"/>
          <w:sz w:val="24"/>
          <w:szCs w:val="24"/>
        </w:rPr>
        <w:t xml:space="preserve"> mediante </w:t>
      </w:r>
      <w:proofErr w:type="spellStart"/>
      <w:r w:rsidRPr="00201621">
        <w:rPr>
          <w:rFonts w:ascii="Times New Roman" w:hAnsi="Times New Roman" w:cs="Times New Roman"/>
          <w:sz w:val="24"/>
          <w:szCs w:val="24"/>
        </w:rPr>
        <w:t>ModelForms</w:t>
      </w:r>
      <w:proofErr w:type="spellEnd"/>
      <w:r w:rsidRPr="00201621">
        <w:rPr>
          <w:rFonts w:ascii="Times New Roman" w:hAnsi="Times New Roman" w:cs="Times New Roman"/>
          <w:sz w:val="24"/>
          <w:szCs w:val="24"/>
        </w:rPr>
        <w:t xml:space="preserve"> y restricción de vistas mediante autenticación.</w:t>
      </w:r>
    </w:p>
    <w:p w14:paraId="56CA0485" w14:textId="77777777" w:rsidR="00201621" w:rsidRPr="00201621" w:rsidRDefault="00201621" w:rsidP="00201621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748404AB" w14:textId="77777777" w:rsidR="00201621" w:rsidRPr="00201621" w:rsidRDefault="00201621" w:rsidP="00201621">
      <w:pPr>
        <w:rPr>
          <w:rFonts w:ascii="Times New Roman" w:hAnsi="Times New Roman" w:cs="Times New Roman"/>
          <w:sz w:val="24"/>
          <w:szCs w:val="24"/>
        </w:rPr>
      </w:pPr>
    </w:p>
    <w:p w14:paraId="1BBD6E31" w14:textId="1A2C6CC4" w:rsidR="003C67BC" w:rsidRPr="00201621" w:rsidRDefault="002B22BB" w:rsidP="00201621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201621">
        <w:rPr>
          <w:rFonts w:ascii="Times New Roman" w:hAnsi="Times New Roman" w:cs="Times New Roman"/>
          <w:sz w:val="24"/>
          <w:szCs w:val="24"/>
        </w:rPr>
        <w:t>Escalabilidad y Mejora</w:t>
      </w:r>
      <w:r w:rsidRPr="00201621">
        <w:rPr>
          <w:rFonts w:ascii="Times New Roman" w:hAnsi="Times New Roman" w:cs="Times New Roman"/>
          <w:sz w:val="24"/>
          <w:szCs w:val="24"/>
        </w:rPr>
        <w:br/>
      </w:r>
      <w:r w:rsidRPr="00201621">
        <w:rPr>
          <w:rFonts w:ascii="Times New Roman" w:hAnsi="Times New Roman" w:cs="Times New Roman"/>
          <w:sz w:val="24"/>
          <w:szCs w:val="24"/>
        </w:rPr>
        <w:br/>
        <w:t>- Separación de configuración por entorno (</w:t>
      </w:r>
      <w:proofErr w:type="spellStart"/>
      <w:r w:rsidRPr="00201621">
        <w:rPr>
          <w:rFonts w:ascii="Times New Roman" w:hAnsi="Times New Roman" w:cs="Times New Roman"/>
          <w:sz w:val="24"/>
          <w:szCs w:val="24"/>
        </w:rPr>
        <w:t>dev</w:t>
      </w:r>
      <w:proofErr w:type="spellEnd"/>
      <w:r w:rsidRPr="0020162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01621">
        <w:rPr>
          <w:rFonts w:ascii="Times New Roman" w:hAnsi="Times New Roman" w:cs="Times New Roman"/>
          <w:sz w:val="24"/>
          <w:szCs w:val="24"/>
        </w:rPr>
        <w:t>prod</w:t>
      </w:r>
      <w:proofErr w:type="spellEnd"/>
      <w:r w:rsidRPr="00201621">
        <w:rPr>
          <w:rFonts w:ascii="Times New Roman" w:hAnsi="Times New Roman" w:cs="Times New Roman"/>
          <w:sz w:val="24"/>
          <w:szCs w:val="24"/>
        </w:rPr>
        <w:t>)</w:t>
      </w:r>
      <w:r w:rsidRPr="00201621">
        <w:rPr>
          <w:rFonts w:ascii="Times New Roman" w:hAnsi="Times New Roman" w:cs="Times New Roman"/>
          <w:sz w:val="24"/>
          <w:szCs w:val="24"/>
        </w:rPr>
        <w:br/>
        <w:t>- Uso de variables de entorno (.</w:t>
      </w:r>
      <w:proofErr w:type="spellStart"/>
      <w:r w:rsidRPr="00201621">
        <w:rPr>
          <w:rFonts w:ascii="Times New Roman" w:hAnsi="Times New Roman" w:cs="Times New Roman"/>
          <w:sz w:val="24"/>
          <w:szCs w:val="24"/>
        </w:rPr>
        <w:t>env</w:t>
      </w:r>
      <w:proofErr w:type="spellEnd"/>
      <w:r w:rsidRPr="00201621">
        <w:rPr>
          <w:rFonts w:ascii="Times New Roman" w:hAnsi="Times New Roman" w:cs="Times New Roman"/>
          <w:sz w:val="24"/>
          <w:szCs w:val="24"/>
        </w:rPr>
        <w:t>)</w:t>
      </w:r>
      <w:r w:rsidRPr="00201621">
        <w:rPr>
          <w:rFonts w:ascii="Times New Roman" w:hAnsi="Times New Roman" w:cs="Times New Roman"/>
          <w:sz w:val="24"/>
          <w:szCs w:val="24"/>
        </w:rPr>
        <w:br/>
        <w:t>- Migración a PostgreSQL en producción</w:t>
      </w:r>
      <w:r w:rsidRPr="00201621">
        <w:rPr>
          <w:rFonts w:ascii="Times New Roman" w:hAnsi="Times New Roman" w:cs="Times New Roman"/>
          <w:sz w:val="24"/>
          <w:szCs w:val="24"/>
        </w:rPr>
        <w:br/>
        <w:t xml:space="preserve">- </w:t>
      </w:r>
      <w:proofErr w:type="spellStart"/>
      <w:r w:rsidRPr="00201621">
        <w:rPr>
          <w:rFonts w:ascii="Times New Roman" w:hAnsi="Times New Roman" w:cs="Times New Roman"/>
          <w:sz w:val="24"/>
          <w:szCs w:val="24"/>
        </w:rPr>
        <w:t>Gunicorn</w:t>
      </w:r>
      <w:proofErr w:type="spellEnd"/>
      <w:r w:rsidRPr="00201621">
        <w:rPr>
          <w:rFonts w:ascii="Times New Roman" w:hAnsi="Times New Roman" w:cs="Times New Roman"/>
          <w:sz w:val="24"/>
          <w:szCs w:val="24"/>
        </w:rPr>
        <w:t xml:space="preserve"> como servidor WSGI y </w:t>
      </w:r>
      <w:proofErr w:type="spellStart"/>
      <w:r w:rsidRPr="00201621">
        <w:rPr>
          <w:rFonts w:ascii="Times New Roman" w:hAnsi="Times New Roman" w:cs="Times New Roman"/>
          <w:sz w:val="24"/>
          <w:szCs w:val="24"/>
        </w:rPr>
        <w:t>Nginx</w:t>
      </w:r>
      <w:proofErr w:type="spellEnd"/>
      <w:r w:rsidRPr="00201621">
        <w:rPr>
          <w:rFonts w:ascii="Times New Roman" w:hAnsi="Times New Roman" w:cs="Times New Roman"/>
          <w:sz w:val="24"/>
          <w:szCs w:val="24"/>
        </w:rPr>
        <w:t xml:space="preserve"> como reverse proxy</w:t>
      </w:r>
      <w:r w:rsidRPr="00201621">
        <w:rPr>
          <w:rFonts w:ascii="Times New Roman" w:hAnsi="Times New Roman" w:cs="Times New Roman"/>
          <w:sz w:val="24"/>
          <w:szCs w:val="24"/>
        </w:rPr>
        <w:br/>
        <w:t>- Implementación futura de API REST</w:t>
      </w:r>
      <w:r w:rsidRPr="00201621">
        <w:rPr>
          <w:rFonts w:ascii="Times New Roman" w:hAnsi="Times New Roman" w:cs="Times New Roman"/>
          <w:sz w:val="24"/>
          <w:szCs w:val="24"/>
        </w:rPr>
        <w:br/>
        <w:t>- Incorporación de pruebas automatizadas con métricas de cobertura</w:t>
      </w:r>
    </w:p>
    <w:sectPr w:rsidR="003C67BC" w:rsidRPr="0020162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156805"/>
    <w:multiLevelType w:val="hybridMultilevel"/>
    <w:tmpl w:val="C846C96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5BE77DA"/>
    <w:multiLevelType w:val="hybridMultilevel"/>
    <w:tmpl w:val="86EEE2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1621"/>
    <w:rsid w:val="0029639D"/>
    <w:rsid w:val="002B22BB"/>
    <w:rsid w:val="00326F90"/>
    <w:rsid w:val="003C67B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5CA42E"/>
  <w14:defaultImageDpi w14:val="300"/>
  <w15:docId w15:val="{B6D4673F-D478-4590-A0F1-A8B079339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</Pages>
  <Words>207</Words>
  <Characters>1185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Jesús David Barrios Martinez</cp:lastModifiedBy>
  <cp:revision>2</cp:revision>
  <dcterms:created xsi:type="dcterms:W3CDTF">2013-12-23T23:15:00Z</dcterms:created>
  <dcterms:modified xsi:type="dcterms:W3CDTF">2026-02-18T21:07:00Z</dcterms:modified>
  <cp:category/>
</cp:coreProperties>
</file>