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E3A5F"/>
          <w:sz w:val="56"/>
          <w:szCs w:val="56"/>
        </w:rPr>
        <w:t xml:space="preserve">L.E.A.N. AI SYSTEM</w:t>
      </w:r>
    </w:p>
    <w:p>
      <w:pPr>
        <w:spacing w:after="80" w:before="0"/>
        <w:jc w:val="center"/>
      </w:pPr>
      <w:r>
        <w:rPr>
          <w:rFonts w:ascii="Arial" w:cs="Arial" w:eastAsia="Arial" w:hAnsi="Arial"/>
          <w:color w:val="444444"/>
          <w:sz w:val="30"/>
          <w:szCs w:val="30"/>
        </w:rPr>
        <w:t xml:space="preserve">Documento de Contexto y Estado del Proyecto</w:t>
      </w:r>
    </w:p>
    <w:p>
      <w:pPr>
        <w:spacing w:after="80" w:before="0"/>
        <w:jc w:val="center"/>
      </w:pPr>
      <w:r>
        <w:rPr>
          <w:rFonts w:ascii="Arial" w:cs="Arial" w:eastAsia="Arial" w:hAnsi="Arial"/>
          <w:i/>
          <w:iCs/>
          <w:color w:val="2E75B6"/>
          <w:sz w:val="26"/>
          <w:szCs w:val="26"/>
        </w:rPr>
        <w:t xml:space="preserve">Alpha Consulting Solutions S.L.</w:t>
      </w:r>
    </w:p>
    <w:p>
      <w:pPr>
        <w:spacing w:after="1440" w:before="240"/>
        <w:jc w:val="center"/>
      </w:pPr>
      <w:r>
        <w:rPr>
          <w:rFonts w:ascii="Arial" w:cs="Arial" w:eastAsia="Arial" w:hAnsi="Arial"/>
          <w:color w:val="888888"/>
          <w:sz w:val="20"/>
          <w:szCs w:val="20"/>
        </w:rPr>
        <w:t xml:space="preserve">Versión: Abril 2026  |  Uso interno — transferencia de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3A5F" w:sz="12"/>
              <w:left w:val="none" w:color="FFFFFF" w:sz="0"/>
              <w:bottom w:val="single" w:color="1E3A5F" w:sz="12"/>
              <w:right w:val="none" w:color="FFFFFF" w:sz="0"/>
            </w:tcBorders>
            <w:shd w:fill="D5E8F0" w:val="clear"/>
            <w:tcMar>
              <w:top w:type="dxa" w:w="200"/>
              <w:left w:type="dxa" w:w="300"/>
              <w:bottom w:type="dxa" w:w="200"/>
              <w:right w:type="dxa" w:w="300"/>
            </w:tcMar>
          </w:tcPr>
          <w:p>
            <w:pPr>
              <w:jc w:val="center"/>
            </w:pPr>
            <w:r>
              <w:rPr>
                <w:rFonts w:ascii="Arial" w:cs="Arial" w:eastAsia="Arial" w:hAnsi="Arial"/>
                <w:b/>
                <w:bCs/>
                <w:color w:val="1E3A5F"/>
                <w:sz w:val="22"/>
                <w:szCs w:val="22"/>
              </w:rPr>
              <w:t xml:space="preserve">PROPÓSITO DE ESTE DOCUMENTO</w:t>
            </w:r>
          </w:p>
          <w:p>
            <w:pPr>
              <w:spacing w:before="100"/>
              <w:jc w:val="center"/>
            </w:pPr>
            <w:r>
              <w:rPr>
                <w:rFonts w:ascii="Arial" w:cs="Arial" w:eastAsia="Arial" w:hAnsi="Arial"/>
                <w:sz w:val="20"/>
                <w:szCs w:val="20"/>
              </w:rPr>
              <w:t xml:space="preserve">Este documento ha sido generado para trasladar el contexto completo del proyecto a una nueva instancia o cuenta de trabajo. Recoge el estado actual del producto, las decisiones de arquitectura tomadas, los pendientes abiertos y las instrucciones de continuación.</w:t>
            </w:r>
          </w:p>
        </w:tc>
      </w:tr>
    </w:tbl>
    <w:p>
      <w:r>
        <w:br w:type="page"/>
      </w:r>
    </w:p>
    <w:p>
      <w:pPr>
        <w:pStyle w:val="Heading1"/>
        <w:spacing w:after="120" w:before="360"/>
      </w:pPr>
      <w:r>
        <w:rPr>
          <w:rFonts w:ascii="Arial" w:cs="Arial" w:eastAsia="Arial" w:hAnsi="Arial"/>
          <w:b/>
          <w:bCs/>
          <w:color w:val="1E3A5F"/>
          <w:sz w:val="32"/>
          <w:szCs w:val="32"/>
        </w:rPr>
        <w:t xml:space="preserve">1. Identidad del Producto</w:t>
      </w:r>
    </w:p>
    <w:p>
      <w:pPr>
        <w:pBdr>
          <w:bottom w:val="single" w:color="2E75B6" w:sz="4" w:space="1"/>
        </w:pBdr>
        <w:spacing w:after="160" w:before="160"/>
      </w:pPr>
      <w:r>
        <w:t xml:space="preserve"/>
      </w:r>
    </w:p>
    <w:p>
      <w:pPr>
        <w:spacing w:after="0" w:before="0"/>
      </w:pPr>
      <w:r>
        <w:rPr>
          <w:sz w:val="22"/>
          <w:szCs w:val="22"/>
        </w:rPr>
        <w:t xml:space="preserve"/>
      </w:r>
    </w:p>
    <w:p>
      <w:pPr>
        <w:pStyle w:val="Heading2"/>
        <w:spacing w:after="100" w:before="280"/>
      </w:pPr>
      <w:r>
        <w:rPr>
          <w:rFonts w:ascii="Arial" w:cs="Arial" w:eastAsia="Arial" w:hAnsi="Arial"/>
          <w:b/>
          <w:bCs/>
          <w:color w:val="2E75B6"/>
          <w:sz w:val="26"/>
          <w:szCs w:val="26"/>
        </w:rPr>
        <w:t xml:space="preserve">1.1 Qué es L.E.A.N. AI System</w:t>
      </w:r>
    </w:p>
    <w:p>
      <w:pPr>
        <w:spacing w:after="80" w:before="80"/>
      </w:pPr>
      <w:r>
        <w:rPr>
          <w:rFonts w:ascii="Arial" w:cs="Arial" w:eastAsia="Arial" w:hAnsi="Arial"/>
          <w:sz w:val="22"/>
          <w:szCs w:val="22"/>
        </w:rPr>
        <w:t xml:space="preserve">L.E.A.N. AI System es la metodología propietaria de Alpha Consulting Solutions S.L. para la adopción de inteligencia artificial en empresas B2B de tamaño medio-grande. No es un producto de software estándar: es una herramienta de consultoría estructurada que guía a los equipos directivos desde el diagnóstico inicial hasta la normalización del uso de IA en operaciones reales.</w:t>
      </w:r>
    </w:p>
    <w:p>
      <w:pPr>
        <w:spacing w:after="0" w:before="0"/>
      </w:pPr>
      <w:r>
        <w:rPr>
          <w:sz w:val="22"/>
          <w:szCs w:val="22"/>
        </w:rPr>
        <w:t xml:space="preserve"/>
      </w:r>
    </w:p>
    <w:p>
      <w:pPr>
        <w:spacing w:after="80" w:before="80"/>
      </w:pPr>
      <w:r>
        <w:rPr>
          <w:rFonts w:ascii="Arial" w:cs="Arial" w:eastAsia="Arial" w:hAnsi="Arial"/>
          <w:b/>
          <w:bCs/>
          <w:sz w:val="22"/>
          <w:szCs w:val="22"/>
        </w:rPr>
        <w:t xml:space="preserve">El acrónimo L.E.A.N. AI define las cuatro fases del proceso:</w:t>
      </w:r>
    </w:p>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426"/>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Letra</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54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4"/>
                <w:szCs w:val="24"/>
              </w:rPr>
              <w:t xml:space="preserv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Listen</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Diagnóstico de madurez digital y escucha de la organización. Identificación de stakeholders clave y contexto de partida.</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4"/>
                <w:szCs w:val="24"/>
              </w:rPr>
              <w:t xml:space="preserve">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Evaluate</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Evaluación de oportunidades de IA, priorización de casos de uso y análisis de viabilidad técnica y organizativa.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4"/>
                <w:szCs w:val="24"/>
              </w:rPr>
              <w:t xml:space="preserve">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Activate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Activación de pilotos concretos. Diseño, desarrollo y lanzamiento de los casos de uso seleccionados.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4"/>
                <w:szCs w:val="24"/>
              </w:rPr>
              <w:t xml:space="preserve">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Normalize</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Normalización de la IA en las operaciones. Escalado, formación y governance para que el uso de IA sea sostenible.</w:t>
            </w:r>
          </w:p>
        </w:tc>
      </w:tr>
    </w:tbl>
    <w:p>
      <w:pPr>
        <w:spacing w:after="0" w:before="0"/>
      </w:pPr>
      <w:r>
        <w:rPr>
          <w:sz w:val="44"/>
          <w:szCs w:val="44"/>
        </w:rPr>
        <w:t xml:space="preserve"/>
      </w:r>
    </w:p>
    <w:p>
      <w:pPr>
        <w:pStyle w:val="Heading2"/>
        <w:spacing w:after="100" w:before="280"/>
      </w:pPr>
      <w:r>
        <w:rPr>
          <w:rFonts w:ascii="Arial" w:cs="Arial" w:eastAsia="Arial" w:hAnsi="Arial"/>
          <w:b/>
          <w:bCs/>
          <w:color w:val="2E75B6"/>
          <w:sz w:val="26"/>
          <w:szCs w:val="26"/>
        </w:rPr>
        <w:t xml:space="preserve">1.2 Estructura del producto</w:t>
      </w:r>
    </w:p>
    <w:p>
      <w:pPr>
        <w:spacing w:after="80" w:before="80"/>
      </w:pPr>
      <w:r>
        <w:rPr>
          <w:rFonts w:ascii="Arial" w:cs="Arial" w:eastAsia="Arial" w:hAnsi="Arial"/>
          <w:sz w:val="22"/>
          <w:szCs w:val="22"/>
        </w:rPr>
        <w:t xml:space="preserve">El sistema se articula en torno a 12 herramientas propietarias, 3 por cada fase, distribuidas en un sprint de referencia de 6 meses. Estas herramientas son los entregables concretos que Alpha Consulting desarrolla y aplica con cada cliente.</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b w:val="false"/>
          <w:bCs w:val="false"/>
          <w:sz w:val="22"/>
          <w:szCs w:val="22"/>
        </w:rPr>
        <w:t xml:space="preserve">12 herramientas propietarias (3 por fase)</w:t>
      </w:r>
    </w:p>
    <w:p>
      <w:pPr>
        <w:pStyle w:val="ListParagraph"/>
        <w:numPr>
          <w:ilvl w:val="0"/>
          <w:numId w:val="2"/>
        </w:numPr>
        <w:spacing w:after="40" w:before="40"/>
      </w:pPr>
      <w:r>
        <w:rPr>
          <w:rFonts w:ascii="Arial" w:cs="Arial" w:eastAsia="Arial" w:hAnsi="Arial"/>
          <w:b w:val="false"/>
          <w:bCs w:val="false"/>
          <w:sz w:val="22"/>
          <w:szCs w:val="22"/>
        </w:rPr>
        <w:t xml:space="preserve">5 arquetipos de stakeholders definidos (CIO, COO, Director General, y otros)</w:t>
      </w:r>
    </w:p>
    <w:p>
      <w:pPr>
        <w:pStyle w:val="ListParagraph"/>
        <w:numPr>
          <w:ilvl w:val="0"/>
          <w:numId w:val="2"/>
        </w:numPr>
        <w:spacing w:after="40" w:before="40"/>
      </w:pPr>
      <w:r>
        <w:rPr>
          <w:rFonts w:ascii="Arial" w:cs="Arial" w:eastAsia="Arial" w:hAnsi="Arial"/>
          <w:b w:val="false"/>
          <w:bCs w:val="false"/>
          <w:sz w:val="22"/>
          <w:szCs w:val="22"/>
        </w:rPr>
        <w:t xml:space="preserve">Sprint de referencia: 6 meses por cliente</w:t>
      </w:r>
    </w:p>
    <w:p>
      <w:pPr>
        <w:pStyle w:val="ListParagraph"/>
        <w:numPr>
          <w:ilvl w:val="0"/>
          <w:numId w:val="2"/>
        </w:numPr>
        <w:spacing w:after="40" w:before="40"/>
      </w:pPr>
      <w:r>
        <w:rPr>
          <w:rFonts w:ascii="Arial" w:cs="Arial" w:eastAsia="Arial" w:hAnsi="Arial"/>
          <w:b w:val="false"/>
          <w:bCs w:val="false"/>
          <w:sz w:val="22"/>
          <w:szCs w:val="22"/>
        </w:rPr>
        <w:t xml:space="preserve">Servicios ancla: IT Governance, CIO Office-as-a-Service, Vendor Management, Data Journey Management</w:t>
      </w:r>
    </w:p>
    <w:p>
      <w:pPr>
        <w:spacing w:after="0" w:before="0"/>
      </w:pPr>
      <w:r>
        <w:rPr>
          <w:sz w:val="22"/>
          <w:szCs w:val="22"/>
        </w:rPr>
        <w:t xml:space="preserve"/>
      </w:r>
    </w:p>
    <w:p>
      <w:pPr>
        <w:pStyle w:val="Heading2"/>
        <w:spacing w:after="100" w:before="280"/>
      </w:pPr>
      <w:r>
        <w:rPr>
          <w:rFonts w:ascii="Arial" w:cs="Arial" w:eastAsia="Arial" w:hAnsi="Arial"/>
          <w:b/>
          <w:bCs/>
          <w:color w:val="2E75B6"/>
          <w:sz w:val="26"/>
          <w:szCs w:val="26"/>
        </w:rPr>
        <w:t xml:space="preserve">1.3 Mercado objetivo</w:t>
      </w:r>
    </w:p>
    <w:p>
      <w:pPr>
        <w:pStyle w:val="ListParagraph"/>
        <w:numPr>
          <w:ilvl w:val="0"/>
          <w:numId w:val="2"/>
        </w:numPr>
        <w:spacing w:after="40" w:before="40"/>
      </w:pPr>
      <w:r>
        <w:rPr>
          <w:rFonts w:ascii="Arial" w:cs="Arial" w:eastAsia="Arial" w:hAnsi="Arial"/>
          <w:b w:val="false"/>
          <w:bCs w:val="false"/>
          <w:sz w:val="22"/>
          <w:szCs w:val="22"/>
        </w:rPr>
        <w:t xml:space="preserve">Empresas B2B de tamaño medio-grande en España y Europa</w:t>
      </w:r>
    </w:p>
    <w:p>
      <w:pPr>
        <w:pStyle w:val="ListParagraph"/>
        <w:numPr>
          <w:ilvl w:val="0"/>
          <w:numId w:val="2"/>
        </w:numPr>
        <w:spacing w:after="40" w:before="40"/>
      </w:pPr>
      <w:r>
        <w:rPr>
          <w:rFonts w:ascii="Arial" w:cs="Arial" w:eastAsia="Arial" w:hAnsi="Arial"/>
          <w:b w:val="false"/>
          <w:bCs w:val="false"/>
          <w:sz w:val="22"/>
          <w:szCs w:val="22"/>
        </w:rPr>
        <w:t xml:space="preserve">Interlocutores principales: CIOs, COOs, Directores Generales</w:t>
      </w:r>
    </w:p>
    <w:p>
      <w:pPr>
        <w:pStyle w:val="ListParagraph"/>
        <w:numPr>
          <w:ilvl w:val="0"/>
          <w:numId w:val="2"/>
        </w:numPr>
        <w:spacing w:after="40" w:before="40"/>
      </w:pPr>
      <w:r>
        <w:rPr>
          <w:rFonts w:ascii="Arial" w:cs="Arial" w:eastAsia="Arial" w:hAnsi="Arial"/>
          <w:b w:val="false"/>
          <w:bCs w:val="false"/>
          <w:sz w:val="22"/>
          <w:szCs w:val="22"/>
        </w:rPr>
        <w:t xml:space="preserve">Momento de entrada: empresas con madurez tecnológica suficiente pero sin metodología estructurada de IA</w:t>
      </w:r>
    </w:p>
    <w:p>
      <w:r>
        <w:br w:type="page"/>
      </w:r>
    </w:p>
    <w:p>
      <w:pPr>
        <w:pStyle w:val="Heading1"/>
        <w:spacing w:after="120" w:before="360"/>
      </w:pPr>
      <w:r>
        <w:rPr>
          <w:rFonts w:ascii="Arial" w:cs="Arial" w:eastAsia="Arial" w:hAnsi="Arial"/>
          <w:b/>
          <w:bCs/>
          <w:color w:val="1E3A5F"/>
          <w:sz w:val="32"/>
          <w:szCs w:val="32"/>
        </w:rPr>
        <w:t xml:space="preserve">2. Estado Actual del Software</w:t>
      </w:r>
    </w:p>
    <w:p>
      <w:pPr>
        <w:pBdr>
          <w:bottom w:val="single" w:color="2E75B6" w:sz="4" w:space="1"/>
        </w:pBdr>
        <w:spacing w:after="160" w:before="160"/>
      </w:pPr>
      <w:r>
        <w:t xml:space="preserve"/>
      </w:r>
    </w:p>
    <w:p>
      <w:pPr>
        <w:spacing w:after="0" w:before="0"/>
      </w:pPr>
      <w:r>
        <w:rPr>
          <w:sz w:val="22"/>
          <w:szCs w:val="22"/>
        </w:rPr>
        <w:t xml:space="preserve"/>
      </w:r>
    </w:p>
    <w:p>
      <w:pPr>
        <w:pStyle w:val="Heading2"/>
        <w:spacing w:after="100" w:before="280"/>
      </w:pPr>
      <w:r>
        <w:rPr>
          <w:rFonts w:ascii="Arial" w:cs="Arial" w:eastAsia="Arial" w:hAnsi="Arial"/>
          <w:b/>
          <w:bCs/>
          <w:color w:val="2E75B6"/>
          <w:sz w:val="26"/>
          <w:szCs w:val="26"/>
        </w:rPr>
        <w:t xml:space="preserve">2.1 Naturaleza del software</w:t>
      </w:r>
    </w:p>
    <w:p>
      <w:pPr>
        <w:spacing w:after="80" w:before="80"/>
      </w:pPr>
      <w:r>
        <w:rPr>
          <w:rFonts w:ascii="Arial" w:cs="Arial" w:eastAsia="Arial" w:hAnsi="Arial"/>
          <w:sz w:val="22"/>
          <w:szCs w:val="22"/>
        </w:rPr>
        <w:t xml:space="preserve">El L.E.A.N. AI System existe también como una aplicación web que Carlos (fundador de Alpha Consulting) está desarrollando en colaboración con Claude como co-arquitecto técnico. Esta aplicación es la materialización digital de la metodología: permite gestionar cada fase y herramienta de forma estructurada para los clientes activos.</w:t>
      </w:r>
    </w:p>
    <w:p>
      <w:pPr>
        <w:spacing w:after="0" w:before="0"/>
      </w:pPr>
      <w:r>
        <w:rPr>
          <w:sz w:val="22"/>
          <w:szCs w:val="22"/>
        </w:rPr>
        <w:t xml:space="preserve"/>
      </w:r>
    </w:p>
    <w:p>
      <w:pPr>
        <w:pStyle w:val="Heading2"/>
        <w:spacing w:after="100" w:before="280"/>
      </w:pPr>
      <w:r>
        <w:rPr>
          <w:rFonts w:ascii="Arial" w:cs="Arial" w:eastAsia="Arial" w:hAnsi="Arial"/>
          <w:b/>
          <w:bCs/>
          <w:color w:val="2E75B6"/>
          <w:sz w:val="26"/>
          <w:szCs w:val="26"/>
        </w:rPr>
        <w:t xml:space="preserve">2.2 Estado de desarrollo por fases</w:t>
      </w:r>
    </w:p>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500"/>
        <w:gridCol w:w="2326"/>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Herramientas (3 por fase)</w:t>
            </w:r>
          </w:p>
        </w:tc>
        <w:tc>
          <w:tcPr>
            <w:tcW w:type="dxa" w:w="23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Estado MVP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Herramientas 1, 2, 3 — nombres exactos en el Proyecto</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20"/>
                <w:szCs w:val="20"/>
              </w:rPr>
              <w:t xml:space="preserve">MVP desarrollados (incluidos en los 7)</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Evaluate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Herramientas 4, 5, 6 — nombres exactos en el Proyecto</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D32"/>
                <w:sz w:val="20"/>
                <w:szCs w:val="20"/>
              </w:rPr>
              <w:t xml:space="preserve">MVP desarrollados (parcial o total)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Herramientas 7, 8, 9 — nombres exactos en el Proyecto</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65100"/>
                <w:sz w:val="20"/>
                <w:szCs w:val="20"/>
              </w:rPr>
              <w:t xml:space="preserve">En desarrollo / pendiente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Normalize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Herramientas 10, 11, 12 — nombres exactos en el Proyecto</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62828"/>
                <w:sz w:val="20"/>
                <w:szCs w:val="20"/>
              </w:rPr>
              <w:t xml:space="preserve">Pendiente de desarrollar</w:t>
            </w:r>
          </w:p>
        </w:tc>
      </w:tr>
    </w:tbl>
    <w:p>
      <w:pPr>
        <w:spacing w:after="0" w:before="0"/>
      </w:pPr>
      <w:r>
        <w:rPr>
          <w:sz w:val="44"/>
          <w:szCs w:val="4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E8A020" w:sz="12"/>
              <w:bottom w:val="single" w:color="CCCCCC" w:sz="1"/>
              <w:right w:val="single" w:color="CCCCCC" w:sz="1"/>
            </w:tcBorders>
            <w:shd w:fill="FFF8E8" w:val="clear"/>
            <w:tcMar>
              <w:top w:type="dxa" w:w="100"/>
              <w:left w:type="dxa" w:w="180"/>
              <w:bottom w:type="dxa" w:w="100"/>
              <w:right w:type="dxa" w:w="120"/>
            </w:tcMar>
          </w:tcPr>
          <w:p>
            <w:r>
              <w:rPr>
                <w:rFonts w:ascii="Arial" w:cs="Arial" w:eastAsia="Arial" w:hAnsi="Arial"/>
                <w:i/>
                <w:iCs/>
                <w:sz w:val="20"/>
                <w:szCs w:val="20"/>
              </w:rPr>
              <w:t xml:space="preserve">NOTA: Los nombres exactos de cada herramienta y cuáles de las 7 están completas vs. en progreso deben consultarse directamente en el Proyecto original de Claude. Este documento recoge la estructura confirmada pero no el detalle interno del código.</w:t>
            </w:r>
          </w:p>
        </w:tc>
      </w:tr>
    </w:tbl>
    <w:p>
      <w:pPr>
        <w:spacing w:after="0" w:before="0"/>
      </w:pPr>
      <w:r>
        <w:rPr>
          <w:sz w:val="44"/>
          <w:szCs w:val="44"/>
        </w:rPr>
        <w:t xml:space="preserve"/>
      </w:r>
    </w:p>
    <w:p>
      <w:pPr>
        <w:pStyle w:val="Heading2"/>
        <w:spacing w:after="100" w:before="280"/>
      </w:pPr>
      <w:r>
        <w:rPr>
          <w:rFonts w:ascii="Arial" w:cs="Arial" w:eastAsia="Arial" w:hAnsi="Arial"/>
          <w:b/>
          <w:bCs/>
          <w:color w:val="2E75B6"/>
          <w:sz w:val="26"/>
          <w:szCs w:val="26"/>
        </w:rPr>
        <w:t xml:space="preserve">2.3 Cifras clave del estado actual</w:t>
      </w:r>
    </w:p>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Herramientas MVP</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de 12 herramientas desarrolladas en modo MVP</w:t>
            </w:r>
          </w:p>
        </w:tc>
      </w:tr>
    </w:tbl>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Pendientes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herramientas por desarrollar desde cero</w:t>
            </w:r>
          </w:p>
        </w:tc>
      </w:tr>
    </w:tbl>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Stack técnico</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 Tailwind / HTML · Supabase (PostgreSQL) · Vercel · SheetJS</w:t>
            </w:r>
          </w:p>
        </w:tc>
      </w:tr>
    </w:tbl>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Coste hosting</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0 €/mes (plan gratuito de Supabase + Vercel)</w:t>
            </w:r>
          </w:p>
        </w:tc>
      </w:tr>
    </w:tbl>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Usuarios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Carlos (fundador/técnico) — uso interno Alpha Consulting</w:t>
            </w:r>
          </w:p>
        </w:tc>
      </w:tr>
    </w:tbl>
    <w:p>
      <w:pPr>
        <w:spacing w:after="0" w:before="0"/>
      </w:pPr>
      <w:r>
        <w:rPr>
          <w:sz w:val="44"/>
          <w:szCs w:val="44"/>
        </w:rPr>
        <w:t xml:space="preserve"/>
      </w:r>
    </w:p>
    <w:p>
      <w:pPr>
        <w:pStyle w:val="Heading2"/>
        <w:spacing w:after="100" w:before="280"/>
      </w:pPr>
      <w:r>
        <w:rPr>
          <w:rFonts w:ascii="Arial" w:cs="Arial" w:eastAsia="Arial" w:hAnsi="Arial"/>
          <w:b/>
          <w:bCs/>
          <w:color w:val="2E75B6"/>
          <w:sz w:val="26"/>
          <w:szCs w:val="26"/>
        </w:rPr>
        <w:t xml:space="preserve">2.4 Stack tecnológico confirmado</w:t>
      </w:r>
    </w:p>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45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 en el sistema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React + Tailwind CSS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Interfaz de usuario. Componentes por módulo/herramienta.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Base de datos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5B6"/>
                <w:sz w:val="20"/>
                <w:szCs w:val="20"/>
              </w:rPr>
              <w:t xml:space="preserve">Supabase (PostgreSQL)</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Fuente única de verdad. Datos compartidos entre módulos.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Hosting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Vercel</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Despliegue automático desde GitHub. Plan gratuito.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Gráficos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5B6"/>
                <w:sz w:val="20"/>
                <w:szCs w:val="20"/>
              </w:rPr>
              <w:t xml:space="preserve">Recharts</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Visualizaciones dentro de la app.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Excel/CSV</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SheetJS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Importación y exportación de datos desde la app.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Repositorio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5B6"/>
                <w:sz w:val="20"/>
                <w:szCs w:val="20"/>
              </w:rPr>
              <w:t xml:space="preserve">GitHub</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Control de versiones. Estructura multi-archivo/módulo.</w:t>
            </w:r>
          </w:p>
        </w:tc>
      </w:tr>
    </w:tbl>
    <w:p>
      <w:r>
        <w:br w:type="page"/>
      </w:r>
    </w:p>
    <w:p>
      <w:pPr>
        <w:pStyle w:val="Heading1"/>
        <w:spacing w:after="120" w:before="360"/>
      </w:pPr>
      <w:r>
        <w:rPr>
          <w:rFonts w:ascii="Arial" w:cs="Arial" w:eastAsia="Arial" w:hAnsi="Arial"/>
          <w:b/>
          <w:bCs/>
          <w:color w:val="1E3A5F"/>
          <w:sz w:val="32"/>
          <w:szCs w:val="32"/>
        </w:rPr>
        <w:t xml:space="preserve">3. Decisiones de Arquitectura</w:t>
      </w:r>
    </w:p>
    <w:p>
      <w:pPr>
        <w:pBdr>
          <w:bottom w:val="single" w:color="2E75B6" w:sz="4" w:space="1"/>
        </w:pBdr>
        <w:spacing w:after="160" w:before="160"/>
      </w:pPr>
      <w:r>
        <w:t xml:space="preserve"/>
      </w:r>
    </w:p>
    <w:p>
      <w:pPr>
        <w:spacing w:after="0" w:before="0"/>
      </w:pPr>
      <w:r>
        <w:rPr>
          <w:sz w:val="22"/>
          <w:szCs w:val="22"/>
        </w:rPr>
        <w:t xml:space="preserve"/>
      </w:r>
    </w:p>
    <w:p>
      <w:pPr>
        <w:spacing w:after="80" w:before="80"/>
      </w:pPr>
      <w:r>
        <w:rPr>
          <w:rFonts w:ascii="Arial" w:cs="Arial" w:eastAsia="Arial" w:hAnsi="Arial"/>
          <w:b/>
          <w:bCs/>
          <w:sz w:val="22"/>
          <w:szCs w:val="22"/>
        </w:rPr>
        <w:t xml:space="preserve">La última conversación técnica relevante giró en torno a una sesión de arquitectura que quedó PENDIENTE DE EJECUTAR. A continuación se recogen las decisiones ya tomadas y los problemas abiertos que motivaron esa sesión.</w:t>
      </w:r>
    </w:p>
    <w:p>
      <w:pPr>
        <w:spacing w:after="0" w:before="0"/>
      </w:pPr>
      <w:r>
        <w:rPr>
          <w:sz w:val="44"/>
          <w:szCs w:val="44"/>
        </w:rPr>
        <w:t xml:space="preserve"/>
      </w:r>
    </w:p>
    <w:p>
      <w:pPr>
        <w:pStyle w:val="Heading2"/>
        <w:spacing w:after="100" w:before="280"/>
      </w:pPr>
      <w:r>
        <w:rPr>
          <w:rFonts w:ascii="Arial" w:cs="Arial" w:eastAsia="Arial" w:hAnsi="Arial"/>
          <w:b/>
          <w:bCs/>
          <w:color w:val="2E75B6"/>
          <w:sz w:val="26"/>
          <w:szCs w:val="26"/>
        </w:rPr>
        <w:t xml:space="preserve">3.1 Problema identificado: archivo monolítico</w:t>
      </w:r>
    </w:p>
    <w:p>
      <w:pPr>
        <w:spacing w:after="80" w:before="80"/>
      </w:pPr>
      <w:r>
        <w:rPr>
          <w:rFonts w:ascii="Arial" w:cs="Arial" w:eastAsia="Arial" w:hAnsi="Arial"/>
          <w:sz w:val="22"/>
          <w:szCs w:val="22"/>
        </w:rPr>
        <w:t xml:space="preserve">El estado de partida es un único archivo HTML/React de gran tamaño (aprox. 2,5 MB) que contiene las 7 herramientas MVP. Este enfoque generó dos problemas concretos:</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b w:val="false"/>
          <w:bCs w:val="false"/>
          <w:sz w:val="22"/>
          <w:szCs w:val="22"/>
        </w:rPr>
        <w:t xml:space="preserve">Límite de contexto de Claude: al traer el archivo completo a una conversación, se agota el contexto disponible antes de poder trabajar con él.</w:t>
      </w:r>
    </w:p>
    <w:p>
      <w:pPr>
        <w:pStyle w:val="ListParagraph"/>
        <w:numPr>
          <w:ilvl w:val="0"/>
          <w:numId w:val="2"/>
        </w:numPr>
        <w:spacing w:after="40" w:before="40"/>
      </w:pPr>
      <w:r>
        <w:rPr>
          <w:rFonts w:ascii="Arial" w:cs="Arial" w:eastAsia="Arial" w:hAnsi="Arial"/>
          <w:b w:val="false"/>
          <w:bCs w:val="false"/>
          <w:sz w:val="22"/>
          <w:szCs w:val="22"/>
        </w:rPr>
        <w:t xml:space="preserve">Escalabilidad nula: añadir las 5 herramientas restantes al mismo archivo haría el problema irresoluble.</w:t>
      </w:r>
    </w:p>
    <w:p>
      <w:pPr>
        <w:spacing w:after="0" w:before="0"/>
      </w:pPr>
      <w:r>
        <w:rPr>
          <w:sz w:val="22"/>
          <w:szCs w:val="22"/>
        </w:rPr>
        <w:t xml:space="preserve"/>
      </w:r>
    </w:p>
    <w:p>
      <w:pPr>
        <w:pStyle w:val="Heading2"/>
        <w:spacing w:after="100" w:before="280"/>
      </w:pPr>
      <w:r>
        <w:rPr>
          <w:rFonts w:ascii="Arial" w:cs="Arial" w:eastAsia="Arial" w:hAnsi="Arial"/>
          <w:b/>
          <w:bCs/>
          <w:color w:val="2E75B6"/>
          <w:sz w:val="26"/>
          <w:szCs w:val="26"/>
        </w:rPr>
        <w:t xml:space="preserve">3.2 Decisión adoptada: arquitectura modular</w:t>
      </w:r>
    </w:p>
    <w:p>
      <w:pPr>
        <w:spacing w:after="80" w:before="80"/>
      </w:pPr>
      <w:r>
        <w:rPr>
          <w:rFonts w:ascii="Arial" w:cs="Arial" w:eastAsia="Arial" w:hAnsi="Arial"/>
          <w:sz w:val="22"/>
          <w:szCs w:val="22"/>
        </w:rPr>
        <w:t xml:space="preserve">Se acordó migrar a una arquitectura multi-archivo antes de desarrollar las 5 herramientas restantes. La estructura objetivo es:</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b w:val="false"/>
          <w:bCs w:val="false"/>
          <w:sz w:val="22"/>
          <w:szCs w:val="22"/>
        </w:rPr>
        <w:t xml:space="preserve">Un archivo principal (index/shell) que actúa como esqueleto ligero y enruta a los módulos</w:t>
      </w:r>
    </w:p>
    <w:p>
      <w:pPr>
        <w:pStyle w:val="ListParagraph"/>
        <w:numPr>
          <w:ilvl w:val="0"/>
          <w:numId w:val="2"/>
        </w:numPr>
        <w:spacing w:after="40" w:before="40"/>
      </w:pPr>
      <w:r>
        <w:rPr>
          <w:rFonts w:ascii="Arial" w:cs="Arial" w:eastAsia="Arial" w:hAnsi="Arial"/>
          <w:b w:val="false"/>
          <w:bCs w:val="false"/>
          <w:sz w:val="22"/>
          <w:szCs w:val="22"/>
        </w:rPr>
        <w:t xml:space="preserve">Un archivo independiente por herramienta (12 módulos en total)</w:t>
      </w:r>
    </w:p>
    <w:p>
      <w:pPr>
        <w:pStyle w:val="ListParagraph"/>
        <w:numPr>
          <w:ilvl w:val="0"/>
          <w:numId w:val="2"/>
        </w:numPr>
        <w:spacing w:after="40" w:before="40"/>
      </w:pPr>
      <w:r>
        <w:rPr>
          <w:rFonts w:ascii="Arial" w:cs="Arial" w:eastAsia="Arial" w:hAnsi="Arial"/>
          <w:b w:val="false"/>
          <w:bCs w:val="false"/>
          <w:sz w:val="22"/>
          <w:szCs w:val="22"/>
        </w:rPr>
        <w:t xml:space="preserve">Una capa de datos central en Supabase — fuente única de verdad para todos los módulos</w:t>
      </w:r>
    </w:p>
    <w:p>
      <w:pPr>
        <w:spacing w:after="0" w:before="0"/>
      </w:pPr>
      <w:r>
        <w:rPr>
          <w:sz w:val="22"/>
          <w:szCs w:val="22"/>
        </w:rPr>
        <w:t xml:space="preserve"/>
      </w:r>
    </w:p>
    <w:p>
      <w:pPr>
        <w:spacing w:after="80" w:before="80"/>
      </w:pPr>
      <w:r>
        <w:rPr>
          <w:rFonts w:ascii="Arial" w:cs="Arial" w:eastAsia="Arial" w:hAnsi="Arial"/>
          <w:sz w:val="22"/>
          <w:szCs w:val="22"/>
        </w:rPr>
        <w:t xml:space="preserve">Ventaja operativa: en cada sesión de trabajo con Claude, solo se trae el módulo afectado, no el sistema completo.</w:t>
      </w:r>
    </w:p>
    <w:p>
      <w:pPr>
        <w:spacing w:after="0" w:before="0"/>
      </w:pPr>
      <w:r>
        <w:rPr>
          <w:sz w:val="44"/>
          <w:szCs w:val="44"/>
        </w:rPr>
        <w:t xml:space="preserve"/>
      </w:r>
    </w:p>
    <w:p>
      <w:pPr>
        <w:pStyle w:val="Heading2"/>
        <w:spacing w:after="100" w:before="280"/>
      </w:pPr>
      <w:r>
        <w:rPr>
          <w:rFonts w:ascii="Arial" w:cs="Arial" w:eastAsia="Arial" w:hAnsi="Arial"/>
          <w:b/>
          <w:bCs/>
          <w:color w:val="2E75B6"/>
          <w:sz w:val="26"/>
          <w:szCs w:val="26"/>
        </w:rPr>
        <w:t xml:space="preserve">3.3 Capa de datos compartida — principio clave</w:t>
      </w:r>
    </w:p>
    <w:p>
      <w:pPr>
        <w:spacing w:after="80" w:before="80"/>
      </w:pPr>
      <w:r>
        <w:rPr>
          <w:rFonts w:ascii="Arial" w:cs="Arial" w:eastAsia="Arial" w:hAnsi="Arial"/>
          <w:sz w:val="22"/>
          <w:szCs w:val="22"/>
        </w:rPr>
        <w:t xml:space="preserve">Requerimiento explícito de Carlos: los módulos deben compartir datos de forma coherente. Ciertos datos son comunes a varias herramientas; otros alimentan herramientas específicas.</w:t>
      </w:r>
    </w:p>
    <w:p>
      <w:pPr>
        <w:spacing w:after="0" w:before="0"/>
      </w:pPr>
      <w:r>
        <w:rPr>
          <w:sz w:val="22"/>
          <w:szCs w:val="22"/>
        </w:rPr>
        <w:t xml:space="preserve"/>
      </w:r>
    </w:p>
    <w:p>
      <w:pPr>
        <w:spacing w:after="80" w:before="80"/>
      </w:pPr>
      <w:r>
        <w:rPr>
          <w:rFonts w:ascii="Arial" w:cs="Arial" w:eastAsia="Arial" w:hAnsi="Arial"/>
          <w:b/>
          <w:bCs/>
          <w:sz w:val="22"/>
          <w:szCs w:val="22"/>
        </w:rPr>
        <w:t xml:space="preserve">Decisión de arquitectura:</w:t>
      </w:r>
    </w:p>
    <w:p>
      <w:pPr>
        <w:pStyle w:val="ListParagraph"/>
        <w:numPr>
          <w:ilvl w:val="0"/>
          <w:numId w:val="2"/>
        </w:numPr>
        <w:spacing w:after="40" w:before="40"/>
      </w:pPr>
      <w:r>
        <w:rPr>
          <w:rFonts w:ascii="Arial" w:cs="Arial" w:eastAsia="Arial" w:hAnsi="Arial"/>
          <w:b w:val="false"/>
          <w:bCs w:val="false"/>
          <w:sz w:val="22"/>
          <w:szCs w:val="22"/>
        </w:rPr>
        <w:t xml:space="preserve">Los módulos NO se pasan datos entre ellos directamente</w:t>
      </w:r>
    </w:p>
    <w:p>
      <w:pPr>
        <w:pStyle w:val="ListParagraph"/>
        <w:numPr>
          <w:ilvl w:val="0"/>
          <w:numId w:val="2"/>
        </w:numPr>
        <w:spacing w:after="40" w:before="40"/>
      </w:pPr>
      <w:r>
        <w:rPr>
          <w:rFonts w:ascii="Arial" w:cs="Arial" w:eastAsia="Arial" w:hAnsi="Arial"/>
          <w:b w:val="false"/>
          <w:bCs w:val="false"/>
          <w:sz w:val="22"/>
          <w:szCs w:val="22"/>
        </w:rPr>
        <w:t xml:space="preserve">Todos los módulos leen y escriben en Supabase como única fuente</w:t>
      </w:r>
    </w:p>
    <w:p>
      <w:pPr>
        <w:pStyle w:val="ListParagraph"/>
        <w:numPr>
          <w:ilvl w:val="0"/>
          <w:numId w:val="2"/>
        </w:numPr>
        <w:spacing w:after="40" w:before="40"/>
      </w:pPr>
      <w:r>
        <w:rPr>
          <w:rFonts w:ascii="Arial" w:cs="Arial" w:eastAsia="Arial" w:hAnsi="Arial"/>
          <w:b w:val="false"/>
          <w:bCs w:val="false"/>
          <w:sz w:val="22"/>
          <w:szCs w:val="22"/>
        </w:rPr>
        <w:t xml:space="preserve">Esto garantiza coherencia del ecosistema y facilita añadir nuevas herramientas sin romper las existentes</w:t>
      </w:r>
    </w:p>
    <w:p>
      <w:pPr>
        <w:spacing w:after="0" w:before="0"/>
      </w:pPr>
      <w:r>
        <w:rPr>
          <w:sz w:val="44"/>
          <w:szCs w:val="44"/>
        </w:rPr>
        <w:t xml:space="preserve"/>
      </w:r>
    </w:p>
    <w:p>
      <w:pPr>
        <w:pStyle w:val="Heading2"/>
        <w:spacing w:after="100" w:before="280"/>
      </w:pPr>
      <w:r>
        <w:rPr>
          <w:rFonts w:ascii="Arial" w:cs="Arial" w:eastAsia="Arial" w:hAnsi="Arial"/>
          <w:b/>
          <w:bCs/>
          <w:color w:val="2E75B6"/>
          <w:sz w:val="26"/>
          <w:szCs w:val="26"/>
        </w:rPr>
        <w:t xml:space="preserve">3.4 Lógica de acceso condicional — pendiente de diseñar</w:t>
      </w:r>
    </w:p>
    <w:p>
      <w:pPr>
        <w:spacing w:after="80" w:before="80"/>
      </w:pPr>
      <w:r>
        <w:rPr>
          <w:rFonts w:ascii="Arial" w:cs="Arial" w:eastAsia="Arial" w:hAnsi="Arial"/>
          <w:sz w:val="22"/>
          <w:szCs w:val="22"/>
        </w:rPr>
        <w:t xml:space="preserve">Carlos tiene previsto implementar una capa de acceso que determine qué herramientas/módulos son accesibles según dos dimensiones:</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b w:val="false"/>
          <w:bCs w:val="false"/>
          <w:sz w:val="22"/>
          <w:szCs w:val="22"/>
        </w:rPr>
        <w:t xml:space="preserve">Tipología de empresa cliente</w:t>
      </w:r>
    </w:p>
    <w:p>
      <w:pPr>
        <w:pStyle w:val="ListParagraph"/>
        <w:numPr>
          <w:ilvl w:val="0"/>
          <w:numId w:val="2"/>
        </w:numPr>
        <w:spacing w:after="40" w:before="40"/>
      </w:pPr>
      <w:r>
        <w:rPr>
          <w:rFonts w:ascii="Arial" w:cs="Arial" w:eastAsia="Arial" w:hAnsi="Arial"/>
          <w:b w:val="false"/>
          <w:bCs w:val="false"/>
          <w:sz w:val="22"/>
          <w:szCs w:val="22"/>
        </w:rPr>
        <w:t xml:space="preserve">Momento de madurez de la empresa en su adopción de IA</w:t>
      </w:r>
    </w:p>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E8A020" w:sz="12"/>
              <w:bottom w:val="single" w:color="CCCCCC" w:sz="1"/>
              <w:right w:val="single" w:color="CCCCCC" w:sz="1"/>
            </w:tcBorders>
            <w:shd w:fill="FFF8E8" w:val="clear"/>
            <w:tcMar>
              <w:top w:type="dxa" w:w="100"/>
              <w:left w:type="dxa" w:w="180"/>
              <w:bottom w:type="dxa" w:w="100"/>
              <w:right w:type="dxa" w:w="120"/>
            </w:tcMar>
          </w:tcPr>
          <w:p>
            <w:r>
              <w:rPr>
                <w:rFonts w:ascii="Arial" w:cs="Arial" w:eastAsia="Arial" w:hAnsi="Arial"/>
                <w:i/>
                <w:iCs/>
                <w:sz w:val="20"/>
                <w:szCs w:val="20"/>
              </w:rPr>
              <w:t xml:space="preserve">Esta lógica de acceso NO ha sido diseñada todavía. Era uno de los temas de la sesión de arquitectura pendiente. Requiere decisiones sobre el modelo de datos antes de implementarse.</w:t>
            </w:r>
          </w:p>
        </w:tc>
      </w:tr>
    </w:tbl>
    <w:p>
      <w:pPr>
        <w:spacing w:after="0" w:before="0"/>
      </w:pPr>
      <w:r>
        <w:rPr>
          <w:sz w:val="44"/>
          <w:szCs w:val="44"/>
        </w:rPr>
        <w:t xml:space="preserve"/>
      </w:r>
    </w:p>
    <w:p>
      <w:pPr>
        <w:pStyle w:val="Heading2"/>
        <w:spacing w:after="100" w:before="280"/>
      </w:pPr>
      <w:r>
        <w:rPr>
          <w:rFonts w:ascii="Arial" w:cs="Arial" w:eastAsia="Arial" w:hAnsi="Arial"/>
          <w:b/>
          <w:bCs/>
          <w:color w:val="2E75B6"/>
          <w:sz w:val="26"/>
          <w:szCs w:val="26"/>
        </w:rPr>
        <w:t xml:space="preserve">3.5 Despliegue</w:t>
      </w:r>
    </w:p>
    <w:p>
      <w:pPr>
        <w:pStyle w:val="ListParagraph"/>
        <w:numPr>
          <w:ilvl w:val="0"/>
          <w:numId w:val="2"/>
        </w:numPr>
        <w:spacing w:after="40" w:before="40"/>
      </w:pPr>
      <w:r>
        <w:rPr>
          <w:rFonts w:ascii="Arial" w:cs="Arial" w:eastAsia="Arial" w:hAnsi="Arial"/>
          <w:b w:val="false"/>
          <w:bCs w:val="false"/>
          <w:sz w:val="22"/>
          <w:szCs w:val="22"/>
        </w:rPr>
        <w:t xml:space="preserve">Repositorio: GitHub (estructura de carpetas multi-archivo)</w:t>
      </w:r>
    </w:p>
    <w:p>
      <w:pPr>
        <w:pStyle w:val="ListParagraph"/>
        <w:numPr>
          <w:ilvl w:val="0"/>
          <w:numId w:val="2"/>
        </w:numPr>
        <w:spacing w:after="40" w:before="40"/>
      </w:pPr>
      <w:r>
        <w:rPr>
          <w:rFonts w:ascii="Arial" w:cs="Arial" w:eastAsia="Arial" w:hAnsi="Arial"/>
          <w:b w:val="false"/>
          <w:bCs w:val="false"/>
          <w:sz w:val="22"/>
          <w:szCs w:val="22"/>
        </w:rPr>
        <w:t xml:space="preserve">Hosting: Vercel conectado al repositorio GitHub (despliegue automático en cada push)</w:t>
      </w:r>
    </w:p>
    <w:p>
      <w:pPr>
        <w:pStyle w:val="ListParagraph"/>
        <w:numPr>
          <w:ilvl w:val="0"/>
          <w:numId w:val="2"/>
        </w:numPr>
        <w:spacing w:after="40" w:before="40"/>
      </w:pPr>
      <w:r>
        <w:rPr>
          <w:rFonts w:ascii="Arial" w:cs="Arial" w:eastAsia="Arial" w:hAnsi="Arial"/>
          <w:b w:val="false"/>
          <w:bCs w:val="false"/>
          <w:sz w:val="22"/>
          <w:szCs w:val="22"/>
        </w:rPr>
        <w:t xml:space="preserve">Base de datos: Supabase ya conectado al proyecto</w:t>
      </w:r>
    </w:p>
    <w:p>
      <w:pPr>
        <w:pStyle w:val="ListParagraph"/>
        <w:numPr>
          <w:ilvl w:val="0"/>
          <w:numId w:val="2"/>
        </w:numPr>
        <w:spacing w:after="40" w:before="40"/>
      </w:pPr>
      <w:r>
        <w:rPr>
          <w:rFonts w:ascii="Arial" w:cs="Arial" w:eastAsia="Arial" w:hAnsi="Arial"/>
          <w:b w:val="false"/>
          <w:bCs w:val="false"/>
          <w:sz w:val="22"/>
          <w:szCs w:val="22"/>
        </w:rPr>
        <w:t xml:space="preserve">Carlos no tiene experiencia con terminal/CLI — el flujo de trabajo debe ser visual y guiado</w:t>
      </w:r>
    </w:p>
    <w:p>
      <w:r>
        <w:br w:type="page"/>
      </w:r>
    </w:p>
    <w:p>
      <w:pPr>
        <w:pStyle w:val="Heading1"/>
        <w:spacing w:after="120" w:before="360"/>
      </w:pPr>
      <w:r>
        <w:rPr>
          <w:rFonts w:ascii="Arial" w:cs="Arial" w:eastAsia="Arial" w:hAnsi="Arial"/>
          <w:b/>
          <w:bCs/>
          <w:color w:val="1E3A5F"/>
          <w:sz w:val="32"/>
          <w:szCs w:val="32"/>
        </w:rPr>
        <w:t xml:space="preserve">4. Sesión de Arquitectura Pendiente</w:t>
      </w:r>
    </w:p>
    <w:p>
      <w:pPr>
        <w:pBdr>
          <w:bottom w:val="single" w:color="2E75B6" w:sz="4" w:space="1"/>
        </w:pBdr>
        <w:spacing w:after="160" w:before="160"/>
      </w:pPr>
      <w:r>
        <w:t xml:space="preserve"/>
      </w:r>
    </w:p>
    <w:p>
      <w:pPr>
        <w:spacing w:after="0" w:before="0"/>
      </w:pPr>
      <w:r>
        <w:rPr>
          <w:sz w:val="22"/>
          <w:szCs w:val="22"/>
        </w:rPr>
        <w:t xml:space="preserve"/>
      </w:r>
    </w:p>
    <w:p>
      <w:pPr>
        <w:spacing w:after="80" w:before="80"/>
      </w:pPr>
      <w:r>
        <w:rPr>
          <w:rFonts w:ascii="Arial" w:cs="Arial" w:eastAsia="Arial" w:hAnsi="Arial"/>
          <w:sz w:val="22"/>
          <w:szCs w:val="22"/>
        </w:rPr>
        <w:t xml:space="preserve">La conversación técnica se detuvo en el punto de diagnóstico, con el acuerdo de arrancar una sesión de arquitectura dedicada. Esta sesión NO se ha realizado todavía. Es el punto de entrada para continuar el proyecto.</w:t>
      </w:r>
    </w:p>
    <w:p>
      <w:pPr>
        <w:spacing w:after="0" w:before="0"/>
      </w:pPr>
      <w:r>
        <w:rPr>
          <w:sz w:val="44"/>
          <w:szCs w:val="4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8"/>
              <w:left w:val="none" w:color="FFFFFF" w:sz="0"/>
              <w:bottom w:val="single" w:color="2E7D32" w:sz="8"/>
              <w:right w:val="none" w:color="FFFFFF" w:sz="0"/>
            </w:tcBorders>
            <w:shd w:fill="F0F7F0" w:val="clear"/>
            <w:tcMar>
              <w:top w:type="dxa" w:w="160"/>
              <w:left w:type="dxa" w:w="240"/>
              <w:bottom w:type="dxa" w:w="160"/>
              <w:right w:type="dxa" w:w="240"/>
            </w:tcMar>
          </w:tcPr>
          <w:p>
            <w:pPr>
              <w:spacing w:after="80"/>
            </w:pPr>
            <w:r>
              <w:rPr>
                <w:rFonts w:ascii="Arial" w:cs="Arial" w:eastAsia="Arial" w:hAnsi="Arial"/>
                <w:b/>
                <w:bCs/>
                <w:color w:val="2E7D32"/>
                <w:sz w:val="22"/>
                <w:szCs w:val="22"/>
              </w:rPr>
              <w:t xml:space="preserve">MENSAJE DE ARRANQUE — Pegar en el nuevo Proyecto</w:t>
            </w:r>
          </w:p>
          <w:p>
            <w:pPr>
              <w:spacing w:after="80"/>
            </w:pPr>
            <w:r>
              <w:rPr>
                <w:rFonts w:ascii="Arial" w:cs="Arial" w:eastAsia="Arial" w:hAnsi="Arial"/>
                <w:sz w:val="20"/>
                <w:szCs w:val="20"/>
              </w:rPr>
              <w:t xml:space="preserve">"Necesito hacer una sesión de arquitectura antes de seguir desarrollando el L.E.A.N. AI System. El software tiene 7 herramientas desarrolladas en MVP, organizadas en 4 fases con 3 herramientas cada una (L-E-A-N). Quedan 5 por desarrollar. El objetivo es:</w:t>
            </w:r>
          </w:p>
          <w:p>
            <w:pPr>
              <w:pStyle w:val="ListParagraph"/>
              <w:numPr>
                <w:ilvl w:val="0"/>
                <w:numId w:val="3"/>
              </w:numPr>
              <w:spacing w:after="40"/>
            </w:pPr>
            <w:r>
              <w:rPr>
                <w:rFonts w:ascii="Arial" w:cs="Arial" w:eastAsia="Arial" w:hAnsi="Arial"/>
                <w:sz w:val="20"/>
                <w:szCs w:val="20"/>
              </w:rPr>
              <w:t xml:space="preserve">Modularizar el código (pasar de un archivo monolítico a módulos independientes por herramienta)</w:t>
            </w:r>
          </w:p>
          <w:p>
            <w:pPr>
              <w:pStyle w:val="ListParagraph"/>
              <w:numPr>
                <w:ilvl w:val="0"/>
                <w:numId w:val="3"/>
              </w:numPr>
              <w:spacing w:after="40"/>
            </w:pPr>
            <w:r>
              <w:rPr>
                <w:rFonts w:ascii="Arial" w:cs="Arial" w:eastAsia="Arial" w:hAnsi="Arial"/>
                <w:sz w:val="20"/>
                <w:szCs w:val="20"/>
              </w:rPr>
              <w:t xml:space="preserve">Definir el modelo de datos compartido en Supabase como fuente única de verdad</w:t>
            </w:r>
          </w:p>
          <w:p>
            <w:pPr>
              <w:pStyle w:val="ListParagraph"/>
              <w:numPr>
                <w:ilvl w:val="0"/>
                <w:numId w:val="3"/>
              </w:numPr>
              <w:spacing w:after="40"/>
            </w:pPr>
            <w:r>
              <w:rPr>
                <w:rFonts w:ascii="Arial" w:cs="Arial" w:eastAsia="Arial" w:hAnsi="Arial"/>
                <w:sz w:val="20"/>
                <w:szCs w:val="20"/>
              </w:rPr>
              <w:t xml:space="preserve">Diseñar la lógica de acceso condicional por tipología de empresa y madurez</w:t>
            </w:r>
          </w:p>
          <w:p>
            <w:pPr>
              <w:pStyle w:val="ListParagraph"/>
              <w:numPr>
                <w:ilvl w:val="0"/>
                <w:numId w:val="3"/>
              </w:numPr>
              <w:spacing w:after="40"/>
            </w:pPr>
            <w:r>
              <w:rPr>
                <w:rFonts w:ascii="Arial" w:cs="Arial" w:eastAsia="Arial" w:hAnsi="Arial"/>
                <w:sz w:val="20"/>
                <w:szCs w:val="20"/>
              </w:rPr>
              <w:t xml:space="preserve">Establecer cómo subir la estructura multi-archivo a GitHub sin conocimientos de terminal</w:t>
            </w:r>
          </w:p>
          <w:p>
            <w:pPr>
              <w:spacing w:before="80"/>
            </w:pPr>
            <w:r>
              <w:rPr>
                <w:rFonts w:ascii="Arial" w:cs="Arial" w:eastAsia="Arial" w:hAnsi="Arial"/>
                <w:sz w:val="20"/>
                <w:szCs w:val="20"/>
              </w:rPr>
              <w:t xml:space="preserve">Empieza haciéndome las preguntas necesarias para entender la estructura actual antes de proponer nada. No toques código todavía."</w:t>
            </w:r>
          </w:p>
        </w:tc>
      </w:tr>
    </w:tbl>
    <w:p>
      <w:pPr>
        <w:spacing w:after="0" w:before="0"/>
      </w:pPr>
      <w:r>
        <w:rPr>
          <w:sz w:val="44"/>
          <w:szCs w:val="44"/>
        </w:rPr>
        <w:t xml:space="preserve"/>
      </w:r>
    </w:p>
    <w:p>
      <w:pPr>
        <w:pStyle w:val="Heading2"/>
        <w:spacing w:after="100" w:before="280"/>
      </w:pPr>
      <w:r>
        <w:rPr>
          <w:rFonts w:ascii="Arial" w:cs="Arial" w:eastAsia="Arial" w:hAnsi="Arial"/>
          <w:b/>
          <w:bCs/>
          <w:color w:val="2E75B6"/>
          <w:sz w:val="26"/>
          <w:szCs w:val="26"/>
        </w:rPr>
        <w:t xml:space="preserve">4.1 Preguntas abiertas de arquitectura</w:t>
      </w:r>
    </w:p>
    <w:p>
      <w:pPr>
        <w:spacing w:after="80" w:before="80"/>
      </w:pPr>
      <w:r>
        <w:rPr>
          <w:rFonts w:ascii="Arial" w:cs="Arial" w:eastAsia="Arial" w:hAnsi="Arial"/>
          <w:sz w:val="22"/>
          <w:szCs w:val="22"/>
        </w:rPr>
        <w:t xml:space="preserve">Antes de poder diseñar el modelo de datos compartido, se necesitan respuestas a estas preguntas:</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b w:val="false"/>
          <w:bCs w:val="false"/>
          <w:sz w:val="22"/>
          <w:szCs w:val="22"/>
        </w:rPr>
        <w:t xml:space="preserve">¿Cuál es el nombre y función exacta de cada una de las 7 herramientas MVP ya desarrolladas?</w:t>
      </w:r>
    </w:p>
    <w:p>
      <w:pPr>
        <w:pStyle w:val="ListParagraph"/>
        <w:numPr>
          <w:ilvl w:val="0"/>
          <w:numId w:val="2"/>
        </w:numPr>
        <w:spacing w:after="40" w:before="40"/>
      </w:pPr>
      <w:r>
        <w:rPr>
          <w:rFonts w:ascii="Arial" w:cs="Arial" w:eastAsia="Arial" w:hAnsi="Arial"/>
          <w:b w:val="false"/>
          <w:bCs w:val="false"/>
          <w:sz w:val="22"/>
          <w:szCs w:val="22"/>
        </w:rPr>
        <w:t xml:space="preserve">¿Qué datos genera cada herramienta? ¿Qué datos consume de otras herramientas?</w:t>
      </w:r>
    </w:p>
    <w:p>
      <w:pPr>
        <w:pStyle w:val="ListParagraph"/>
        <w:numPr>
          <w:ilvl w:val="0"/>
          <w:numId w:val="2"/>
        </w:numPr>
        <w:spacing w:after="40" w:before="40"/>
      </w:pPr>
      <w:r>
        <w:rPr>
          <w:rFonts w:ascii="Arial" w:cs="Arial" w:eastAsia="Arial" w:hAnsi="Arial"/>
          <w:b w:val="false"/>
          <w:bCs w:val="false"/>
          <w:sz w:val="22"/>
          <w:szCs w:val="22"/>
        </w:rPr>
        <w:t xml:space="preserve">¿Cuál es el flujo entre fases? ¿Los outputs de Listen alimentan a Evaluate automáticamente?</w:t>
      </w:r>
    </w:p>
    <w:p>
      <w:pPr>
        <w:pStyle w:val="ListParagraph"/>
        <w:numPr>
          <w:ilvl w:val="0"/>
          <w:numId w:val="2"/>
        </w:numPr>
        <w:spacing w:after="40" w:before="40"/>
      </w:pPr>
      <w:r>
        <w:rPr>
          <w:rFonts w:ascii="Arial" w:cs="Arial" w:eastAsia="Arial" w:hAnsi="Arial"/>
          <w:b w:val="false"/>
          <w:bCs w:val="false"/>
          <w:sz w:val="22"/>
          <w:szCs w:val="22"/>
        </w:rPr>
        <w:t xml:space="preserve">¿Cómo se identifica un cliente en el sistema? ¿Hay múltiples clientes simultáneos o es monocliente?</w:t>
      </w:r>
    </w:p>
    <w:p>
      <w:pPr>
        <w:pStyle w:val="ListParagraph"/>
        <w:numPr>
          <w:ilvl w:val="0"/>
          <w:numId w:val="2"/>
        </w:numPr>
        <w:spacing w:after="40" w:before="40"/>
      </w:pPr>
      <w:r>
        <w:rPr>
          <w:rFonts w:ascii="Arial" w:cs="Arial" w:eastAsia="Arial" w:hAnsi="Arial"/>
          <w:b w:val="false"/>
          <w:bCs w:val="false"/>
          <w:sz w:val="22"/>
          <w:szCs w:val="22"/>
        </w:rPr>
        <w:t xml:space="preserve">¿Cuáles son las tipologías de empresa previstas para la lógica de acceso condicional?</w:t>
      </w:r>
    </w:p>
    <w:p>
      <w:pPr>
        <w:pStyle w:val="ListParagraph"/>
        <w:numPr>
          <w:ilvl w:val="0"/>
          <w:numId w:val="2"/>
        </w:numPr>
        <w:spacing w:after="40" w:before="40"/>
      </w:pPr>
      <w:r>
        <w:rPr>
          <w:rFonts w:ascii="Arial" w:cs="Arial" w:eastAsia="Arial" w:hAnsi="Arial"/>
          <w:b w:val="false"/>
          <w:bCs w:val="false"/>
          <w:sz w:val="22"/>
          <w:szCs w:val="22"/>
        </w:rPr>
        <w:t xml:space="preserve">¿Cuáles son los niveles de madurez definidos en la metodología L.E.A.N. AI?</w:t>
      </w:r>
    </w:p>
    <w:p>
      <w:r>
        <w:br w:type="page"/>
      </w:r>
    </w:p>
    <w:p>
      <w:pPr>
        <w:pStyle w:val="Heading1"/>
        <w:spacing w:after="120" w:before="360"/>
      </w:pPr>
      <w:r>
        <w:rPr>
          <w:rFonts w:ascii="Arial" w:cs="Arial" w:eastAsia="Arial" w:hAnsi="Arial"/>
          <w:b/>
          <w:bCs/>
          <w:color w:val="1E3A5F"/>
          <w:sz w:val="32"/>
          <w:szCs w:val="32"/>
        </w:rPr>
        <w:t xml:space="preserve">5. Contexto de Alpha Consulting Solutions</w:t>
      </w:r>
    </w:p>
    <w:p>
      <w:pPr>
        <w:pBdr>
          <w:bottom w:val="single" w:color="2E75B6" w:sz="4" w:space="1"/>
        </w:pBdr>
        <w:spacing w:after="160" w:before="160"/>
      </w:pPr>
      <w:r>
        <w:t xml:space="preserve"/>
      </w:r>
    </w:p>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Empresa</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Alpha Consulting Solutions S.L. — consultora IT española</w:t>
            </w:r>
          </w:p>
        </w:tc>
      </w:tr>
    </w:tbl>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Fundador técnico</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Carlos — lidera proyectos y desarrollo técnico del software</w:t>
            </w:r>
          </w:p>
        </w:tc>
      </w:tr>
    </w:tbl>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Socio comercial</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Óscar — desarrollo de negocio y relaciones comerciales</w:t>
            </w:r>
          </w:p>
        </w:tc>
      </w:tr>
    </w:tbl>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Servicios core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 Governance, Vendor Management, Data Journey, CIO Office-as-a-Service</w:t>
            </w:r>
          </w:p>
        </w:tc>
      </w:tr>
    </w:tbl>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Producto propio</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L.E.A.N. AI System — metodología y software de adopción de IA</w:t>
            </w:r>
          </w:p>
        </w:tc>
      </w:tr>
    </w:tbl>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Mercado objetivo</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CIOs, COOs y DGs de empresas medianas-grandes en España y Europa</w:t>
            </w:r>
          </w:p>
        </w:tc>
      </w:tr>
    </w:tbl>
    <w:p>
      <w:pPr>
        <w:spacing w:after="0" w:before="0"/>
      </w:pPr>
      <w:r>
        <w:rPr>
          <w:sz w:val="44"/>
          <w:szCs w:val="44"/>
        </w:rPr>
        <w:t xml:space="preserve"/>
      </w:r>
    </w:p>
    <w:p>
      <w:pPr>
        <w:pStyle w:val="Heading2"/>
        <w:spacing w:after="100" w:before="280"/>
      </w:pPr>
      <w:r>
        <w:rPr>
          <w:rFonts w:ascii="Arial" w:cs="Arial" w:eastAsia="Arial" w:hAnsi="Arial"/>
          <w:b/>
          <w:bCs/>
          <w:color w:val="2E75B6"/>
          <w:sz w:val="26"/>
          <w:szCs w:val="26"/>
        </w:rPr>
        <w:t xml:space="preserve">5.1 Instrucciones de proyecto (system prompt)</w:t>
      </w:r>
    </w:p>
    <w:p>
      <w:pPr>
        <w:spacing w:after="80" w:before="80"/>
      </w:pPr>
      <w:r>
        <w:rPr>
          <w:rFonts w:ascii="Arial" w:cs="Arial" w:eastAsia="Arial" w:hAnsi="Arial"/>
          <w:sz w:val="22"/>
          <w:szCs w:val="22"/>
        </w:rPr>
        <w:t xml:space="preserve">El Proyecto original de Claude tenía configurado un system prompt con instrucciones para que Claude actuara como co-arquitecto estratégico del producto. Ese system prompt definía:</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b w:val="false"/>
          <w:bCs w:val="false"/>
          <w:sz w:val="22"/>
          <w:szCs w:val="22"/>
        </w:rPr>
        <w:t xml:space="preserve">Siete áreas de chat especializadas: Producto, Mercado, Ventas, Pricing, Posicionamiento, Operaciones, Contenido</w:t>
      </w:r>
    </w:p>
    <w:p>
      <w:pPr>
        <w:pStyle w:val="ListParagraph"/>
        <w:numPr>
          <w:ilvl w:val="0"/>
          <w:numId w:val="2"/>
        </w:numPr>
        <w:spacing w:after="40" w:before="40"/>
      </w:pPr>
      <w:r>
        <w:rPr>
          <w:rFonts w:ascii="Arial" w:cs="Arial" w:eastAsia="Arial" w:hAnsi="Arial"/>
          <w:b w:val="false"/>
          <w:bCs w:val="false"/>
          <w:sz w:val="22"/>
          <w:szCs w:val="22"/>
        </w:rPr>
        <w:t xml:space="preserve">Reglas de debate: fuentes explícitas, etiquetado de hipótesis, preguntas no obvias por sesión</w:t>
      </w:r>
    </w:p>
    <w:p>
      <w:pPr>
        <w:pStyle w:val="ListParagraph"/>
        <w:numPr>
          <w:ilvl w:val="0"/>
          <w:numId w:val="2"/>
        </w:numPr>
        <w:spacing w:after="40" w:before="40"/>
      </w:pPr>
      <w:r>
        <w:rPr>
          <w:rFonts w:ascii="Arial" w:cs="Arial" w:eastAsia="Arial" w:hAnsi="Arial"/>
          <w:b w:val="false"/>
          <w:bCs w:val="false"/>
          <w:sz w:val="22"/>
          <w:szCs w:val="22"/>
        </w:rPr>
        <w:t xml:space="preserve">Cinco criterios de éxito medibles para la viabilidad B2B</w:t>
      </w:r>
    </w:p>
    <w:p>
      <w:pPr>
        <w:pStyle w:val="ListParagraph"/>
        <w:numPr>
          <w:ilvl w:val="0"/>
          <w:numId w:val="2"/>
        </w:numPr>
        <w:spacing w:after="40" w:before="40"/>
      </w:pPr>
      <w:r>
        <w:rPr>
          <w:rFonts w:ascii="Arial" w:cs="Arial" w:eastAsia="Arial" w:hAnsi="Arial"/>
          <w:b w:val="false"/>
          <w:bCs w:val="false"/>
          <w:sz w:val="22"/>
          <w:szCs w:val="22"/>
        </w:rPr>
        <w:t xml:space="preserve">Estándares de formato para las respuestas</w:t>
      </w:r>
    </w:p>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E8A020" w:sz="12"/>
              <w:bottom w:val="single" w:color="CCCCCC" w:sz="1"/>
              <w:right w:val="single" w:color="CCCCCC" w:sz="1"/>
            </w:tcBorders>
            <w:shd w:fill="FFF8E8" w:val="clear"/>
            <w:tcMar>
              <w:top w:type="dxa" w:w="100"/>
              <w:left w:type="dxa" w:w="180"/>
              <w:bottom w:type="dxa" w:w="100"/>
              <w:right w:type="dxa" w:w="120"/>
            </w:tcMar>
          </w:tcPr>
          <w:p>
            <w:r>
              <w:rPr>
                <w:rFonts w:ascii="Arial" w:cs="Arial" w:eastAsia="Arial" w:hAnsi="Arial"/>
                <w:i/>
                <w:iCs/>
                <w:sz w:val="20"/>
                <w:szCs w:val="20"/>
              </w:rPr>
              <w:t xml:space="preserve">El texto completo del system prompt debe recuperarse desde las instrucciones del Proyecto original antes de crear el nuevo Proyecto. Accede a él desde: claude.ai &gt; tu Proyecto LEAN AI System &gt; Edit project instructions.</w:t>
            </w:r>
          </w:p>
        </w:tc>
      </w:tr>
    </w:tbl>
    <w:p>
      <w:r>
        <w:br w:type="page"/>
      </w:r>
    </w:p>
    <w:p>
      <w:pPr>
        <w:pStyle w:val="Heading1"/>
        <w:spacing w:after="120" w:before="360"/>
      </w:pPr>
      <w:r>
        <w:rPr>
          <w:rFonts w:ascii="Arial" w:cs="Arial" w:eastAsia="Arial" w:hAnsi="Arial"/>
          <w:b/>
          <w:bCs/>
          <w:color w:val="1E3A5F"/>
          <w:sz w:val="32"/>
          <w:szCs w:val="32"/>
        </w:rPr>
        <w:t xml:space="preserve">6. Checklist de Transferencia</w:t>
      </w:r>
    </w:p>
    <w:p>
      <w:pPr>
        <w:pBdr>
          <w:bottom w:val="single" w:color="2E75B6" w:sz="4" w:space="1"/>
        </w:pBdr>
        <w:spacing w:after="160" w:before="160"/>
      </w:pPr>
      <w:r>
        <w:t xml:space="preserve"/>
      </w:r>
    </w:p>
    <w:p>
      <w:pPr>
        <w:spacing w:after="0" w:before="0"/>
      </w:pPr>
      <w:r>
        <w:rPr>
          <w:sz w:val="22"/>
          <w:szCs w:val="22"/>
        </w:rPr>
        <w:t xml:space="preserve"/>
      </w:r>
    </w:p>
    <w:p>
      <w:pPr>
        <w:spacing w:after="80" w:before="80"/>
      </w:pPr>
      <w:r>
        <w:rPr>
          <w:rFonts w:ascii="Arial" w:cs="Arial" w:eastAsia="Arial" w:hAnsi="Arial"/>
          <w:sz w:val="22"/>
          <w:szCs w:val="22"/>
        </w:rPr>
        <w:t xml:space="preserve">Usa esta lista para verificar que has trasladado todo antes de cerrar la cuenta original:</w:t>
      </w:r>
    </w:p>
    <w:p>
      <w:pPr>
        <w:spacing w:after="0" w:before="0"/>
      </w:pPr>
      <w:r>
        <w:rPr>
          <w:sz w:val="44"/>
          <w:szCs w:val="4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926"/>
        <w:gridCol w:w="250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9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Elemento a trasladar</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prompt / instrucciones del Proyecto original — copiar texto completo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62828"/>
                <w:sz w:val="20"/>
                <w:szCs w:val="20"/>
              </w:rPr>
              <w:t xml:space="preserve">☐ Pendiente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2</w:t>
            </w:r>
          </w:p>
        </w:tc>
        <w:tc>
          <w:tcPr>
            <w:tcW w:type="dxa" w:w="5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Código fuente del archivo monolítico actual (las 7 herramientas MVP)</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62828"/>
                <w:sz w:val="20"/>
                <w:szCs w:val="20"/>
              </w:rPr>
              <w:t xml:space="preserve">☐ Pendiente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Credenciales o URL del proyecto Supabase ya configurado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62828"/>
                <w:sz w:val="20"/>
                <w:szCs w:val="20"/>
              </w:rPr>
              <w:t xml:space="preserve">☐ Pendiente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4</w:t>
            </w:r>
          </w:p>
        </w:tc>
        <w:tc>
          <w:tcPr>
            <w:tcW w:type="dxa" w:w="5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Repositorio GitHub (si ya existe) — compartir acceso o exportar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62828"/>
                <w:sz w:val="20"/>
                <w:szCs w:val="20"/>
              </w:rPr>
              <w:t xml:space="preserve">☐ Pendiente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5</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Este documento de contexto (ya tienes esta copia)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 Hecho</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6</w:t>
            </w:r>
          </w:p>
        </w:tc>
        <w:tc>
          <w:tcPr>
            <w:tcW w:type="dxa" w:w="5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Crear nuevo Proyecto en la cuenta nueva y pegar el system prompt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62828"/>
                <w:sz w:val="20"/>
                <w:szCs w:val="20"/>
              </w:rPr>
              <w:t xml:space="preserve">☐ Pendiente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7</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Subir el código y este documento al nuevo Proyecto como archivos de referencia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62828"/>
                <w:sz w:val="20"/>
                <w:szCs w:val="20"/>
              </w:rPr>
              <w:t xml:space="preserve">☐ Pendiente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8</w:t>
            </w:r>
          </w:p>
        </w:tc>
        <w:tc>
          <w:tcPr>
            <w:tcW w:type="dxa" w:w="5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Iniciar sesión de arquitectura con el mensaje de arranque de la Sección 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62828"/>
                <w:sz w:val="20"/>
                <w:szCs w:val="20"/>
              </w:rPr>
              <w:t xml:space="preserve">☐ Pendiente</w:t>
            </w:r>
          </w:p>
        </w:tc>
      </w:tr>
    </w:tbl>
    <w:p>
      <w:pPr>
        <w:spacing w:after="0" w:before="0"/>
      </w:pPr>
      <w:r>
        <w:rPr>
          <w:sz w:val="66"/>
          <w:szCs w:val="66"/>
        </w:rPr>
        <w:t xml:space="preserve"/>
      </w:r>
    </w:p>
    <w:p>
      <w:pPr>
        <w:pBdr>
          <w:bottom w:val="single" w:color="2E75B6" w:sz="4" w:space="1"/>
        </w:pBdr>
        <w:spacing w:after="160" w:before="160"/>
      </w:pPr>
      <w:r>
        <w:t xml:space="preserve"/>
      </w:r>
    </w:p>
    <w:p>
      <w:pPr>
        <w:spacing w:before="160"/>
        <w:jc w:val="center"/>
      </w:pPr>
      <w:r>
        <w:rPr>
          <w:rFonts w:ascii="Arial" w:cs="Arial" w:eastAsia="Arial" w:hAnsi="Arial"/>
          <w:i/>
          <w:iCs/>
          <w:color w:val="888888"/>
          <w:sz w:val="18"/>
          <w:szCs w:val="18"/>
        </w:rPr>
        <w:t xml:space="preserve">Alpha Consulting Solutions S.L.  ·  Documento generado en Abril 2026  ·  Uso interno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2026-04-18T07:48:46.668Z</dcterms:created>
  <dcterms:modified xsi:type="dcterms:W3CDTF">2026-04-18T07:48:46.668Z</dcterms:modified>
</cp:coreProperties>
</file>

<file path=docProps/custom.xml><?xml version="1.0" encoding="utf-8"?>
<Properties xmlns="http://schemas.openxmlformats.org/officeDocument/2006/custom-properties" xmlns:vt="http://schemas.openxmlformats.org/officeDocument/2006/docPropsVTypes"/>
</file>