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80"/>
        <w:jc w:val="center"/>
      </w:pPr>
      <w:r>
        <w:rPr>
          <w:rFonts w:ascii="Arial" w:cs="Arial" w:eastAsia="Arial" w:hAnsi="Arial"/>
          <w:b/>
          <w:bCs/>
          <w:color w:val="4F86F7"/>
          <w:sz w:val="64"/>
          <w:szCs w:val="64"/>
        </w:rPr>
        <w:t xml:space="preserve">KIVORA</w:t>
      </w:r>
    </w:p>
    <w:p>
      <w:pPr>
        <w:spacing w:after="80"/>
        <w:jc w:val="center"/>
      </w:pPr>
      <w:r>
        <w:rPr>
          <w:rFonts w:ascii="Arial" w:cs="Arial" w:eastAsia="Arial" w:hAnsi="Arial"/>
          <w:color w:val="1A1A2E"/>
          <w:sz w:val="32"/>
          <w:szCs w:val="32"/>
        </w:rPr>
        <w:t xml:space="preserve">Product Roadmap &amp; Competitive Gap Plan</w:t>
      </w:r>
    </w:p>
    <w:p>
      <w:pPr>
        <w:spacing w:after="40"/>
        <w:jc w:val="center"/>
      </w:pPr>
      <w:r>
        <w:rPr>
          <w:rFonts w:ascii="Arial" w:cs="Arial" w:eastAsia="Arial" w:hAnsi="Arial"/>
          <w:color w:val="4A5568"/>
          <w:sz w:val="22"/>
          <w:szCs w:val="22"/>
        </w:rPr>
        <w:t xml:space="preserve">Version 1.0  •  March 2026</w:t>
      </w:r>
    </w:p>
    <w:p>
      <w:pPr>
        <w:spacing w:after="80" w:before="80"/>
      </w:pPr>
      <w:r>
        <w:t xml:space="preserve"/>
      </w:r>
    </w:p>
    <w:p>
      <w:pPr>
        <w:pBdr>
          <w:bottom w:val="single" w:color="4F86F7" w:sz="16" w:space="4"/>
        </w:pBdr>
        <w:spacing w:after="400"/>
      </w:pPr>
      <w:r>
        <w:t xml:space="preserve"/>
      </w:r>
    </w:p>
    <w:p>
      <w:pPr>
        <w:pStyle w:val="Heading1"/>
        <w:spacing w:after="160" w:before="360"/>
      </w:pPr>
      <w:r>
        <w:rPr>
          <w:rFonts w:ascii="Arial" w:cs="Arial" w:eastAsia="Arial" w:hAnsi="Arial"/>
          <w:b/>
          <w:bCs/>
          <w:color w:val="1A1A2E"/>
          <w:sz w:val="32"/>
          <w:szCs w:val="32"/>
        </w:rPr>
        <w:t xml:space="preserve">Executive Summary</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Kivora is a document-first AI study workspace — the only product that lets students upload their own lecture slides, textbooks, and PDFs and automatically generate flashcards, quizzes, summaries, and more. This positions it in a segment that Quizlet, Anki, and Notion all leave underserved.</w:t>
      </w:r>
    </w:p>
    <w:p>
      <w:pPr>
        <w:spacing w:after="100"/>
      </w:pPr>
      <w:r>
        <w:rPr>
          <w:rFonts w:ascii="Arial" w:cs="Arial" w:eastAsia="Arial" w:hAnsi="Arial"/>
          <w:color w:val="4A5568"/>
          <w:sz w:val="22"/>
          <w:szCs w:val="22"/>
        </w:rPr>
        <w:t xml:space="preserve">This plan identifies the six critical competitive gaps, assigns them to four sequential delivery phases, and defines the success metrics that will confirm we are closing those gaps. The goal is to make Kivora competitive on core SRS quality and retention features within six months, while extending its unique AI-document differentiation lead over the same period.</w:t>
      </w:r>
    </w:p>
    <w:p>
      <w:pPr>
        <w:spacing w:after="80" w:before="80"/>
      </w:pPr>
      <w:r>
        <w:t xml:space="preserve"/>
      </w:r>
    </w:p>
    <w:p>
      <w:pPr>
        <w:pStyle w:val="Heading1"/>
        <w:spacing w:after="160" w:before="360"/>
      </w:pPr>
      <w:r>
        <w:rPr>
          <w:rFonts w:ascii="Arial" w:cs="Arial" w:eastAsia="Arial" w:hAnsi="Arial"/>
          <w:b/>
          <w:bCs/>
          <w:color w:val="1A1A2E"/>
          <w:sz w:val="32"/>
          <w:szCs w:val="32"/>
        </w:rPr>
        <w:t xml:space="preserve">1.  Competitive Landscape</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The table below scores Kivora against the three primary competitors across every study-tool dimension that matters to university and high-school students. Green = competitive advantage, amber = parity or partial, red = active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Kivora</w:t>
            </w:r>
          </w:p>
        </w:tc>
        <w:tc>
          <w:tcPr>
            <w:tcW w:type="dxa" w:w="160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Quizlet</w:t>
            </w:r>
          </w:p>
        </w:tc>
        <w:tc>
          <w:tcPr>
            <w:tcW w:type="dxa" w:w="1600"/>
            <w:tcBorders>
              <w:top w:val="none" w:color="FFFFFF" w:sz="0"/>
              <w:left w:val="none" w:color="FFFFFF" w:sz="0"/>
              <w:bottom w:val="none" w:color="FFFFFF" w:sz="0"/>
              <w:right w:val="none" w:color="FFFFFF" w:sz="0"/>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Anki</w:t>
            </w:r>
          </w:p>
        </w:tc>
        <w:tc>
          <w:tcPr>
            <w:tcW w:type="dxa" w:w="196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StudySmarter</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Document-based AI generation</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Best-in-class</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Generic only</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Weaker extract</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Spaced repetition (SRS)</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SM-2</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Basic (free)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FSRS (best)</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Basic</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Write mode (type the answer)</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Fuzzy match</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Exact match</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Mixed test mode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Match game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Chat with document</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Math solver + OCR</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Study planner + timer</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Basic</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Community / shared decks</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 Gap</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500M+ decks</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AnkiWeb</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Images in cards</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 Gap</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Cross-device SRS sync</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 Gap</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Streak / gamification</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 Gap</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Calendar</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Native mobile app</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PWA only</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Forgetting curve / stats</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Basic</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 Plus only</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 Deep</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w:t>
            </w:r>
          </w:p>
        </w:tc>
      </w:tr>
      <w:tr>
        <w:tc>
          <w:tcPr>
            <w:tcW w:type="dxa" w:w="2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No ads / privacy-first</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 Ad-supported</w:t>
            </w:r>
          </w:p>
        </w:tc>
        <w:tc>
          <w:tcPr>
            <w:tcW w:type="dxa" w:w="1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9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r>
      <w:tr>
        <w:tc>
          <w:tcPr>
            <w:tcW w:type="dxa" w:w="2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Open / self-hostable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c>
          <w:tcPr>
            <w:tcW w:type="dxa" w:w="1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52B788"/>
                <w:sz w:val="20"/>
                <w:szCs w:val="20"/>
              </w:rPr>
              <w:t xml:space="preserve">✅</w:t>
            </w:r>
          </w:p>
        </w:tc>
        <w:tc>
          <w:tcPr>
            <w:tcW w:type="dxa" w:w="19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EF4444"/>
                <w:sz w:val="20"/>
                <w:szCs w:val="20"/>
              </w:rPr>
              <w:t xml:space="preserve">❌</w:t>
            </w:r>
          </w:p>
        </w:tc>
      </w:tr>
    </w:tbl>
    <w:p>
      <w:pPr>
        <w:spacing w:after="120" w:before="120"/>
      </w:pPr>
      <w:r>
        <w:t xml:space="preserve"/>
      </w:r>
    </w:p>
    <w:p>
      <w:pPr>
        <w:spacing w:after="100"/>
      </w:pPr>
      <w:r>
        <w:rPr>
          <w:rFonts w:ascii="Arial" w:cs="Arial" w:eastAsia="Arial" w:hAnsi="Arial"/>
          <w:color w:val="4A5568"/>
          <w:sz w:val="22"/>
          <w:szCs w:val="22"/>
        </w:rPr>
        <w:t xml:space="preserve">Key observation: Kivora already leads on AI capabilities and is at parity on study mode breadth after recent development. The remaining red cells are all retention and infrastructure concerns — sync, images, gamification, and mobile — rather than feature-level concerns. These are solvable with focused engineering.</w:t>
      </w:r>
    </w:p>
    <w:p>
      <w:r>
        <w:br w:type="page"/>
      </w:r>
    </w:p>
    <w:p>
      <w:pPr>
        <w:pStyle w:val="Heading1"/>
        <w:spacing w:after="160" w:before="360"/>
      </w:pPr>
      <w:r>
        <w:rPr>
          <w:rFonts w:ascii="Arial" w:cs="Arial" w:eastAsia="Arial" w:hAnsi="Arial"/>
          <w:b/>
          <w:bCs/>
          <w:color w:val="1A1A2E"/>
          <w:sz w:val="32"/>
          <w:szCs w:val="32"/>
        </w:rPr>
        <w:t xml:space="preserve">2.  Gap Analysis</w:t>
      </w:r>
    </w:p>
    <w:p>
      <w:pPr>
        <w:pBdr>
          <w:bottom w:val="single" w:color="4F86F7" w:sz="8" w:space="4"/>
        </w:pBdr>
        <w:spacing w:after="160" w:before="0"/>
      </w:pPr>
      <w:r>
        <w:t xml:space="preserve"/>
      </w:r>
    </w:p>
    <w:p>
      <w:pPr>
        <w:pStyle w:val="Heading2"/>
        <w:spacing w:after="100" w:before="280"/>
      </w:pPr>
      <w:r>
        <w:rPr>
          <w:rFonts w:ascii="Arial" w:cs="Arial" w:eastAsia="Arial" w:hAnsi="Arial"/>
          <w:b/>
          <w:bCs/>
          <w:color w:val="EF4444"/>
          <w:sz w:val="26"/>
          <w:szCs w:val="26"/>
        </w:rPr>
        <w:t xml:space="preserve">Gap 1 — SRS Data Lives Only in localStorage</w:t>
      </w:r>
    </w:p>
    <w:p>
      <w:pPr>
        <w:spacing w:after="100"/>
      </w:pPr>
      <w:r>
        <w:rPr>
          <w:rFonts w:ascii="Arial" w:cs="Arial" w:eastAsia="Arial" w:hAnsi="Arial"/>
          <w:color w:val="4A5568"/>
          <w:sz w:val="22"/>
          <w:szCs w:val="22"/>
        </w:rPr>
        <w:t xml:space="preserve">Current state: Card progress (ease factor, interval, next review date) is stored in window.localStorage, scoped to a single browser. Clearing cache, switching devices, or using a different browser wipes all progress.</w:t>
      </w:r>
    </w:p>
    <w:p>
      <w:pPr>
        <w:spacing w:after="100"/>
      </w:pPr>
      <w:r>
        <w:rPr>
          <w:rFonts w:ascii="Arial" w:cs="Arial" w:eastAsia="Arial" w:hAnsi="Arial"/>
          <w:color w:val="4A5568"/>
          <w:sz w:val="22"/>
          <w:szCs w:val="22"/>
        </w:rPr>
        <w:t xml:space="preserve">Impact: This is the single biggest trust-breaker for any serious SRS user. Anki has synced to AnkiWeb for over a decade. Quizlet syncs progress to account. A student who loses a month of review history will not return.</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Critical</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100% of flashcard users</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Push SRS deck state to the existing Neon database on every grade action. The schema, auth, and API layer already exist.</w:t>
      </w:r>
    </w:p>
    <w:p>
      <w:pPr>
        <w:spacing w:after="80" w:before="80"/>
      </w:pPr>
      <w:r>
        <w:t xml:space="preserve"/>
      </w:r>
    </w:p>
    <w:p>
      <w:pPr>
        <w:pStyle w:val="Heading2"/>
        <w:spacing w:after="100" w:before="280"/>
      </w:pPr>
      <w:r>
        <w:rPr>
          <w:rFonts w:ascii="Arial" w:cs="Arial" w:eastAsia="Arial" w:hAnsi="Arial"/>
          <w:b/>
          <w:bCs/>
          <w:color w:val="EF4444"/>
          <w:sz w:val="26"/>
          <w:szCs w:val="26"/>
        </w:rPr>
        <w:t xml:space="preserve">Gap 2 — No Images in Flashcard Cards</w:t>
      </w:r>
    </w:p>
    <w:p>
      <w:pPr>
        <w:spacing w:after="100"/>
      </w:pPr>
      <w:r>
        <w:rPr>
          <w:rFonts w:ascii="Arial" w:cs="Arial" w:eastAsia="Arial" w:hAnsi="Arial"/>
          <w:color w:val="4A5568"/>
          <w:sz w:val="22"/>
          <w:szCs w:val="22"/>
        </w:rPr>
        <w:t xml:space="preserve">Current state: Card front and back are plain text only. Biology, anatomy, chemistry, geography, and art history all rely heavily on diagrams and images.</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High</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All STEM and visual-subject students</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Allow image upload to a card face. Store in IndexedDB (already used for file blobs). Render with an &lt;img&gt; inside the card face.</w:t>
      </w:r>
    </w:p>
    <w:p>
      <w:pPr>
        <w:spacing w:after="80" w:before="80"/>
      </w:pPr>
      <w:r>
        <w:t xml:space="preserve"/>
      </w:r>
    </w:p>
    <w:p>
      <w:pPr>
        <w:pStyle w:val="Heading2"/>
        <w:spacing w:after="100" w:before="280"/>
      </w:pPr>
      <w:r>
        <w:rPr>
          <w:rFonts w:ascii="Arial" w:cs="Arial" w:eastAsia="Arial" w:hAnsi="Arial"/>
          <w:b/>
          <w:bCs/>
          <w:color w:val="F59E0B"/>
          <w:sz w:val="26"/>
          <w:szCs w:val="26"/>
        </w:rPr>
        <w:t xml:space="preserve">Gap 3 — No Streaks or Daily Goal System</w:t>
      </w:r>
    </w:p>
    <w:p>
      <w:pPr>
        <w:spacing w:after="100"/>
      </w:pPr>
      <w:r>
        <w:rPr>
          <w:rFonts w:ascii="Arial" w:cs="Arial" w:eastAsia="Arial" w:hAnsi="Arial"/>
          <w:color w:val="4A5568"/>
          <w:sz w:val="22"/>
          <w:szCs w:val="22"/>
        </w:rPr>
        <w:t xml:space="preserve">Current state: There is per-card accuracy tracking, but nothing that rewards daily return. No calendar heatmap, no streak counter, no daily-cards goal.</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High</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All users — retention driver</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Track daily review sessions in the database. Surface a streak counter in the sidebar and a heatmap in the Stats view.</w:t>
      </w:r>
    </w:p>
    <w:p>
      <w:pPr>
        <w:spacing w:after="80" w:before="80"/>
      </w:pPr>
      <w:r>
        <w:t xml:space="preserve"/>
      </w:r>
    </w:p>
    <w:p>
      <w:pPr>
        <w:pStyle w:val="Heading2"/>
        <w:spacing w:after="100" w:before="280"/>
      </w:pPr>
      <w:r>
        <w:rPr>
          <w:rFonts w:ascii="Arial" w:cs="Arial" w:eastAsia="Arial" w:hAnsi="Arial"/>
          <w:b/>
          <w:bCs/>
          <w:color w:val="F59E0B"/>
          <w:sz w:val="26"/>
          <w:szCs w:val="26"/>
        </w:rPr>
        <w:t xml:space="preserve">Gap 4 — No Native Mobile App</w:t>
      </w:r>
    </w:p>
    <w:p>
      <w:pPr>
        <w:spacing w:after="100"/>
      </w:pPr>
      <w:r>
        <w:rPr>
          <w:rFonts w:ascii="Arial" w:cs="Arial" w:eastAsia="Arial" w:hAnsi="Arial"/>
          <w:color w:val="4A5568"/>
          <w:sz w:val="22"/>
          <w:szCs w:val="22"/>
        </w:rPr>
        <w:t xml:space="preserve">Current state: A Capacitor config exists (capacitor.config.ts), meaning the architecture is ready for wrapping. But no iOS or Android build has shipped. Students predominantly study on mobile during commutes.</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Medium — PWA is workable short-term</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All mobile users</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Finish the Capacitor build pipeline. PWA improvements (install prompt, offline caching) can close most of the gap before native apps ship.</w:t>
      </w:r>
    </w:p>
    <w:p>
      <w:pPr>
        <w:spacing w:after="80" w:before="80"/>
      </w:pPr>
      <w:r>
        <w:t xml:space="preserve"/>
      </w:r>
    </w:p>
    <w:p>
      <w:pPr>
        <w:pStyle w:val="Heading2"/>
        <w:spacing w:after="100" w:before="280"/>
      </w:pPr>
      <w:r>
        <w:rPr>
          <w:rFonts w:ascii="Arial" w:cs="Arial" w:eastAsia="Arial" w:hAnsi="Arial"/>
          <w:b/>
          <w:bCs/>
          <w:color w:val="F59E0B"/>
          <w:sz w:val="26"/>
          <w:szCs w:val="26"/>
        </w:rPr>
        <w:t xml:space="preserve">Gap 5 — No Community Deck Library</w:t>
      </w:r>
    </w:p>
    <w:p>
      <w:pPr>
        <w:spacing w:after="100"/>
      </w:pPr>
      <w:r>
        <w:rPr>
          <w:rFonts w:ascii="Arial" w:cs="Arial" w:eastAsia="Arial" w:hAnsi="Arial"/>
          <w:color w:val="4A5568"/>
          <w:sz w:val="22"/>
          <w:szCs w:val="22"/>
        </w:rPr>
        <w:t xml:space="preserve">Current state: Every user must generate their own content. Quizlet's 500 million shared decks are a 20-year network effect. This is the hardest gap to close.</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Medium — mitigated by the AI generation workflow</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Students who study standard-curriculum subjects</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Phase 4 feature. Add a "Public Library" where users can opt in to publishing a deck. Separately: add a Quizlet URL import so users can pull existing decks.</w:t>
      </w:r>
    </w:p>
    <w:p>
      <w:pPr>
        <w:spacing w:after="80" w:before="80"/>
      </w:pPr>
      <w:r>
        <w:t xml:space="preserve"/>
      </w:r>
    </w:p>
    <w:p>
      <w:pPr>
        <w:pStyle w:val="Heading2"/>
        <w:spacing w:after="100" w:before="280"/>
      </w:pPr>
      <w:r>
        <w:rPr>
          <w:rFonts w:ascii="Arial" w:cs="Arial" w:eastAsia="Arial" w:hAnsi="Arial"/>
          <w:b/>
          <w:bCs/>
          <w:color w:val="F59E0B"/>
          <w:sz w:val="26"/>
          <w:szCs w:val="26"/>
        </w:rPr>
        <w:t xml:space="preserve">Gap 6 — Shallow Stats (No Forgetting Curve)</w:t>
      </w:r>
    </w:p>
    <w:p>
      <w:pPr>
        <w:spacing w:after="100"/>
      </w:pPr>
      <w:r>
        <w:rPr>
          <w:rFonts w:ascii="Arial" w:cs="Arial" w:eastAsia="Arial" w:hAnsi="Arial"/>
          <w:color w:val="4A5568"/>
          <w:sz w:val="22"/>
          <w:szCs w:val="22"/>
        </w:rPr>
        <w:t xml:space="preserve">Current state: The Stats view shows per-card accuracy bars and review counts. It does not show review history over time, forgetting curves, or projected workload.</w:t>
      </w:r>
    </w:p>
    <w:p>
      <w:pPr>
        <w:pStyle w:val="ListParagraph"/>
        <w:numPr>
          <w:ilvl w:val="0"/>
          <w:numId w:val="2"/>
        </w:numPr>
        <w:spacing w:after="60"/>
        <w:ind w:left="720" w:hanging="360"/>
      </w:pPr>
      <w:r>
        <w:rPr>
          <w:rFonts w:ascii="Arial" w:cs="Arial" w:eastAsia="Arial" w:hAnsi="Arial"/>
          <w:b/>
          <w:bCs/>
          <w:color w:val="1A1A2E"/>
          <w:sz w:val="22"/>
          <w:szCs w:val="22"/>
        </w:rPr>
        <w:t xml:space="preserve">Risk level: </w:t>
      </w:r>
      <w:r>
        <w:rPr>
          <w:rFonts w:ascii="Arial" w:cs="Arial" w:eastAsia="Arial" w:hAnsi="Arial"/>
          <w:color w:val="4A5568"/>
          <w:sz w:val="22"/>
          <w:szCs w:val="22"/>
        </w:rPr>
        <w:t xml:space="preserve">Low — power-user feature, not a blocker</w:t>
      </w:r>
    </w:p>
    <w:p>
      <w:pPr>
        <w:pStyle w:val="ListParagraph"/>
        <w:numPr>
          <w:ilvl w:val="0"/>
          <w:numId w:val="2"/>
        </w:numPr>
        <w:spacing w:after="60"/>
        <w:ind w:left="720" w:hanging="360"/>
      </w:pPr>
      <w:r>
        <w:rPr>
          <w:rFonts w:ascii="Arial" w:cs="Arial" w:eastAsia="Arial" w:hAnsi="Arial"/>
          <w:b/>
          <w:bCs/>
          <w:color w:val="1A1A2E"/>
          <w:sz w:val="22"/>
          <w:szCs w:val="22"/>
        </w:rPr>
        <w:t xml:space="preserve">Users affected: </w:t>
      </w:r>
      <w:r>
        <w:rPr>
          <w:rFonts w:ascii="Arial" w:cs="Arial" w:eastAsia="Arial" w:hAnsi="Arial"/>
          <w:color w:val="4A5568"/>
          <w:sz w:val="22"/>
          <w:szCs w:val="22"/>
        </w:rPr>
        <w:t xml:space="preserve">Advanced SRS users</w:t>
      </w:r>
    </w:p>
    <w:p>
      <w:pPr>
        <w:pStyle w:val="ListParagraph"/>
        <w:numPr>
          <w:ilvl w:val="0"/>
          <w:numId w:val="2"/>
        </w:numPr>
        <w:spacing w:after="60"/>
        <w:ind w:left="720" w:hanging="360"/>
      </w:pPr>
      <w:r>
        <w:rPr>
          <w:rFonts w:ascii="Arial" w:cs="Arial" w:eastAsia="Arial" w:hAnsi="Arial"/>
          <w:b/>
          <w:bCs/>
          <w:color w:val="1A1A2E"/>
          <w:sz w:val="22"/>
          <w:szCs w:val="22"/>
        </w:rPr>
        <w:t xml:space="preserve">Fix: </w:t>
      </w:r>
      <w:r>
        <w:rPr>
          <w:rFonts w:ascii="Arial" w:cs="Arial" w:eastAsia="Arial" w:hAnsi="Arial"/>
          <w:color w:val="4A5568"/>
          <w:sz w:val="22"/>
          <w:szCs w:val="22"/>
        </w:rPr>
        <w:t xml:space="preserve">Add a review history table to the DB. Render a calendar heatmap and a workload-forecast chart in Stats.</w:t>
      </w:r>
    </w:p>
    <w:p>
      <w:r>
        <w:br w:type="page"/>
      </w:r>
    </w:p>
    <w:p>
      <w:pPr>
        <w:pStyle w:val="Heading1"/>
        <w:spacing w:after="160" w:before="360"/>
      </w:pPr>
      <w:r>
        <w:rPr>
          <w:rFonts w:ascii="Arial" w:cs="Arial" w:eastAsia="Arial" w:hAnsi="Arial"/>
          <w:b/>
          <w:bCs/>
          <w:color w:val="1A1A2E"/>
          <w:sz w:val="32"/>
          <w:szCs w:val="32"/>
        </w:rPr>
        <w:t xml:space="preserve">3.  Delivery Roadmap</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Work is organised into four phases ordered by user impact and engineering dependency. Phases 1 and 2 address the critical retention infrastructure. Phases 3 and 4 grow the product surface and community.</w:t>
      </w:r>
    </w:p>
    <w:p>
      <w:pPr>
        <w:spacing w:after="80" w:before="80"/>
      </w:pPr>
      <w:r>
        <w:t xml:space="preserve"/>
      </w:r>
    </w:p>
    <w:p>
      <w:pPr>
        <w:spacing w:after="60" w:before="120"/>
      </w:pPr>
      <w:r>
        <w:rPr>
          <w:rFonts w:ascii="Arial" w:cs="Arial" w:eastAsia="Arial" w:hAnsi="Arial"/>
          <w:color w:val="4F86F7"/>
          <w:sz w:val="26"/>
          <w:szCs w:val="26"/>
        </w:rPr>
        <w:t xml:space="preserve">■  </w:t>
      </w:r>
      <w:r>
        <w:rPr>
          <w:rFonts w:ascii="Arial" w:cs="Arial" w:eastAsia="Arial" w:hAnsi="Arial"/>
          <w:b/>
          <w:bCs/>
          <w:color w:val="1A1A2E"/>
          <w:sz w:val="26"/>
          <w:szCs w:val="26"/>
        </w:rPr>
        <w:t xml:space="preserve">Phase 1 — Foundation (Weeks 1–3)    </w:t>
      </w:r>
      <w:r>
        <w:rPr>
          <w:rFonts w:ascii="Arial" w:cs="Arial" w:eastAsia="Arial" w:hAnsi="Arial"/>
          <w:color w:val="4A5568"/>
          <w:sz w:val="22"/>
          <w:szCs w:val="22"/>
        </w:rPr>
        <w:t xml:space="preserve">Fix the infrastructure gaps that block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200"/>
        <w:gridCol w:w="1200"/>
        <w:gridCol w:w="560"/>
      </w:tblGrid>
      <w:tr>
        <w:trPr>
          <w:tblHeader/>
        </w:trPr>
        <w:tc>
          <w:tcPr>
            <w:tcW w:type="dxa" w:w="36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Feature / Task</w:t>
            </w:r>
          </w:p>
        </w:tc>
        <w:tc>
          <w:tcPr>
            <w:tcW w:type="dxa" w:w="30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SRS sync to database</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Card progress survives device/browser change. Highest-impact single fix.</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Review session history table</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Required for streak tracking, heatmap, and forgetting curve in later phases.</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Streak counter in sidebar</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Daily return driver. Visible on every session.</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PWA install prompt + offline caching</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Closes 60% of the mobile gap before native apps ship. Zero new infra needed.</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Daily review goal (user-settable)</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Pairs with streak. Gives users a concrete reason to open the app each day.</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bl>
    <w:p>
      <w:pPr>
        <w:spacing w:after="80" w:before="80"/>
      </w:pPr>
      <w:r>
        <w:t xml:space="preserve"/>
      </w:r>
    </w:p>
    <w:p>
      <w:pPr>
        <w:spacing w:after="60" w:before="120"/>
      </w:pPr>
      <w:r>
        <w:rPr>
          <w:rFonts w:ascii="Arial" w:cs="Arial" w:eastAsia="Arial" w:hAnsi="Arial"/>
          <w:color w:val="52B788"/>
          <w:sz w:val="26"/>
          <w:szCs w:val="26"/>
        </w:rPr>
        <w:t xml:space="preserve">■  </w:t>
      </w:r>
      <w:r>
        <w:rPr>
          <w:rFonts w:ascii="Arial" w:cs="Arial" w:eastAsia="Arial" w:hAnsi="Arial"/>
          <w:b/>
          <w:bCs/>
          <w:color w:val="1A1A2E"/>
          <w:sz w:val="26"/>
          <w:szCs w:val="26"/>
        </w:rPr>
        <w:t xml:space="preserve">Phase 2 — Content Richness (Weeks 4–7)    </w:t>
      </w:r>
      <w:r>
        <w:rPr>
          <w:rFonts w:ascii="Arial" w:cs="Arial" w:eastAsia="Arial" w:hAnsi="Arial"/>
          <w:color w:val="4A5568"/>
          <w:sz w:val="22"/>
          <w:szCs w:val="22"/>
        </w:rPr>
        <w:t xml:space="preserve">Unblock visual subjects and deepen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200"/>
        <w:gridCol w:w="1200"/>
        <w:gridCol w:w="560"/>
      </w:tblGrid>
      <w:tr>
        <w:trPr>
          <w:tblHeader/>
        </w:trPr>
        <w:tc>
          <w:tcPr>
            <w:tcW w:type="dxa" w:w="3600"/>
            <w:tcBorders>
              <w:top w:val="none" w:color="FFFFFF" w:sz="0"/>
              <w:left w:val="none" w:color="FFFFFF" w:sz="0"/>
              <w:bottom w:val="none" w:color="FFFFFF" w:sz="0"/>
              <w:right w:val="none" w:color="FFFFFF" w:sz="0"/>
            </w:tcBorders>
            <w:shd w:fill="52B788" w:val="clear"/>
            <w:tcMar>
              <w:top w:type="dxa" w:w="80"/>
              <w:left w:type="dxa" w:w="120"/>
              <w:bottom w:type="dxa" w:w="80"/>
              <w:right w:type="dxa" w:w="120"/>
            </w:tcMar>
          </w:tcPr>
          <w:p>
            <w:r>
              <w:rPr>
                <w:rFonts w:ascii="Arial" w:cs="Arial" w:eastAsia="Arial" w:hAnsi="Arial"/>
                <w:b/>
                <w:bCs/>
                <w:color w:val="FFFFFF"/>
                <w:sz w:val="20"/>
                <w:szCs w:val="20"/>
              </w:rPr>
              <w:t xml:space="preserve">Feature / Task</w:t>
            </w:r>
          </w:p>
        </w:tc>
        <w:tc>
          <w:tcPr>
            <w:tcW w:type="dxa" w:w="3000"/>
            <w:tcBorders>
              <w:top w:val="none" w:color="FFFFFF" w:sz="0"/>
              <w:left w:val="none" w:color="FFFFFF" w:sz="0"/>
              <w:bottom w:val="none" w:color="FFFFFF" w:sz="0"/>
              <w:right w:val="none" w:color="FFFFFF" w:sz="0"/>
            </w:tcBorders>
            <w:shd w:fill="52B78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none" w:color="FFFFFF" w:sz="0"/>
              <w:left w:val="none" w:color="FFFFFF" w:sz="0"/>
              <w:bottom w:val="none" w:color="FFFFFF" w:sz="0"/>
              <w:right w:val="none" w:color="FFFFFF" w:sz="0"/>
            </w:tcBorders>
            <w:shd w:fill="52B788"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none" w:color="FFFFFF" w:sz="0"/>
              <w:left w:val="none" w:color="FFFFFF" w:sz="0"/>
              <w:bottom w:val="none" w:color="FFFFFF" w:sz="0"/>
              <w:right w:val="none" w:color="FFFFFF" w:sz="0"/>
            </w:tcBorders>
            <w:shd w:fill="52B78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0"/>
            <w:tcBorders>
              <w:top w:val="none" w:color="FFFFFF" w:sz="0"/>
              <w:left w:val="none" w:color="FFFFFF" w:sz="0"/>
              <w:bottom w:val="none" w:color="FFFFFF" w:sz="0"/>
              <w:right w:val="none" w:color="FFFFFF" w:sz="0"/>
            </w:tcBorders>
            <w:shd w:fill="52B78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Images in card faces</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Unblocks biology, chemistry, anatomy, geography. Major segment currently unusable.</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Calendar heatmap in Stats</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Shows review history. Major Anki-equivalent feature. Rewards consistent study.</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Workload forecast (due-card projection)</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Shows upcoming review load for 14 days. Helps students plan around exams.</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Deck rename + description</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Basic management UX. Auto-generated names ("Flashcards (12 cards)") are not user-friendly.</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4A5568"/>
                <w:sz w:val="20"/>
                <w:szCs w:val="20"/>
              </w:rPr>
              <w:t xml:space="preserve">Low</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Export deck to CSV / Anki .apkg</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Exit ramp reduces lock-in fear and encourages import from other platforms.</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bl>
    <w:p>
      <w:pPr>
        <w:spacing w:after="80" w:before="80"/>
      </w:pPr>
      <w:r>
        <w:t xml:space="preserve"/>
      </w:r>
    </w:p>
    <w:p>
      <w:pPr>
        <w:spacing w:after="60" w:before="120"/>
      </w:pPr>
      <w:r>
        <w:rPr>
          <w:rFonts w:ascii="Arial" w:cs="Arial" w:eastAsia="Arial" w:hAnsi="Arial"/>
          <w:color w:val="F59E0B"/>
          <w:sz w:val="26"/>
          <w:szCs w:val="26"/>
        </w:rPr>
        <w:t xml:space="preserve">■  </w:t>
      </w:r>
      <w:r>
        <w:rPr>
          <w:rFonts w:ascii="Arial" w:cs="Arial" w:eastAsia="Arial" w:hAnsi="Arial"/>
          <w:b/>
          <w:bCs/>
          <w:color w:val="1A1A2E"/>
          <w:sz w:val="26"/>
          <w:szCs w:val="26"/>
        </w:rPr>
        <w:t xml:space="preserve">Phase 3 — Mobile &amp; Experience (Weeks 8–12)    </w:t>
      </w:r>
      <w:r>
        <w:rPr>
          <w:rFonts w:ascii="Arial" w:cs="Arial" w:eastAsia="Arial" w:hAnsi="Arial"/>
          <w:color w:val="4A5568"/>
          <w:sz w:val="22"/>
          <w:szCs w:val="22"/>
        </w:rPr>
        <w:t xml:space="preserve">Ship the Capacitor app and polish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200"/>
        <w:gridCol w:w="1200"/>
        <w:gridCol w:w="560"/>
      </w:tblGrid>
      <w:tr>
        <w:trPr>
          <w:tblHeader/>
        </w:trPr>
        <w:tc>
          <w:tcPr>
            <w:tcW w:type="dxa" w:w="360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Feature / Task</w:t>
            </w:r>
          </w:p>
        </w:tc>
        <w:tc>
          <w:tcPr>
            <w:tcW w:type="dxa" w:w="300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Capacitor iOS + Android build</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Unlocks App Store / Play Store distribution. Reaches mobile-first students.</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EF4444"/>
                <w:sz w:val="20"/>
                <w:szCs w:val="20"/>
              </w:rPr>
              <w:t xml:space="preserve">High</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Haptic feedback on card grade</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Native feel on mobile. Quizlet uses haptics extensively. Small effort, big feel.</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Swipe gestures for card grading</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Swipe right = Good, swipe left = Again. Standard mobile flashcard UX.</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FSRS algorithm upgrade</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FSRS outperforms SM-2 on retention efficiency. Closes the Anki algorithm gap.</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Onboarding flow (first-time user)</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Current first screen is blank. Guide new users to upload a file immediately.</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Audio pronunciation (TTS on card flip)</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Language learning segment. Text-to-speech on reveal, optional.</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Low</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bl>
    <w:p>
      <w:pPr>
        <w:spacing w:after="80" w:before="80"/>
      </w:pPr>
      <w:r>
        <w:t xml:space="preserve"/>
      </w:r>
    </w:p>
    <w:p>
      <w:pPr>
        <w:spacing w:after="60" w:before="120"/>
      </w:pPr>
      <w:r>
        <w:rPr>
          <w:rFonts w:ascii="Arial" w:cs="Arial" w:eastAsia="Arial" w:hAnsi="Arial"/>
          <w:color w:val="EF4444"/>
          <w:sz w:val="26"/>
          <w:szCs w:val="26"/>
        </w:rPr>
        <w:t xml:space="preserve">■  </w:t>
      </w:r>
      <w:r>
        <w:rPr>
          <w:rFonts w:ascii="Arial" w:cs="Arial" w:eastAsia="Arial" w:hAnsi="Arial"/>
          <w:b/>
          <w:bCs/>
          <w:color w:val="1A1A2E"/>
          <w:sz w:val="26"/>
          <w:szCs w:val="26"/>
        </w:rPr>
        <w:t xml:space="preserve">Phase 4 — Community (Weeks 13–20)    </w:t>
      </w:r>
      <w:r>
        <w:rPr>
          <w:rFonts w:ascii="Arial" w:cs="Arial" w:eastAsia="Arial" w:hAnsi="Arial"/>
          <w:color w:val="4A5568"/>
          <w:sz w:val="22"/>
          <w:szCs w:val="22"/>
        </w:rPr>
        <w:t xml:space="preserve">Build the network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200"/>
        <w:gridCol w:w="1200"/>
        <w:gridCol w:w="560"/>
      </w:tblGrid>
      <w:tr>
        <w:trPr>
          <w:tblHeader/>
        </w:trPr>
        <w:tc>
          <w:tcPr>
            <w:tcW w:type="dxa" w:w="360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tcPr>
          <w:p>
            <w:r>
              <w:rPr>
                <w:rFonts w:ascii="Arial" w:cs="Arial" w:eastAsia="Arial" w:hAnsi="Arial"/>
                <w:b/>
                <w:bCs/>
                <w:color w:val="FFFFFF"/>
                <w:sz w:val="20"/>
                <w:szCs w:val="20"/>
              </w:rPr>
              <w:t xml:space="preserve">Feature / Task</w:t>
            </w:r>
          </w:p>
        </w:tc>
        <w:tc>
          <w:tcPr>
            <w:tcW w:type="dxa" w:w="300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Quizlet URL / set import</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Instant onramp for existing Quizlet users. Lowest friction path to deck population.</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Public deck library (opt-in publishing)</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Start building the community content flywheel. Users publish, others discover.</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EF4444"/>
                <w:sz w:val="20"/>
                <w:szCs w:val="20"/>
              </w:rPr>
              <w:t xml:space="preserve">High</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Deck search and browse</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Required once public decks exist. Tag, subject, and keyword search.</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Class / group sharing</w:t>
            </w:r>
          </w:p>
        </w:tc>
        <w:tc>
          <w:tcPr>
            <w:tcW w:type="dxa" w:w="3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Teachers assign decks to a class. Drives institutional adoption.</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EF4444"/>
                <w:sz w:val="20"/>
                <w:szCs w:val="20"/>
              </w:rPr>
              <w:t xml:space="preserve">High</w:t>
            </w:r>
          </w:p>
        </w:tc>
        <w:tc>
          <w:tcPr>
            <w:tcW w:type="dxa" w:w="1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center"/>
            </w:pPr>
            <w:r>
              <w:rPr>
                <w:rFonts w:ascii="Arial" w:cs="Arial" w:eastAsia="Arial" w:hAnsi="Arial"/>
                <w:color w:val="52B788"/>
                <w:sz w:val="20"/>
                <w:szCs w:val="20"/>
              </w:rPr>
              <w:t xml:space="preserve">High</w:t>
            </w:r>
          </w:p>
        </w:tc>
        <w:tc>
          <w:tcPr>
            <w:tcW w:type="dxa" w:w="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r>
        <w:tc>
          <w:tcPr>
            <w:tcW w:type="dxa" w:w="36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Leaderboard (opt-in, within group)</w:t>
            </w:r>
          </w:p>
        </w:tc>
        <w:tc>
          <w:tcPr>
            <w:tcW w:type="dxa" w:w="3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Friendly competition within a class. Drives engagement spikes around exams.</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1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center"/>
            </w:pPr>
            <w:r>
              <w:rPr>
                <w:rFonts w:ascii="Arial" w:cs="Arial" w:eastAsia="Arial" w:hAnsi="Arial"/>
                <w:color w:val="F59E0B"/>
                <w:sz w:val="20"/>
                <w:szCs w:val="20"/>
              </w:rPr>
              <w:t xml:space="preserve">Med</w:t>
            </w:r>
          </w:p>
        </w:tc>
        <w:tc>
          <w:tcPr>
            <w:tcW w:type="dxa" w:w="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Dev</w:t>
            </w:r>
          </w:p>
        </w:tc>
      </w:tr>
    </w:tbl>
    <w:p>
      <w:r>
        <w:br w:type="page"/>
      </w:r>
    </w:p>
    <w:p>
      <w:pPr>
        <w:pStyle w:val="Heading1"/>
        <w:spacing w:after="160" w:before="360"/>
      </w:pPr>
      <w:r>
        <w:rPr>
          <w:rFonts w:ascii="Arial" w:cs="Arial" w:eastAsia="Arial" w:hAnsi="Arial"/>
          <w:b/>
          <w:bCs/>
          <w:color w:val="1A1A2E"/>
          <w:sz w:val="32"/>
          <w:szCs w:val="32"/>
        </w:rPr>
        <w:t xml:space="preserve">4.  Technical Implementation Notes</w:t>
      </w:r>
    </w:p>
    <w:p>
      <w:pPr>
        <w:pBdr>
          <w:bottom w:val="single" w:color="4F86F7" w:sz="8" w:space="4"/>
        </w:pBdr>
        <w:spacing w:after="160" w:before="0"/>
      </w:pPr>
      <w:r>
        <w:t xml:space="preserve"/>
      </w:r>
    </w:p>
    <w:p>
      <w:pPr>
        <w:pStyle w:val="Heading2"/>
        <w:spacing w:after="100" w:before="280"/>
      </w:pPr>
      <w:r>
        <w:rPr>
          <w:rFonts w:ascii="Arial" w:cs="Arial" w:eastAsia="Arial" w:hAnsi="Arial"/>
          <w:b/>
          <w:bCs/>
          <w:color w:val="1A1A2E"/>
          <w:sz w:val="26"/>
          <w:szCs w:val="26"/>
        </w:rPr>
        <w:t xml:space="preserve">4.1  SRS Database Sync (Phase 1, Priority 1)</w:t>
      </w:r>
    </w:p>
    <w:p>
      <w:pPr>
        <w:spacing w:after="100"/>
      </w:pPr>
      <w:r>
        <w:rPr>
          <w:rFonts w:ascii="Arial" w:cs="Arial" w:eastAsia="Arial" w:hAnsi="Arial"/>
          <w:color w:val="4A5568"/>
          <w:sz w:val="22"/>
          <w:szCs w:val="22"/>
        </w:rPr>
        <w:t xml:space="preserve">The database schema already has the users, folders, and libraryItems tables. A new srsDecks table is all that is needed.</w:t>
      </w:r>
    </w:p>
    <w:p>
      <w:pPr>
        <w:spacing w:after="80" w:before="80"/>
      </w:pPr>
      <w:r>
        <w:rPr>
          <w:rFonts w:ascii="Courier New" w:cs="Courier New" w:eastAsia="Courier New" w:hAnsi="Courier New"/>
          <w:b/>
          <w:bCs/>
          <w:color w:val="1A1A2E"/>
          <w:sz w:val="20"/>
          <w:szCs w:val="20"/>
        </w:rPr>
        <w:t xml:space="preserve">Schema addition (Drizzle ORM):</w:t>
      </w:r>
    </w:p>
    <w:p>
      <w:pPr>
        <w:pBdr>
          <w:left w:val="single" w:color="4F86F7" w:sz="12" w:space="8"/>
        </w:pBdr>
        <w:shd w:fill="F0F4FF" w:val="clear"/>
        <w:spacing w:after="160" w:before="40"/>
      </w:pPr>
      <w:r>
        <w:rPr>
          <w:rFonts w:ascii="Courier New" w:cs="Courier New" w:eastAsia="Courier New" w:hAnsi="Courier New"/>
          <w:color w:val="4F86F7"/>
          <w:sz w:val="18"/>
          <w:szCs w:val="18"/>
        </w:rPr>
        <w:t xml:space="preserve">srsDecks: { id, userId, deckData (jsonb), updatedAt }</w:t>
      </w:r>
    </w:p>
    <w:p>
      <w:pPr>
        <w:spacing w:after="100"/>
      </w:pPr>
      <w:r>
        <w:rPr>
          <w:rFonts w:ascii="Arial" w:cs="Arial" w:eastAsia="Arial" w:hAnsi="Arial"/>
          <w:color w:val="4A5568"/>
          <w:sz w:val="22"/>
          <w:szCs w:val="22"/>
        </w:rPr>
        <w:t xml:space="preserve">Sync strategy: debounce writes (500ms) on every gradeCard() call. On page load, fetch the server copy; if its updatedAt is newer than localStorage, prefer server. On conflict (two devices graded simultaneously), take the card with the higher totalReviews count.</w:t>
      </w:r>
    </w:p>
    <w:p>
      <w:pPr>
        <w:spacing w:after="100"/>
      </w:pPr>
      <w:r>
        <w:rPr>
          <w:rFonts w:ascii="Arial" w:cs="Arial" w:eastAsia="Arial" w:hAnsi="Arial"/>
          <w:color w:val="4A5568"/>
          <w:sz w:val="22"/>
          <w:szCs w:val="22"/>
        </w:rPr>
        <w:t xml:space="preserve">API routes needed: GET /api/srs (load all decks for user), PUT /api/srs/:deckId (upsert a deck).</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4.2  Images in Cards (Phase 2, Priority 1)</w:t>
      </w:r>
    </w:p>
    <w:p>
      <w:pPr>
        <w:spacing w:after="100"/>
      </w:pPr>
      <w:r>
        <w:rPr>
          <w:rFonts w:ascii="Arial" w:cs="Arial" w:eastAsia="Arial" w:hAnsi="Arial"/>
          <w:color w:val="4A5568"/>
          <w:sz w:val="22"/>
          <w:szCs w:val="22"/>
        </w:rPr>
        <w:t xml:space="preserve">File blobs are already stored in IndexedDB via the idbStore abstraction in lib/idb/index.ts. Card image support reuses the same pattern.</w:t>
      </w:r>
    </w:p>
    <w:p>
      <w:pPr>
        <w:pStyle w:val="ListParagraph"/>
        <w:numPr>
          <w:ilvl w:val="0"/>
          <w:numId w:val="2"/>
        </w:numPr>
        <w:spacing w:after="60"/>
        <w:ind w:left="720" w:hanging="360"/>
      </w:pPr>
      <w:r>
        <w:rPr>
          <w:rFonts w:ascii="Arial" w:cs="Arial" w:eastAsia="Arial" w:hAnsi="Arial"/>
          <w:b/>
          <w:bCs/>
          <w:color w:val="1A1A2E"/>
          <w:sz w:val="22"/>
          <w:szCs w:val="22"/>
        </w:rPr>
        <w:t xml:space="preserve">Storage: </w:t>
      </w:r>
      <w:r>
        <w:rPr>
          <w:rFonts w:ascii="Arial" w:cs="Arial" w:eastAsia="Arial" w:hAnsi="Arial"/>
          <w:color w:val="4A5568"/>
          <w:sz w:val="22"/>
          <w:szCs w:val="22"/>
        </w:rPr>
        <w:t xml:space="preserve">Save image blob to IndexedDB with key srs-img-{cardId}-{face}</w:t>
      </w:r>
    </w:p>
    <w:p>
      <w:pPr>
        <w:pStyle w:val="ListParagraph"/>
        <w:numPr>
          <w:ilvl w:val="0"/>
          <w:numId w:val="2"/>
        </w:numPr>
        <w:spacing w:after="60"/>
        <w:ind w:left="720" w:hanging="360"/>
      </w:pPr>
      <w:r>
        <w:rPr>
          <w:rFonts w:ascii="Arial" w:cs="Arial" w:eastAsia="Arial" w:hAnsi="Arial"/>
          <w:b/>
          <w:bCs/>
          <w:color w:val="1A1A2E"/>
          <w:sz w:val="22"/>
          <w:szCs w:val="22"/>
        </w:rPr>
        <w:t xml:space="preserve">Card schema: </w:t>
      </w:r>
      <w:r>
        <w:rPr>
          <w:rFonts w:ascii="Arial" w:cs="Arial" w:eastAsia="Arial" w:hAnsi="Arial"/>
          <w:color w:val="4A5568"/>
          <w:sz w:val="22"/>
          <w:szCs w:val="22"/>
        </w:rPr>
        <w:t xml:space="preserve">Add optional frontImage?: string and backImage?: string fields (IndexedDB keys) to SRSCard</w:t>
      </w:r>
    </w:p>
    <w:p>
      <w:pPr>
        <w:pStyle w:val="ListParagraph"/>
        <w:numPr>
          <w:ilvl w:val="0"/>
          <w:numId w:val="2"/>
        </w:numPr>
        <w:spacing w:after="60"/>
        <w:ind w:left="720" w:hanging="360"/>
      </w:pPr>
      <w:r>
        <w:rPr>
          <w:rFonts w:ascii="Arial" w:cs="Arial" w:eastAsia="Arial" w:hAnsi="Arial"/>
          <w:b/>
          <w:bCs/>
          <w:color w:val="1A1A2E"/>
          <w:sz w:val="22"/>
          <w:szCs w:val="22"/>
        </w:rPr>
        <w:t xml:space="preserve">UI: </w:t>
      </w:r>
      <w:r>
        <w:rPr>
          <w:rFonts w:ascii="Arial" w:cs="Arial" w:eastAsia="Arial" w:hAnsi="Arial"/>
          <w:color w:val="4A5568"/>
          <w:sz w:val="22"/>
          <w:szCs w:val="22"/>
        </w:rPr>
        <w:t xml:space="preserve">Add a camera/upload icon in the card editor. Render &lt;img&gt; from blob URL in flashcard face</w:t>
      </w:r>
    </w:p>
    <w:p>
      <w:pPr>
        <w:pStyle w:val="ListParagraph"/>
        <w:numPr>
          <w:ilvl w:val="0"/>
          <w:numId w:val="2"/>
        </w:numPr>
        <w:spacing w:after="60"/>
        <w:ind w:left="720" w:hanging="360"/>
      </w:pPr>
      <w:r>
        <w:rPr>
          <w:rFonts w:ascii="Arial" w:cs="Arial" w:eastAsia="Arial" w:hAnsi="Arial"/>
          <w:b/>
          <w:bCs/>
          <w:color w:val="1A1A2E"/>
          <w:sz w:val="22"/>
          <w:szCs w:val="22"/>
        </w:rPr>
        <w:t xml:space="preserve">Sync: </w:t>
      </w:r>
      <w:r>
        <w:rPr>
          <w:rFonts w:ascii="Arial" w:cs="Arial" w:eastAsia="Arial" w:hAnsi="Arial"/>
          <w:color w:val="4A5568"/>
          <w:sz w:val="22"/>
          <w:szCs w:val="22"/>
        </w:rPr>
        <w:t xml:space="preserve">For cloud sync, upload image to object storage (e.g. Vercel Blob) and store the URL instead of an IDB key</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4.3  Streak &amp; Heatmap (Phase 1–2)</w:t>
      </w:r>
    </w:p>
    <w:p>
      <w:pPr>
        <w:spacing w:after="100"/>
      </w:pPr>
      <w:r>
        <w:rPr>
          <w:rFonts w:ascii="Arial" w:cs="Arial" w:eastAsia="Arial" w:hAnsi="Arial"/>
          <w:color w:val="4A5568"/>
          <w:sz w:val="22"/>
          <w:szCs w:val="22"/>
        </w:rPr>
        <w:t xml:space="preserve">Add a studySessions table: { userId, date (date), cardsReviewed, minutesStudied }. Write one row per study session. Streak = count of consecutive days with at least one review.</w:t>
      </w:r>
    </w:p>
    <w:p>
      <w:pPr>
        <w:spacing w:after="100"/>
      </w:pPr>
      <w:r>
        <w:rPr>
          <w:rFonts w:ascii="Arial" w:cs="Arial" w:eastAsia="Arial" w:hAnsi="Arial"/>
          <w:color w:val="4A5568"/>
          <w:sz w:val="22"/>
          <w:szCs w:val="22"/>
        </w:rPr>
        <w:t xml:space="preserve">The heatmap component is a 52x7 grid (52 weeks, 7 days) of coloured cells — identical in structure to GitHub's contribution graph. Each cell colour intensity maps to cardsReviewed that day. This is a self-contained React component, ~80 lines.</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4.4  FSRS Algorithm Upgrade (Phase 3)</w:t>
      </w:r>
    </w:p>
    <w:p>
      <w:pPr>
        <w:spacing w:after="100"/>
      </w:pPr>
      <w:r>
        <w:rPr>
          <w:rFonts w:ascii="Arial" w:cs="Arial" w:eastAsia="Arial" w:hAnsi="Arial"/>
          <w:color w:val="4A5568"/>
          <w:sz w:val="22"/>
          <w:szCs w:val="22"/>
        </w:rPr>
        <w:t xml:space="preserve">The FSRS (Free Spaced Repetition Scheduler) algorithm is open-source and outperforms SM-2 by approximately 20% on measured retention. The upgrade is a drop-in replacement for lib/srs/sm2.ts — same gradeCard() interface, different internal scheduling math. Critically, existing card state (repetitions, easeFactor, interval) maps cleanly to FSRS's stability and difficulty parameters via a one-time migration function.</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4.5  Capacitor Mobile Build (Phase 3)</w:t>
      </w:r>
    </w:p>
    <w:p>
      <w:pPr>
        <w:spacing w:after="100"/>
      </w:pPr>
      <w:r>
        <w:rPr>
          <w:rFonts w:ascii="Arial" w:cs="Arial" w:eastAsia="Arial" w:hAnsi="Arial"/>
          <w:color w:val="4A5568"/>
          <w:sz w:val="22"/>
          <w:szCs w:val="22"/>
        </w:rPr>
        <w:t xml:space="preserve">The capacitor.config.ts file is already committed to the repo. The remaining work is:</w:t>
      </w:r>
    </w:p>
    <w:p>
      <w:pPr>
        <w:pStyle w:val="ListParagraph"/>
        <w:numPr>
          <w:ilvl w:val="0"/>
          <w:numId w:val="2"/>
        </w:numPr>
        <w:spacing w:after="60"/>
        <w:ind w:left="720" w:hanging="360"/>
      </w:pPr>
      <w:r>
        <w:rPr>
          <w:rFonts w:ascii="Arial" w:cs="Arial" w:eastAsia="Arial" w:hAnsi="Arial"/>
          <w:color w:val="4A5568"/>
          <w:sz w:val="22"/>
          <w:szCs w:val="22"/>
        </w:rPr>
        <w:t xml:space="preserve">Run npx cap add ios &amp;&amp; npx cap add android to scaffold the native projects</w:t>
      </w:r>
    </w:p>
    <w:p>
      <w:pPr>
        <w:pStyle w:val="ListParagraph"/>
        <w:numPr>
          <w:ilvl w:val="0"/>
          <w:numId w:val="2"/>
        </w:numPr>
        <w:spacing w:after="60"/>
        <w:ind w:left="720" w:hanging="360"/>
      </w:pPr>
      <w:r>
        <w:rPr>
          <w:rFonts w:ascii="Arial" w:cs="Arial" w:eastAsia="Arial" w:hAnsi="Arial"/>
          <w:color w:val="4A5568"/>
          <w:sz w:val="22"/>
          <w:szCs w:val="22"/>
        </w:rPr>
        <w:t xml:space="preserve">Configure Splash Screen and App Icon assets</w:t>
      </w:r>
    </w:p>
    <w:p>
      <w:pPr>
        <w:pStyle w:val="ListParagraph"/>
        <w:numPr>
          <w:ilvl w:val="0"/>
          <w:numId w:val="2"/>
        </w:numPr>
        <w:spacing w:after="60"/>
        <w:ind w:left="720" w:hanging="360"/>
      </w:pPr>
      <w:r>
        <w:rPr>
          <w:rFonts w:ascii="Arial" w:cs="Arial" w:eastAsia="Arial" w:hAnsi="Arial"/>
          <w:color w:val="4A5568"/>
          <w:sz w:val="22"/>
          <w:szCs w:val="22"/>
        </w:rPr>
        <w:t xml:space="preserve">Handle the iOS WKWebView localStorage persistence (use @capacitor/preferences instead)</w:t>
      </w:r>
    </w:p>
    <w:p>
      <w:pPr>
        <w:pStyle w:val="ListParagraph"/>
        <w:numPr>
          <w:ilvl w:val="0"/>
          <w:numId w:val="2"/>
        </w:numPr>
        <w:spacing w:after="60"/>
        <w:ind w:left="720" w:hanging="360"/>
      </w:pPr>
      <w:r>
        <w:rPr>
          <w:rFonts w:ascii="Arial" w:cs="Arial" w:eastAsia="Arial" w:hAnsi="Arial"/>
          <w:color w:val="4A5568"/>
          <w:sz w:val="22"/>
          <w:szCs w:val="22"/>
        </w:rPr>
        <w:t xml:space="preserve">Submit to App Store and Play Store with a free tier and no account required</w:t>
      </w:r>
    </w:p>
    <w:p>
      <w:r>
        <w:br w:type="page"/>
      </w:r>
    </w:p>
    <w:p>
      <w:pPr>
        <w:pStyle w:val="Heading1"/>
        <w:spacing w:after="160" w:before="360"/>
      </w:pPr>
      <w:r>
        <w:rPr>
          <w:rFonts w:ascii="Arial" w:cs="Arial" w:eastAsia="Arial" w:hAnsi="Arial"/>
          <w:b/>
          <w:bCs/>
          <w:color w:val="1A1A2E"/>
          <w:sz w:val="32"/>
          <w:szCs w:val="32"/>
        </w:rPr>
        <w:t xml:space="preserve">5.  Success Metrics</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The following KPIs will be tracked monthly starting from the baseline measurement in April 2026. Targets are set for the 6-month mark (September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none" w:color="FFFFFF" w:sz="0"/>
              <w:left w:val="none" w:color="FFFFFF" w:sz="0"/>
              <w:bottom w:val="none" w:color="FFFFFF" w:sz="0"/>
              <w:right w:val="none" w:color="FFFFFF" w:sz="0"/>
            </w:tcBorders>
            <w:shd w:fill="4A5568"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00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Target (6 mo)</w:t>
            </w:r>
          </w:p>
        </w:tc>
        <w:tc>
          <w:tcPr>
            <w:tcW w:type="dxa" w:w="2560"/>
            <w:tcBorders>
              <w:top w:val="none" w:color="FFFFFF" w:sz="0"/>
              <w:left w:val="none" w:color="FFFFFF" w:sz="0"/>
              <w:bottom w:val="none" w:color="FFFFFF" w:sz="0"/>
              <w:right w:val="none" w:color="FFFFFF" w:sz="0"/>
            </w:tcBorders>
            <w:shd w:fill="4F86F7" w:val="clear"/>
            <w:tcMar>
              <w:top w:type="dxa" w:w="80"/>
              <w:left w:type="dxa" w:w="120"/>
              <w:bottom w:type="dxa" w:w="80"/>
              <w:right w:type="dxa" w:w="120"/>
            </w:tcMar>
          </w:tcPr>
          <w:p>
            <w:r>
              <w:rPr>
                <w:rFonts w:ascii="Arial" w:cs="Arial" w:eastAsia="Arial" w:hAnsi="Arial"/>
                <w:b/>
                <w:bCs/>
                <w:color w:val="FFFFFF"/>
                <w:sz w:val="20"/>
                <w:szCs w:val="20"/>
              </w:rPr>
              <w:t xml:space="preserve">Primary Driver</w:t>
            </w:r>
          </w:p>
        </w:tc>
      </w:tr>
      <w:tr>
        <w:tc>
          <w:tcPr>
            <w:tcW w:type="dxa" w:w="28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D7 retention</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~20% (estimated)</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 35%</w:t>
            </w:r>
          </w:p>
        </w:tc>
        <w:tc>
          <w:tcPr>
            <w:tcW w:type="dxa" w:w="2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Streaks + sync</w:t>
            </w:r>
          </w:p>
        </w:tc>
      </w:tr>
      <w:tr>
        <w:tc>
          <w:tcPr>
            <w:tcW w:type="dxa" w:w="28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Daily active cards reviewed</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No data yet</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20 cards/user/day</w:t>
            </w:r>
          </w:p>
        </w:tc>
        <w:tc>
          <w:tcPr>
            <w:tcW w:type="dxa" w:w="2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SRS sync + mobile</w:t>
            </w:r>
          </w:p>
        </w:tc>
      </w:tr>
      <w:tr>
        <w:tc>
          <w:tcPr>
            <w:tcW w:type="dxa" w:w="28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Sessions with AI generation</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No data yet</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 60% of sessions</w:t>
            </w:r>
          </w:p>
        </w:tc>
        <w:tc>
          <w:tcPr>
            <w:tcW w:type="dxa" w:w="2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Onboarding flow</w:t>
            </w:r>
          </w:p>
        </w:tc>
      </w:tr>
      <w:tr>
        <w:tc>
          <w:tcPr>
            <w:tcW w:type="dxa" w:w="28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Decks with &gt; 10 reviews</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No data yet</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50% of decks</w:t>
            </w:r>
          </w:p>
        </w:tc>
        <w:tc>
          <w:tcPr>
            <w:tcW w:type="dxa" w:w="2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Write + Test modes</w:t>
            </w:r>
          </w:p>
        </w:tc>
      </w:tr>
      <w:tr>
        <w:tc>
          <w:tcPr>
            <w:tcW w:type="dxa" w:w="28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Mobile MAU share</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&lt; 10% (PWA)</w:t>
            </w:r>
          </w:p>
        </w:tc>
        <w:tc>
          <w:tcPr>
            <w:tcW w:type="dxa" w:w="20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 30%</w:t>
            </w:r>
          </w:p>
        </w:tc>
        <w:tc>
          <w:tcPr>
            <w:tcW w:type="dxa" w:w="25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Capacitor app launch</w:t>
            </w:r>
          </w:p>
        </w:tc>
      </w:tr>
      <w:tr>
        <w:tc>
          <w:tcPr>
            <w:tcW w:type="dxa" w:w="28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Cross-device users</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0% (localStorage)</w:t>
            </w:r>
          </w:p>
        </w:tc>
        <w:tc>
          <w:tcPr>
            <w:tcW w:type="dxa" w:w="20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b/>
                <w:bCs/>
                <w:color w:val="52B788"/>
                <w:sz w:val="20"/>
                <w:szCs w:val="20"/>
              </w:rPr>
              <w:t xml:space="preserve">≥ 40%</w:t>
            </w:r>
          </w:p>
        </w:tc>
        <w:tc>
          <w:tcPr>
            <w:tcW w:type="dxa" w:w="25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DB sync (Phase 1)</w:t>
            </w:r>
          </w:p>
        </w:tc>
      </w:tr>
    </w:tbl>
    <w:p>
      <w:pPr>
        <w:spacing w:after="120" w:before="120"/>
      </w:pPr>
      <w:r>
        <w:t xml:space="preserve"/>
      </w:r>
    </w:p>
    <w:p>
      <w:pPr>
        <w:spacing w:after="100"/>
      </w:pPr>
      <w:r>
        <w:rPr>
          <w:rFonts w:ascii="Arial" w:cs="Arial" w:eastAsia="Arial" w:hAnsi="Arial"/>
          <w:color w:val="4A5568"/>
          <w:sz w:val="22"/>
          <w:szCs w:val="22"/>
        </w:rPr>
        <w:t xml:space="preserve">Instrumentation: The analytics/route.ts API and StudyAnalytics component already exist. Extend them to capture review session events (deck_reviewed, card_graded, streak_extended) and surface in the /analytics dashboard.</w:t>
      </w:r>
    </w:p>
    <w:p>
      <w:pPr>
        <w:pStyle w:val="Heading1"/>
        <w:spacing w:after="160" w:before="360"/>
      </w:pPr>
      <w:r>
        <w:rPr>
          <w:rFonts w:ascii="Arial" w:cs="Arial" w:eastAsia="Arial" w:hAnsi="Arial"/>
          <w:b/>
          <w:bCs/>
          <w:color w:val="1A1A2E"/>
          <w:sz w:val="32"/>
          <w:szCs w:val="32"/>
        </w:rPr>
        <w:t xml:space="preserve">6.  Out of Scope</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The following are explicitly excluded from this roadmap to maintain focus:</w:t>
      </w:r>
    </w:p>
    <w:p>
      <w:pPr>
        <w:pStyle w:val="ListParagraph"/>
        <w:numPr>
          <w:ilvl w:val="0"/>
          <w:numId w:val="2"/>
        </w:numPr>
        <w:spacing w:after="60"/>
        <w:ind w:left="720" w:hanging="360"/>
      </w:pPr>
      <w:r>
        <w:rPr>
          <w:rFonts w:ascii="Arial" w:cs="Arial" w:eastAsia="Arial" w:hAnsi="Arial"/>
          <w:color w:val="4A5568"/>
          <w:sz w:val="22"/>
          <w:szCs w:val="22"/>
        </w:rPr>
        <w:t xml:space="preserve">Live collaborative editing of decks (Google Docs-style real-time sync). Engineering cost is high; benefit is low for solo study.</w:t>
      </w:r>
    </w:p>
    <w:p>
      <w:pPr>
        <w:pStyle w:val="ListParagraph"/>
        <w:numPr>
          <w:ilvl w:val="0"/>
          <w:numId w:val="2"/>
        </w:numPr>
        <w:spacing w:after="60"/>
        <w:ind w:left="720" w:hanging="360"/>
      </w:pPr>
      <w:r>
        <w:rPr>
          <w:rFonts w:ascii="Arial" w:cs="Arial" w:eastAsia="Arial" w:hAnsi="Arial"/>
          <w:color w:val="4A5568"/>
          <w:sz w:val="22"/>
          <w:szCs w:val="22"/>
        </w:rPr>
        <w:t xml:space="preserve">Video embedding in cards. Audio (TTS) covers 90% of the language-learning use case at a fraction of the cost.</w:t>
      </w:r>
    </w:p>
    <w:p>
      <w:pPr>
        <w:pStyle w:val="ListParagraph"/>
        <w:numPr>
          <w:ilvl w:val="0"/>
          <w:numId w:val="2"/>
        </w:numPr>
        <w:spacing w:after="60"/>
        <w:ind w:left="720" w:hanging="360"/>
      </w:pPr>
      <w:r>
        <w:rPr>
          <w:rFonts w:ascii="Arial" w:cs="Arial" w:eastAsia="Arial" w:hAnsi="Arial"/>
          <w:color w:val="4A5568"/>
          <w:sz w:val="22"/>
          <w:szCs w:val="22"/>
        </w:rPr>
        <w:t xml:space="preserve">A separate desktop Electron app. The Next.js web app with PWA support is sufficient; Electron adds maintenance burden.</w:t>
      </w:r>
    </w:p>
    <w:p>
      <w:pPr>
        <w:pStyle w:val="ListParagraph"/>
        <w:numPr>
          <w:ilvl w:val="0"/>
          <w:numId w:val="2"/>
        </w:numPr>
        <w:spacing w:after="60"/>
        <w:ind w:left="720" w:hanging="360"/>
      </w:pPr>
      <w:r>
        <w:rPr>
          <w:rFonts w:ascii="Arial" w:cs="Arial" w:eastAsia="Arial" w:hAnsi="Arial"/>
          <w:color w:val="4A5568"/>
          <w:sz w:val="22"/>
          <w:szCs w:val="22"/>
        </w:rPr>
        <w:t xml:space="preserve">AI-graded written answers on the server side. Client-side fuzzy match is fast, private, and works offline. Server grading adds latency and cost.</w:t>
      </w:r>
    </w:p>
    <w:p>
      <w:pPr>
        <w:pStyle w:val="ListParagraph"/>
        <w:numPr>
          <w:ilvl w:val="0"/>
          <w:numId w:val="2"/>
        </w:numPr>
        <w:spacing w:after="60"/>
        <w:ind w:left="720" w:hanging="360"/>
      </w:pPr>
      <w:r>
        <w:rPr>
          <w:rFonts w:ascii="Arial" w:cs="Arial" w:eastAsia="Arial" w:hAnsi="Arial"/>
          <w:color w:val="4A5568"/>
          <w:sz w:val="22"/>
          <w:szCs w:val="22"/>
        </w:rPr>
        <w:t xml:space="preserve">Social feed / study group chat. This is a different product category. Focus remains on the solo study workflow.</w:t>
      </w:r>
    </w:p>
    <w:p>
      <w:pPr>
        <w:spacing w:after="80" w:before="80"/>
      </w:pPr>
      <w:r>
        <w:t xml:space="preserve"/>
      </w:r>
    </w:p>
    <w:p>
      <w:pPr>
        <w:pStyle w:val="Heading1"/>
        <w:spacing w:after="160" w:before="360"/>
      </w:pPr>
      <w:r>
        <w:rPr>
          <w:rFonts w:ascii="Arial" w:cs="Arial" w:eastAsia="Arial" w:hAnsi="Arial"/>
          <w:b/>
          <w:bCs/>
          <w:color w:val="1A1A2E"/>
          <w:sz w:val="32"/>
          <w:szCs w:val="32"/>
        </w:rPr>
        <w:t xml:space="preserve">7.  Summary</w:t>
      </w:r>
    </w:p>
    <w:p>
      <w:pPr>
        <w:pBdr>
          <w:bottom w:val="single" w:color="4F86F7" w:sz="8" w:space="4"/>
        </w:pBdr>
        <w:spacing w:after="160" w:before="0"/>
      </w:pPr>
      <w:r>
        <w:t xml:space="preserve"/>
      </w:r>
    </w:p>
    <w:p>
      <w:pPr>
        <w:spacing w:after="100"/>
      </w:pPr>
      <w:r>
        <w:rPr>
          <w:rFonts w:ascii="Arial" w:cs="Arial" w:eastAsia="Arial" w:hAnsi="Arial"/>
          <w:color w:val="4A5568"/>
          <w:sz w:val="22"/>
          <w:szCs w:val="22"/>
        </w:rPr>
        <w:t xml:space="preserve">Kivora is already competitive on study mode breadth and ahead of every competitor on AI document intelligence. The remaining gaps are all addressable in the near term.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200"/>
        <w:gridCol w:w="2160"/>
      </w:tblGrid>
      <w:tr>
        <w:trPr>
          <w:tblHeader/>
        </w:trPr>
        <w:tc>
          <w:tcPr>
            <w:tcW w:type="dxa" w:w="12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Gets Fixed</w:t>
            </w:r>
          </w:p>
        </w:tc>
        <w:tc>
          <w:tcPr>
            <w:tcW w:type="dxa" w:w="22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16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Closes Gap</w:t>
            </w:r>
          </w:p>
        </w:tc>
      </w:tr>
      <w:tr>
        <w:tc>
          <w:tcPr>
            <w:tcW w:type="dxa" w:w="1200"/>
            <w:tcBorders>
              <w:top w:val="none" w:color="FFFFFF" w:sz="0"/>
              <w:left w:val="none" w:color="FFFFFF" w:sz="0"/>
              <w:bottom w:val="none" w:color="FFFFFF" w:sz="0"/>
              <w:right w:val="none" w:color="FFFFFF" w:sz="0"/>
            </w:tcBorders>
            <w:shd w:fill="4F86F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Foundation</w:t>
            </w:r>
          </w:p>
        </w:tc>
        <w:tc>
          <w:tcPr>
            <w:tcW w:type="dxa" w:w="38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SRS sync, streaks, daily goal, PWA offline</w:t>
            </w:r>
          </w:p>
        </w:tc>
        <w:tc>
          <w:tcPr>
            <w:tcW w:type="dxa" w:w="2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Weeks 1–3</w:t>
            </w:r>
          </w:p>
        </w:tc>
        <w:tc>
          <w:tcPr>
            <w:tcW w:type="dxa" w:w="21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Trust &amp; retention</w:t>
            </w:r>
          </w:p>
        </w:tc>
      </w:tr>
      <w:tr>
        <w:tc>
          <w:tcPr>
            <w:tcW w:type="dxa" w:w="1200"/>
            <w:tcBorders>
              <w:top w:val="none" w:color="FFFFFF" w:sz="0"/>
              <w:left w:val="none" w:color="FFFFFF" w:sz="0"/>
              <w:bottom w:val="none" w:color="FFFFFF" w:sz="0"/>
              <w:right w:val="none" w:color="FFFFFF" w:sz="0"/>
            </w:tcBorders>
            <w:shd w:fill="52B78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c>
          <w:tcPr>
            <w:tcW w:type="dxa" w:w="38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Images in cards, heatmap, deck export</w:t>
            </w:r>
          </w:p>
        </w:tc>
        <w:tc>
          <w:tcPr>
            <w:tcW w:type="dxa" w:w="2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Weeks 4–7</w:t>
            </w:r>
          </w:p>
        </w:tc>
        <w:tc>
          <w:tcPr>
            <w:tcW w:type="dxa" w:w="21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Visual subjects + analytics</w:t>
            </w:r>
          </w:p>
        </w:tc>
      </w:tr>
      <w:tr>
        <w:tc>
          <w:tcPr>
            <w:tcW w:type="dxa" w:w="1200"/>
            <w:tcBorders>
              <w:top w:val="none" w:color="FFFFFF" w:sz="0"/>
              <w:left w:val="none" w:color="FFFFFF" w:sz="0"/>
              <w:bottom w:val="none" w:color="FFFFFF" w:sz="0"/>
              <w:right w:val="none" w:color="FFFFFF" w:sz="0"/>
            </w:tcBorders>
            <w:shd w:fill="F59E0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Mobile</w:t>
            </w:r>
          </w:p>
        </w:tc>
        <w:tc>
          <w:tcPr>
            <w:tcW w:type="dxa" w:w="38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Capacitor app, swipe gestures, FSRS, onboarding</w:t>
            </w:r>
          </w:p>
        </w:tc>
        <w:tc>
          <w:tcPr>
            <w:tcW w:type="dxa" w:w="220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Weeks 8–12</w:t>
            </w:r>
          </w:p>
        </w:tc>
        <w:tc>
          <w:tcPr>
            <w:tcW w:type="dxa" w:w="2160"/>
            <w:tcBorders>
              <w:top w:val="none" w:color="FFFFFF" w:sz="0"/>
              <w:left w:val="none" w:color="FFFFFF" w:sz="0"/>
              <w:bottom w:val="single" w:color="D1D5DB" w:sz="2"/>
              <w:right w:val="none" w:color="FFFFFF" w:sz="0"/>
            </w:tcBorders>
            <w:shd w:fill="F7F9FC" w:val="clear"/>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Mobile reach + algorithm</w:t>
            </w:r>
          </w:p>
        </w:tc>
      </w:tr>
      <w:tr>
        <w:tc>
          <w:tcPr>
            <w:tcW w:type="dxa" w:w="1200"/>
            <w:tcBorders>
              <w:top w:val="none" w:color="FFFFFF" w:sz="0"/>
              <w:left w:val="none" w:color="FFFFFF" w:sz="0"/>
              <w:bottom w:val="none" w:color="FFFFFF" w:sz="0"/>
              <w:right w:val="none" w:color="FFFFFF" w:sz="0"/>
            </w:tcBorders>
            <w:shd w:fill="EF444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Community</w:t>
            </w:r>
          </w:p>
        </w:tc>
        <w:tc>
          <w:tcPr>
            <w:tcW w:type="dxa" w:w="38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Quizlet import, public library, class sharing</w:t>
            </w:r>
          </w:p>
        </w:tc>
        <w:tc>
          <w:tcPr>
            <w:tcW w:type="dxa" w:w="220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Weeks 13–20</w:t>
            </w:r>
          </w:p>
        </w:tc>
        <w:tc>
          <w:tcPr>
            <w:tcW w:type="dxa" w:w="2160"/>
            <w:tcBorders>
              <w:top w:val="none" w:color="FFFFFF" w:sz="0"/>
              <w:left w:val="none" w:color="FFFFFF" w:sz="0"/>
              <w:bottom w:val="single" w:color="D1D5DB" w:sz="2"/>
              <w:right w:val="none" w:color="FFFFFF" w:sz="0"/>
            </w:tcBorders>
            <w:tcMar>
              <w:top w:type="dxa" w:w="80"/>
              <w:left w:type="dxa" w:w="120"/>
              <w:bottom w:type="dxa" w:w="80"/>
              <w:right w:type="dxa" w:w="120"/>
            </w:tcMar>
            <w:vAlign w:val="center"/>
          </w:tcPr>
          <w:p>
            <w:pPr>
              <w:jc w:val="left"/>
            </w:pPr>
            <w:r>
              <w:rPr>
                <w:rFonts w:ascii="Arial" w:cs="Arial" w:eastAsia="Arial" w:hAnsi="Arial"/>
                <w:color w:val="4A5568"/>
                <w:sz w:val="20"/>
                <w:szCs w:val="20"/>
              </w:rPr>
              <w:t xml:space="preserve">Network effect</w:t>
            </w:r>
          </w:p>
        </w:tc>
      </w:tr>
    </w:tbl>
    <w:p>
      <w:pPr>
        <w:spacing w:after="160" w:before="160"/>
      </w:pPr>
      <w:r>
        <w:t xml:space="preserve"/>
      </w:r>
    </w:p>
    <w:p>
      <w:pPr>
        <w:pBdr>
          <w:top w:val="single" w:color="D1D5DB" w:sz="4" w:space="8"/>
        </w:pBdr>
        <w:spacing w:after="80" w:before="120"/>
        <w:jc w:val="center"/>
      </w:pPr>
      <w:r>
        <w:rPr>
          <w:rFonts w:ascii="Arial" w:cs="Arial" w:eastAsia="Arial" w:hAnsi="Arial"/>
          <w:color w:val="D1D5DB"/>
          <w:sz w:val="18"/>
          <w:szCs w:val="18"/>
        </w:rPr>
        <w:t xml:space="preserve">Kivora • Document-first AI study workspace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8"/>
      </w:pBdr>
      <w:tabs>
        <w:tab w:val="right" w:pos="9360"/>
      </w:tabs>
      <w:spacing w:before="0"/>
    </w:pPr>
    <w:r>
      <w:rPr>
        <w:rFonts w:ascii="Arial" w:cs="Arial" w:eastAsia="Arial" w:hAnsi="Arial"/>
        <w:color w:val="D1D5DB"/>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6F7" w:sz="6" w:space="8"/>
      </w:pBdr>
      <w:tabs>
        <w:tab w:val="right" w:pos="9360"/>
      </w:tabs>
      <w:spacing w:after="0"/>
    </w:pPr>
    <w:r>
      <w:rPr>
        <w:rFonts w:ascii="Arial" w:cs="Arial" w:eastAsia="Arial" w:hAnsi="Arial"/>
        <w:color w:val="4A5568"/>
        <w:sz w:val="18"/>
        <w:szCs w:val="18"/>
      </w:rPr>
      <w:t xml:space="preserve">Kivora — Product Roadmap &amp; Competitive Gap Plan</w:t>
    </w:r>
    <w:r>
      <w:rPr>
        <w:rFonts w:ascii="Arial" w:cs="Arial" w:eastAsia="Arial" w:hAnsi="Arial"/>
        <w:sz w:val="18"/>
        <w:szCs w:val="18"/>
      </w:rPr>
      <w:t xml:space="preserve">	</w:t>
    </w:r>
    <w:r>
      <w:rPr>
        <w:rFonts w:ascii="Arial" w:cs="Arial" w:eastAsia="Arial" w:hAnsi="Arial"/>
        <w:color w:val="4F86F7"/>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2026-03-14T10:01:57.703Z</dcterms:created>
  <dcterms:modified xsi:type="dcterms:W3CDTF">2026-03-14T10:01:57.704Z</dcterms:modified>
</cp:coreProperties>
</file>

<file path=docProps/custom.xml><?xml version="1.0" encoding="utf-8"?>
<Properties xmlns="http://schemas.openxmlformats.org/officeDocument/2006/custom-properties" xmlns:vt="http://schemas.openxmlformats.org/officeDocument/2006/docPropsVTypes"/>
</file>